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C8" w:rsidRDefault="005754C8" w:rsidP="00287D63"/>
    <w:tbl>
      <w:tblPr>
        <w:tblW w:w="0" w:type="auto"/>
        <w:tblLook w:val="04A0" w:firstRow="1" w:lastRow="0" w:firstColumn="1" w:lastColumn="0" w:noHBand="0" w:noVBand="1"/>
      </w:tblPr>
      <w:tblGrid>
        <w:gridCol w:w="10762"/>
      </w:tblGrid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</w:rPr>
            </w:pPr>
            <w:r w:rsidRPr="00576952">
              <w:rPr>
                <w:rFonts w:ascii="Tahoma" w:eastAsia="Calibri" w:hAnsi="Tahoma" w:cs="Tahoma"/>
                <w:b/>
                <w:caps/>
                <w:sz w:val="20"/>
                <w:szCs w:val="20"/>
                <w:lang w:val="ru-RU"/>
              </w:rPr>
              <w:t>Пропозиц</w:t>
            </w:r>
            <w:r w:rsidRPr="00576952">
              <w:rPr>
                <w:rFonts w:ascii="Tahoma" w:eastAsia="Calibri" w:hAnsi="Tahoma" w:cs="Tahoma"/>
                <w:b/>
                <w:caps/>
                <w:sz w:val="20"/>
                <w:szCs w:val="20"/>
              </w:rPr>
              <w:t xml:space="preserve">ії щодо основних положень </w:t>
            </w:r>
            <w:r w:rsidR="00576952" w:rsidRPr="00576952">
              <w:rPr>
                <w:rFonts w:ascii="Tahoma" w:eastAsia="Calibri" w:hAnsi="Tahoma" w:cs="Tahoma"/>
                <w:b/>
                <w:caps/>
                <w:sz w:val="20"/>
                <w:szCs w:val="20"/>
              </w:rPr>
              <w:t>НОВОГО</w:t>
            </w:r>
            <w:r w:rsidRPr="00576952">
              <w:rPr>
                <w:rFonts w:ascii="Tahoma" w:eastAsia="Calibri" w:hAnsi="Tahoma" w:cs="Tahoma"/>
                <w:b/>
                <w:caps/>
                <w:sz w:val="20"/>
                <w:szCs w:val="20"/>
              </w:rPr>
              <w:t xml:space="preserve"> кодексу про надра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287D63" w:rsidP="00576952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342" w:hanging="90"/>
              <w:contextualSpacing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576952">
              <w:rPr>
                <w:rFonts w:ascii="Tahoma" w:hAnsi="Tahoma" w:cs="Tahoma"/>
                <w:b/>
                <w:caps/>
                <w:sz w:val="20"/>
                <w:szCs w:val="20"/>
              </w:rPr>
              <w:t>ОСНОВНІ ПРИНЦИПИ</w:t>
            </w:r>
            <w:r w:rsidR="005754C8" w:rsidRPr="00576952">
              <w:rPr>
                <w:rFonts w:ascii="Tahoma" w:hAnsi="Tahoma" w:cs="Tahoma"/>
                <w:b/>
                <w:caps/>
                <w:sz w:val="20"/>
                <w:szCs w:val="20"/>
              </w:rPr>
              <w:t>:</w:t>
            </w:r>
          </w:p>
          <w:p w:rsidR="00576952" w:rsidRPr="00576952" w:rsidRDefault="00576952" w:rsidP="00576952">
            <w:pPr>
              <w:pStyle w:val="ListParagraph"/>
              <w:spacing w:before="0" w:beforeAutospacing="0" w:after="0" w:afterAutospacing="0"/>
              <w:ind w:left="342"/>
              <w:contextualSpacing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5754C8" w:rsidRPr="00576952" w:rsidTr="00990533">
        <w:trPr>
          <w:trHeight w:val="1188"/>
        </w:trPr>
        <w:tc>
          <w:tcPr>
            <w:tcW w:w="10762" w:type="dxa"/>
            <w:shd w:val="clear" w:color="auto" w:fill="auto"/>
          </w:tcPr>
          <w:p w:rsidR="00576952" w:rsidRDefault="00287D63" w:rsidP="0057695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  <w:u w:val="single"/>
              </w:rPr>
              <w:t xml:space="preserve">Кодекс про надра </w:t>
            </w:r>
            <w:r w:rsidR="00D5544A" w:rsidRPr="00576952">
              <w:rPr>
                <w:rFonts w:ascii="Tahoma" w:hAnsi="Tahoma" w:cs="Tahoma"/>
                <w:sz w:val="20"/>
                <w:szCs w:val="20"/>
                <w:u w:val="single"/>
              </w:rPr>
              <w:t>повинен вирішити задачу уніфікації нормативно-правових актів</w:t>
            </w:r>
            <w:r w:rsidR="00576952">
              <w:rPr>
                <w:rFonts w:ascii="Tahoma" w:hAnsi="Tahoma" w:cs="Tahoma"/>
                <w:sz w:val="20"/>
                <w:szCs w:val="20"/>
              </w:rPr>
              <w:t>.</w:t>
            </w:r>
            <w:r w:rsidR="00D5544A"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754C8" w:rsidRPr="00576952" w:rsidRDefault="00D5544A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документ повинен бути </w:t>
            </w:r>
            <w:r w:rsidR="00287D63" w:rsidRPr="00576952">
              <w:rPr>
                <w:rFonts w:ascii="Tahoma" w:hAnsi="Tahoma" w:cs="Tahoma"/>
                <w:sz w:val="20"/>
                <w:szCs w:val="20"/>
              </w:rPr>
              <w:t>основним нормативно-правовим актом, що регулює користування надрами</w:t>
            </w:r>
            <w:r w:rsidR="00576952">
              <w:rPr>
                <w:rFonts w:ascii="Tahoma" w:hAnsi="Tahoma" w:cs="Tahoma"/>
                <w:sz w:val="20"/>
                <w:szCs w:val="20"/>
              </w:rPr>
              <w:t xml:space="preserve">. Передбачається </w:t>
            </w:r>
            <w:r w:rsidR="00287D63" w:rsidRPr="00576952">
              <w:rPr>
                <w:rFonts w:ascii="Tahoma" w:hAnsi="Tahoma" w:cs="Tahoma"/>
                <w:sz w:val="20"/>
                <w:szCs w:val="20"/>
              </w:rPr>
              <w:t xml:space="preserve">скасування більшості чинних </w:t>
            </w:r>
            <w:r w:rsidR="00576952">
              <w:rPr>
                <w:rFonts w:ascii="Tahoma" w:hAnsi="Tahoma" w:cs="Tahoma"/>
                <w:sz w:val="20"/>
                <w:szCs w:val="20"/>
              </w:rPr>
              <w:t>П</w:t>
            </w:r>
            <w:r w:rsidR="00287D63" w:rsidRPr="00576952">
              <w:rPr>
                <w:rFonts w:ascii="Tahoma" w:hAnsi="Tahoma" w:cs="Tahoma"/>
                <w:sz w:val="20"/>
                <w:szCs w:val="20"/>
              </w:rPr>
              <w:t>останов КМУ, ЗУ «Про нафту і газ», Гірничого закону, чинного Кодексу про надра;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6952" w:rsidRPr="00576952" w:rsidRDefault="00D5544A" w:rsidP="0057695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76952">
              <w:rPr>
                <w:rFonts w:ascii="Tahoma" w:hAnsi="Tahoma" w:cs="Tahoma"/>
                <w:sz w:val="20"/>
                <w:szCs w:val="20"/>
                <w:u w:val="single"/>
              </w:rPr>
              <w:t xml:space="preserve">Кодекс повинен </w:t>
            </w:r>
            <w:r w:rsidR="00576952" w:rsidRPr="00576952">
              <w:rPr>
                <w:rFonts w:ascii="Tahoma" w:hAnsi="Tahoma" w:cs="Tahoma"/>
                <w:sz w:val="20"/>
                <w:szCs w:val="20"/>
                <w:u w:val="single"/>
              </w:rPr>
              <w:t>забезпечити прозорість регулювання та відповідальність.</w:t>
            </w:r>
            <w:r w:rsidRPr="00576952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  <w:p w:rsidR="00576952" w:rsidRDefault="00D5544A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регулювання відносин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надрокористування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, в тому числі видачу спеціальних дозволів, здійснює єдиний орган - Міністерство екології та природних ресурсів України; </w:t>
            </w:r>
          </w:p>
          <w:p w:rsidR="00576952" w:rsidRPr="00576952" w:rsidRDefault="00576952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структура органу повинна бути чіткою, прозорою та зрозумілою;</w:t>
            </w:r>
          </w:p>
          <w:p w:rsidR="00576952" w:rsidRDefault="00576952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Кодекс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встановлює </w:t>
            </w:r>
            <w:r w:rsidR="00D5544A" w:rsidRPr="00576952">
              <w:rPr>
                <w:rFonts w:ascii="Tahoma" w:hAnsi="Tahoma" w:cs="Tahoma"/>
                <w:sz w:val="20"/>
                <w:szCs w:val="20"/>
              </w:rPr>
              <w:t>чіткі процедури</w:t>
            </w:r>
            <w:r w:rsidR="00705FFD" w:rsidRPr="00576952">
              <w:rPr>
                <w:rFonts w:ascii="Tahoma" w:hAnsi="Tahoma" w:cs="Tahoma"/>
                <w:sz w:val="20"/>
                <w:szCs w:val="20"/>
              </w:rPr>
              <w:t xml:space="preserve"> та критерії</w:t>
            </w:r>
            <w:r w:rsidR="00D5544A" w:rsidRPr="00576952">
              <w:rPr>
                <w:rFonts w:ascii="Tahoma" w:hAnsi="Tahoma" w:cs="Tahoma"/>
                <w:sz w:val="20"/>
                <w:szCs w:val="20"/>
              </w:rPr>
              <w:t xml:space="preserve"> для прийняття рішень державн</w:t>
            </w:r>
            <w:r w:rsidR="00705FFD" w:rsidRPr="00576952">
              <w:rPr>
                <w:rFonts w:ascii="Tahoma" w:hAnsi="Tahoma" w:cs="Tahoma"/>
                <w:sz w:val="20"/>
                <w:szCs w:val="20"/>
              </w:rPr>
              <w:t>ого органу</w:t>
            </w:r>
            <w:r w:rsidR="00D5544A" w:rsidRPr="00576952">
              <w:rPr>
                <w:rFonts w:ascii="Tahoma" w:hAnsi="Tahoma" w:cs="Tahoma"/>
                <w:sz w:val="20"/>
                <w:szCs w:val="20"/>
              </w:rPr>
              <w:t xml:space="preserve"> (строки прийняття рішень, виключний перелік підстав для відмови у прийнятті рішень, тощо);</w:t>
            </w:r>
          </w:p>
          <w:p w:rsidR="00576952" w:rsidRDefault="00D5544A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наслідком порушення таких процедурних норм з боку державних органів є індивідуальна юридична відповідальність посадових осіб;</w:t>
            </w:r>
            <w:r w:rsidR="00705FFD"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97453" w:rsidRPr="00576952" w:rsidRDefault="00705FFD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при перевірках діяльності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надрокористувачів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повинен застосовуватись ризик-орієнтований підхід;</w:t>
            </w:r>
            <w:r w:rsidRPr="0057695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576952" w:rsidRPr="00576952" w:rsidRDefault="00576952" w:rsidP="00576952">
            <w:pPr>
              <w:pStyle w:val="ListParagraph"/>
              <w:spacing w:before="0" w:beforeAutospacing="0" w:after="0" w:afterAutospacing="0"/>
              <w:ind w:left="6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FFD" w:rsidRPr="00576952" w:rsidTr="00990533">
        <w:tc>
          <w:tcPr>
            <w:tcW w:w="10762" w:type="dxa"/>
            <w:shd w:val="clear" w:color="auto" w:fill="auto"/>
          </w:tcPr>
          <w:p w:rsidR="00576952" w:rsidRDefault="00705FFD" w:rsidP="0057695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  <w:u w:val="single"/>
              </w:rPr>
              <w:t>Кодекс повинен передбачати ефективні засоби захисту інвестицій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76952" w:rsidRDefault="00705FFD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документ повинен містити стабілізаційне застереження від змін у законодавстві протягом 3-5 річного строку з моменту  прийняття кодексу та з моменту видачі кожного спеціального дозволу на користування надрами</w:t>
            </w:r>
            <w:r w:rsidR="00576952">
              <w:rPr>
                <w:rFonts w:ascii="Tahoma" w:hAnsi="Tahoma" w:cs="Tahoma"/>
                <w:sz w:val="20"/>
                <w:szCs w:val="20"/>
              </w:rPr>
              <w:t xml:space="preserve">, якщо такі зміни не на користь </w:t>
            </w:r>
            <w:proofErr w:type="spellStart"/>
            <w:r w:rsidR="00576952">
              <w:rPr>
                <w:rFonts w:ascii="Tahoma" w:hAnsi="Tahoma" w:cs="Tahoma"/>
                <w:sz w:val="20"/>
                <w:szCs w:val="20"/>
              </w:rPr>
              <w:t>надрокористувача</w:t>
            </w:r>
            <w:proofErr w:type="spellEnd"/>
            <w:r w:rsidR="00576952"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1"/>
            </w:r>
            <w:r w:rsidR="0057695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05FFD" w:rsidRDefault="00705FFD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документом повинен 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>встановити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принцип  «належного урядування», який 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>передбачає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, що  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>р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изик будь-якої помилки 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 xml:space="preserve">чи недобросовісності 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державного органу 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>має покладатися на саму державу;</w:t>
            </w:r>
          </w:p>
          <w:p w:rsidR="00576952" w:rsidRPr="00576952" w:rsidRDefault="00576952" w:rsidP="00576952">
            <w:pPr>
              <w:pStyle w:val="ListParagraph"/>
              <w:spacing w:before="0" w:beforeAutospacing="0" w:after="0" w:afterAutospacing="0"/>
              <w:ind w:left="6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6952" w:rsidRDefault="001E22A2" w:rsidP="0057695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4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  <w:u w:val="single"/>
              </w:rPr>
              <w:t xml:space="preserve">Кодекс повинен </w:t>
            </w:r>
            <w:r w:rsidR="00576952" w:rsidRPr="00576952">
              <w:rPr>
                <w:rFonts w:ascii="Tahoma" w:hAnsi="Tahoma" w:cs="Tahoma"/>
                <w:sz w:val="20"/>
                <w:szCs w:val="20"/>
                <w:u w:val="single"/>
              </w:rPr>
              <w:t xml:space="preserve">містити виключний </w:t>
            </w:r>
            <w:r w:rsidR="00216A60" w:rsidRPr="00576952">
              <w:rPr>
                <w:rFonts w:ascii="Tahoma" w:hAnsi="Tahoma" w:cs="Tahoma"/>
                <w:sz w:val="20"/>
                <w:szCs w:val="20"/>
                <w:u w:val="single"/>
              </w:rPr>
              <w:t>перелік обов’язкових платежів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16A60" w:rsidRPr="00576952">
              <w:rPr>
                <w:rFonts w:ascii="Tahoma" w:hAnsi="Tahoma" w:cs="Tahoma"/>
                <w:sz w:val="20"/>
                <w:szCs w:val="20"/>
              </w:rPr>
              <w:t>початкова оцінка вартості спеціального дозволу, геологічна інформація, що знаходиться у розпорядженні держави, тощо)</w:t>
            </w:r>
          </w:p>
          <w:p w:rsidR="00576952" w:rsidRDefault="00576952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усі платежі повинні розраховуватись у чіткий, уніфікований та прозорий спосіб;</w:t>
            </w:r>
          </w:p>
          <w:p w:rsidR="005754C8" w:rsidRPr="00576952" w:rsidRDefault="00553618" w:rsidP="00576952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платежі податкового характеру повинні бути передбаченими також у Податковому кодексі.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jc w:val="both"/>
              <w:rPr>
                <w:rFonts w:ascii="Tahoma" w:eastAsia="Calibri" w:hAnsi="Tahoma" w:cs="Tahoma"/>
                <w:sz w:val="20"/>
                <w:szCs w:val="20"/>
                <w:u w:val="single"/>
              </w:rPr>
            </w:pPr>
          </w:p>
        </w:tc>
      </w:tr>
      <w:tr w:rsidR="005754C8" w:rsidRPr="00576952" w:rsidTr="00553618">
        <w:trPr>
          <w:trHeight w:val="396"/>
        </w:trPr>
        <w:tc>
          <w:tcPr>
            <w:tcW w:w="10762" w:type="dxa"/>
            <w:shd w:val="clear" w:color="auto" w:fill="auto"/>
          </w:tcPr>
          <w:p w:rsidR="005754C8" w:rsidRDefault="005754C8" w:rsidP="00553618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342" w:hanging="90"/>
              <w:contextualSpacing/>
              <w:rPr>
                <w:rFonts w:ascii="Tahoma" w:hAnsi="Tahoma" w:cs="Tahoma"/>
                <w:caps/>
                <w:sz w:val="20"/>
                <w:szCs w:val="20"/>
              </w:rPr>
            </w:pPr>
            <w:r w:rsidRPr="00553618">
              <w:rPr>
                <w:rFonts w:ascii="Tahoma" w:hAnsi="Tahoma" w:cs="Tahoma"/>
                <w:b/>
                <w:caps/>
                <w:sz w:val="20"/>
                <w:szCs w:val="20"/>
              </w:rPr>
              <w:t>Право користування надрами</w:t>
            </w:r>
            <w:r w:rsidRPr="00576952">
              <w:rPr>
                <w:rFonts w:ascii="Tahoma" w:hAnsi="Tahoma" w:cs="Tahoma"/>
                <w:caps/>
                <w:sz w:val="20"/>
                <w:szCs w:val="20"/>
              </w:rPr>
              <w:t xml:space="preserve">: </w:t>
            </w:r>
          </w:p>
          <w:p w:rsidR="00553618" w:rsidRPr="00576952" w:rsidRDefault="00553618" w:rsidP="00553618">
            <w:pPr>
              <w:pStyle w:val="ListParagraph"/>
              <w:spacing w:before="0" w:beforeAutospacing="0" w:after="0" w:afterAutospacing="0"/>
              <w:ind w:left="342"/>
              <w:contextualSpacing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53618" w:rsidRDefault="00990533" w:rsidP="00553618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53618">
              <w:rPr>
                <w:rFonts w:ascii="Tahoma" w:hAnsi="Tahoma" w:cs="Tahoma"/>
                <w:sz w:val="20"/>
                <w:szCs w:val="20"/>
                <w:u w:val="single"/>
              </w:rPr>
              <w:t xml:space="preserve">  </w:t>
            </w:r>
            <w:r w:rsidR="005754C8" w:rsidRPr="00553618">
              <w:rPr>
                <w:rFonts w:ascii="Tahoma" w:hAnsi="Tahoma" w:cs="Tahoma"/>
                <w:sz w:val="20"/>
                <w:szCs w:val="20"/>
                <w:u w:val="single"/>
              </w:rPr>
              <w:t>Документи, що встановлюють право на користування надрами: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1E22A2" w:rsidRPr="00576952" w:rsidRDefault="005754C8" w:rsidP="00553618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3618">
              <w:rPr>
                <w:rFonts w:ascii="Tahoma" w:hAnsi="Tahoma" w:cs="Tahoma"/>
                <w:b/>
                <w:sz w:val="20"/>
                <w:szCs w:val="20"/>
              </w:rPr>
              <w:t xml:space="preserve">спеціальний </w:t>
            </w:r>
            <w:r w:rsidR="006E7868" w:rsidRPr="00553618">
              <w:rPr>
                <w:rFonts w:ascii="Tahoma" w:hAnsi="Tahoma" w:cs="Tahoma"/>
                <w:b/>
                <w:sz w:val="20"/>
                <w:szCs w:val="20"/>
              </w:rPr>
              <w:t>дозвіл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 xml:space="preserve"> - спеціальний дозвіл </w:t>
            </w:r>
            <w:r w:rsidR="00553618">
              <w:rPr>
                <w:rFonts w:ascii="Tahoma" w:hAnsi="Tahoma" w:cs="Tahoma"/>
                <w:sz w:val="20"/>
                <w:szCs w:val="20"/>
              </w:rPr>
              <w:t xml:space="preserve">є уніфікованим та 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>видається одночасно на геологічне вивчення та видобування</w:t>
            </w:r>
            <w:r w:rsidR="00553618">
              <w:rPr>
                <w:rFonts w:ascii="Tahoma" w:hAnsi="Tahoma" w:cs="Tahoma"/>
                <w:sz w:val="20"/>
                <w:szCs w:val="20"/>
              </w:rPr>
              <w:t>.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618">
              <w:rPr>
                <w:rFonts w:ascii="Tahoma" w:hAnsi="Tahoma" w:cs="Tahoma"/>
                <w:sz w:val="20"/>
                <w:szCs w:val="20"/>
              </w:rPr>
              <w:t>П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>рава</w:t>
            </w:r>
            <w:r w:rsidR="00553618">
              <w:rPr>
                <w:rFonts w:ascii="Tahoma" w:hAnsi="Tahoma" w:cs="Tahoma"/>
                <w:sz w:val="20"/>
                <w:szCs w:val="20"/>
              </w:rPr>
              <w:t xml:space="preserve"> на </w:t>
            </w:r>
            <w:proofErr w:type="spellStart"/>
            <w:r w:rsidR="00553618">
              <w:rPr>
                <w:rFonts w:ascii="Tahoma" w:hAnsi="Tahoma" w:cs="Tahoma"/>
                <w:sz w:val="20"/>
                <w:szCs w:val="20"/>
              </w:rPr>
              <w:t>надрокористування</w:t>
            </w:r>
            <w:proofErr w:type="spellEnd"/>
            <w:r w:rsidR="001E22A2" w:rsidRPr="00576952">
              <w:rPr>
                <w:rFonts w:ascii="Tahoma" w:hAnsi="Tahoma" w:cs="Tahoma"/>
                <w:sz w:val="20"/>
                <w:szCs w:val="20"/>
              </w:rPr>
              <w:t>, зазначені у спеціальному дозволі</w:t>
            </w:r>
            <w:r w:rsidR="00553618">
              <w:rPr>
                <w:rFonts w:ascii="Tahoma" w:hAnsi="Tahoma" w:cs="Tahoma"/>
                <w:sz w:val="20"/>
                <w:szCs w:val="20"/>
              </w:rPr>
              <w:t xml:space="preserve"> (розвідка, видобування тощо),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 xml:space="preserve"> використовуються за рішенням </w:t>
            </w:r>
            <w:proofErr w:type="spellStart"/>
            <w:r w:rsidR="001E22A2" w:rsidRPr="00576952">
              <w:rPr>
                <w:rFonts w:ascii="Tahoma" w:hAnsi="Tahoma" w:cs="Tahoma"/>
                <w:sz w:val="20"/>
                <w:szCs w:val="20"/>
              </w:rPr>
              <w:t>надрокористувача</w:t>
            </w:r>
            <w:proofErr w:type="spellEnd"/>
            <w:r w:rsidR="00553618">
              <w:rPr>
                <w:rFonts w:ascii="Tahoma" w:hAnsi="Tahoma" w:cs="Tahoma"/>
                <w:sz w:val="20"/>
                <w:szCs w:val="20"/>
              </w:rPr>
              <w:t>,</w:t>
            </w:r>
            <w:r w:rsidR="001E22A2" w:rsidRPr="00576952">
              <w:rPr>
                <w:rFonts w:ascii="Tahoma" w:hAnsi="Tahoma" w:cs="Tahoma"/>
                <w:sz w:val="20"/>
                <w:szCs w:val="20"/>
              </w:rPr>
              <w:t xml:space="preserve"> у урахуванням  вимог законодавства</w:t>
            </w:r>
            <w:r w:rsidR="00553618">
              <w:rPr>
                <w:rFonts w:ascii="Tahoma" w:hAnsi="Tahoma" w:cs="Tahoma"/>
                <w:sz w:val="20"/>
                <w:szCs w:val="20"/>
              </w:rPr>
              <w:t xml:space="preserve">. Строк на реалізацію окремих прав на </w:t>
            </w:r>
            <w:proofErr w:type="spellStart"/>
            <w:r w:rsidR="00553618">
              <w:rPr>
                <w:rFonts w:ascii="Tahoma" w:hAnsi="Tahoma" w:cs="Tahoma"/>
                <w:sz w:val="20"/>
                <w:szCs w:val="20"/>
              </w:rPr>
              <w:t>надрокористуванн</w:t>
            </w:r>
            <w:r w:rsidR="00553618">
              <w:rPr>
                <w:rFonts w:ascii="Tahoma" w:hAnsi="Tahoma" w:cs="Tahoma"/>
                <w:sz w:val="20"/>
                <w:szCs w:val="20"/>
              </w:rPr>
              <w:t>я</w:t>
            </w:r>
            <w:proofErr w:type="spellEnd"/>
            <w:r w:rsidR="00553618">
              <w:rPr>
                <w:rFonts w:ascii="Tahoma" w:hAnsi="Tahoma" w:cs="Tahoma"/>
                <w:sz w:val="20"/>
                <w:szCs w:val="20"/>
              </w:rPr>
              <w:t xml:space="preserve"> повинен бути скасованим. Загальний строк для уніфікованого спеціального дозволу – 25 років.</w:t>
            </w:r>
          </w:p>
          <w:p w:rsidR="00287D63" w:rsidRPr="00553618" w:rsidRDefault="001E22A2" w:rsidP="00553618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53618">
              <w:rPr>
                <w:rFonts w:ascii="Tahoma" w:hAnsi="Tahoma" w:cs="Tahoma"/>
                <w:b/>
                <w:sz w:val="20"/>
                <w:szCs w:val="20"/>
              </w:rPr>
              <w:t>угода про розподіл продукції</w:t>
            </w:r>
            <w:r w:rsidR="00990533" w:rsidRPr="00553618">
              <w:rPr>
                <w:rFonts w:ascii="Tahoma" w:hAnsi="Tahoma" w:cs="Tahoma"/>
                <w:sz w:val="20"/>
                <w:szCs w:val="20"/>
              </w:rPr>
              <w:t>.</w:t>
            </w:r>
            <w:r w:rsidR="00553618" w:rsidRPr="00553618">
              <w:rPr>
                <w:rFonts w:ascii="Tahoma" w:hAnsi="Tahoma" w:cs="Tahoma"/>
                <w:sz w:val="20"/>
                <w:szCs w:val="20"/>
              </w:rPr>
              <w:t xml:space="preserve"> Необхідно визначити критерії щодо номінації ділянки дл</w:t>
            </w:r>
            <w:r w:rsidR="00553618">
              <w:rPr>
                <w:rFonts w:ascii="Tahoma" w:hAnsi="Tahoma" w:cs="Tahoma"/>
                <w:sz w:val="20"/>
                <w:szCs w:val="20"/>
              </w:rPr>
              <w:t>я</w:t>
            </w:r>
            <w:r w:rsidR="00553618" w:rsidRPr="00553618">
              <w:rPr>
                <w:rFonts w:ascii="Tahoma" w:hAnsi="Tahoma" w:cs="Tahoma"/>
                <w:sz w:val="20"/>
                <w:szCs w:val="20"/>
              </w:rPr>
              <w:t xml:space="preserve"> УРП:</w:t>
            </w:r>
            <w:r w:rsidR="00553618">
              <w:rPr>
                <w:rFonts w:ascii="Tahoma" w:hAnsi="Tahoma" w:cs="Tahoma"/>
                <w:sz w:val="20"/>
                <w:szCs w:val="20"/>
              </w:rPr>
              <w:t xml:space="preserve"> інтенсивність капіталу, глибоководне буріння, буріння на шельфі</w:t>
            </w:r>
            <w:r w:rsidR="00553618"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="005536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ind w:left="216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53618" w:rsidRDefault="005754C8" w:rsidP="00553618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53618">
              <w:rPr>
                <w:rFonts w:ascii="Tahoma" w:hAnsi="Tahoma" w:cs="Tahoma"/>
                <w:sz w:val="20"/>
                <w:szCs w:val="20"/>
                <w:u w:val="single"/>
              </w:rPr>
              <w:t xml:space="preserve">Користувачі надр: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553618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3618">
              <w:rPr>
                <w:rFonts w:ascii="Tahoma" w:hAnsi="Tahoma" w:cs="Tahoma"/>
                <w:sz w:val="20"/>
                <w:szCs w:val="20"/>
              </w:rPr>
              <w:t>можуть бути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в тому числі</w:t>
            </w:r>
            <w:r w:rsidR="00A53114" w:rsidRPr="00576952">
              <w:rPr>
                <w:rFonts w:ascii="Tahoma" w:hAnsi="Tahoma" w:cs="Tahoma"/>
                <w:sz w:val="20"/>
                <w:szCs w:val="20"/>
              </w:rPr>
              <w:t xml:space="preserve"> і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іноземні юридичні або фізичні особи (з зобов’язанням зареєструватись платником податків/відкрити представництво або заснувати дочірню компанію протягом 3-х місяців після отрим</w:t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ання прав користування надрами</w:t>
            </w:r>
            <w:r w:rsidR="00553618"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3"/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ind w:left="216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DA0F4B" w:rsidRDefault="005754C8" w:rsidP="00DA0F4B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0F4B"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 xml:space="preserve">Набуття права користування надрами: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за результатами проведення аукціону;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відсутність преференцій держави щодо отримання надр у користування </w:t>
            </w:r>
            <w:r w:rsidR="00193885" w:rsidRPr="00576952">
              <w:rPr>
                <w:rFonts w:ascii="Tahoma" w:hAnsi="Tahoma" w:cs="Tahoma"/>
                <w:sz w:val="20"/>
                <w:szCs w:val="20"/>
              </w:rPr>
              <w:t>поза аукціоном</w:t>
            </w:r>
            <w:r w:rsidRPr="00576952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193885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поза аукціоном, у виключних випадках</w:t>
            </w:r>
            <w:r w:rsidR="00777CBE" w:rsidRPr="00576952">
              <w:rPr>
                <w:rFonts w:ascii="Tahoma" w:hAnsi="Tahoma" w:cs="Tahoma"/>
                <w:sz w:val="20"/>
                <w:szCs w:val="20"/>
                <w:lang w:val="ru-RU"/>
              </w:rPr>
              <w:t>, ч</w:t>
            </w:r>
            <w:proofErr w:type="spellStart"/>
            <w:r w:rsidR="00777CBE" w:rsidRPr="00576952">
              <w:rPr>
                <w:rFonts w:ascii="Tahoma" w:hAnsi="Tahoma" w:cs="Tahoma"/>
                <w:sz w:val="20"/>
                <w:szCs w:val="20"/>
              </w:rPr>
              <w:t>ітко</w:t>
            </w:r>
            <w:proofErr w:type="spellEnd"/>
            <w:r w:rsidR="00777CBE" w:rsidRPr="00576952">
              <w:rPr>
                <w:rFonts w:ascii="Tahoma" w:hAnsi="Tahoma" w:cs="Tahoma"/>
                <w:sz w:val="20"/>
                <w:szCs w:val="20"/>
              </w:rPr>
              <w:t xml:space="preserve"> передбачених законодавством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укладення угоди про розподіл продукції за ЗУ «Про угоди про розподіл продукції»;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на підставі цивільно-правових угод.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ind w:left="216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DA0F4B" w:rsidRDefault="005754C8" w:rsidP="00DA0F4B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0F4B">
              <w:rPr>
                <w:rFonts w:ascii="Tahoma" w:hAnsi="Tahoma" w:cs="Tahoma"/>
                <w:sz w:val="20"/>
                <w:szCs w:val="20"/>
                <w:u w:val="single"/>
              </w:rPr>
              <w:t xml:space="preserve">Аукціон: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всі етапи аукціону є відкритими та публічними;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ор</w:t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ганізатором аукціону виступає Міністерство екології та природний ресурсів України</w:t>
            </w:r>
            <w:r w:rsidRPr="00576952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ініціатором аукціону щодо ділянки надр можуть виступати зацікавлені особи;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організатор до проведення аукціону, не пізніше ніж за 90 днів  до проведення аукціону, в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>изначає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кваліфікаційні вимоги до учасників аукціону та мінімальні зобов’язання щодо ділянки надр (мінімальний обсяг робіт та/або фінансові зобов’язання);</w:t>
            </w:r>
          </w:p>
          <w:p w:rsidR="00DA0F4B" w:rsidRPr="00576952" w:rsidRDefault="00DA0F4B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аукціони повинні проводитись в електронному вигляді;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6E6BED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вважається, що 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>аукціон відбувся за наявності щонайменше одного претендента;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переможцем аукціону є особа, що запропонувала найвищу ціну.</w:t>
            </w:r>
          </w:p>
        </w:tc>
      </w:tr>
      <w:tr w:rsidR="005754C8" w:rsidRPr="00576952" w:rsidTr="00990533">
        <w:trPr>
          <w:trHeight w:val="204"/>
        </w:trPr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DA0F4B" w:rsidRDefault="005754C8" w:rsidP="00DA0F4B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A0F4B">
              <w:rPr>
                <w:rFonts w:ascii="Tahoma" w:hAnsi="Tahoma" w:cs="Tahoma"/>
                <w:sz w:val="20"/>
                <w:szCs w:val="20"/>
                <w:u w:val="single"/>
              </w:rPr>
              <w:t>Випадки надання права користування надрами без аукціону: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990533" w:rsidRDefault="00777CBE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505950555"/>
            <w:r w:rsidRPr="00576952">
              <w:rPr>
                <w:rFonts w:ascii="Tahoma" w:hAnsi="Tahoma" w:cs="Tahoma"/>
                <w:sz w:val="20"/>
                <w:szCs w:val="20"/>
              </w:rPr>
              <w:t xml:space="preserve">у випадку 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>використання надр, не пов’язан</w:t>
            </w:r>
            <w:r w:rsidRPr="00576952">
              <w:rPr>
                <w:rFonts w:ascii="Tahoma" w:hAnsi="Tahoma" w:cs="Tahoma"/>
                <w:sz w:val="20"/>
                <w:szCs w:val="20"/>
              </w:rPr>
              <w:t>ого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 з видобуванням корисних копалин (підземні сховища,  користування підземними водами для власних, виробничих, </w:t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с/г потреб, лікувальні ресурси</w:t>
            </w:r>
            <w:r w:rsidR="00DA0F4B">
              <w:rPr>
                <w:rFonts w:ascii="Tahoma" w:hAnsi="Tahoma" w:cs="Tahoma"/>
                <w:sz w:val="20"/>
                <w:szCs w:val="20"/>
              </w:rPr>
              <w:t>, п.6,7 ст.8 Постанови КМУ №615</w:t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)</w:t>
            </w:r>
            <w:r w:rsidR="00DA0F4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A0F4B" w:rsidRDefault="00DA0F4B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0F4B">
              <w:rPr>
                <w:rFonts w:ascii="Tahoma" w:hAnsi="Tahoma" w:cs="Tahoma"/>
                <w:sz w:val="20"/>
                <w:szCs w:val="20"/>
              </w:rPr>
              <w:t>підземного зберігання нафти, газу та інших речовин і матеріалів, захоронення шкідливих речовин і відходів виробництва, скидання стічних вод (</w:t>
            </w:r>
            <w:r>
              <w:rPr>
                <w:rFonts w:ascii="Tahoma" w:hAnsi="Tahoma" w:cs="Tahoma"/>
                <w:sz w:val="20"/>
                <w:szCs w:val="20"/>
              </w:rPr>
              <w:t xml:space="preserve">п.9,10 ст.8 </w:t>
            </w:r>
            <w:r>
              <w:rPr>
                <w:rFonts w:ascii="Tahoma" w:hAnsi="Tahoma" w:cs="Tahoma"/>
                <w:sz w:val="20"/>
                <w:szCs w:val="20"/>
              </w:rPr>
              <w:t>Постанови КМУ №615</w:t>
            </w:r>
            <w:r w:rsidRPr="00DA0F4B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A0F4B" w:rsidRDefault="00DA0F4B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0F4B">
              <w:rPr>
                <w:rFonts w:ascii="Tahoma" w:hAnsi="Tahoma" w:cs="Tahoma"/>
                <w:sz w:val="20"/>
                <w:szCs w:val="20"/>
              </w:rPr>
              <w:t>експлуатації підземних споруд, пов'язаної із запобіганням підтопленню навколишнього середовища внаслідок закриття шахт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п.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ст.8 Постанови КМУ №615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DA0F4B" w:rsidRDefault="00DA0F4B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УРП;</w:t>
            </w:r>
          </w:p>
          <w:p w:rsidR="00DA0F4B" w:rsidRPr="00DA0F4B" w:rsidRDefault="00DA0F4B" w:rsidP="00DA0F4B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0F4B">
              <w:rPr>
                <w:rFonts w:ascii="Tahoma" w:hAnsi="Tahoma" w:cs="Tahoma"/>
                <w:sz w:val="20"/>
                <w:szCs w:val="20"/>
              </w:rPr>
              <w:t>якщо заявник є власником цілісного майнового комплексу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A0F4B">
              <w:rPr>
                <w:rFonts w:ascii="Tahoma" w:hAnsi="Tahoma" w:cs="Tahoma"/>
                <w:sz w:val="20"/>
                <w:szCs w:val="20"/>
              </w:rPr>
              <w:t>геологічн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DA0F4B">
              <w:rPr>
                <w:rFonts w:ascii="Tahoma" w:hAnsi="Tahoma" w:cs="Tahoma"/>
                <w:sz w:val="20"/>
                <w:szCs w:val="20"/>
              </w:rPr>
              <w:t xml:space="preserve"> вивчення, в тому числі дослідно-промислової розробки родовищ корисних копалин загальнодержавного значення, визначених у підрозділах "Сировина вогнетривка", "Сировина скляна та фарфоро-фаянсова", "Сировина цементна" розділу "Неметалічні"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п.1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ст.8 Постанови КМУ №615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bookmarkEnd w:id="0"/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ind w:left="216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187B91" w:rsidRDefault="005754C8" w:rsidP="00DA0F4B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87B91">
              <w:rPr>
                <w:rFonts w:ascii="Tahoma" w:hAnsi="Tahoma" w:cs="Tahoma"/>
                <w:sz w:val="20"/>
                <w:szCs w:val="20"/>
                <w:u w:val="single"/>
              </w:rPr>
              <w:t>Цивільно-правові угоди: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990533" w:rsidP="008119F0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право користування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 може бути відчужено іншим особам</w:t>
            </w:r>
            <w:r w:rsidR="00187B91"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4"/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8119F0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користувач надр, який виявив бажання здійснити відчуження, зобов’язаний надати уповноваженому органу державної влади відомості про набувача прав; державний орган може відмовити у наданні згоди на відчуження, якщо набувач не спроможний продовжити виконання умов </w:t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спеціального дозволу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5754C8" w:rsidRPr="00576952" w:rsidTr="00990533">
        <w:trPr>
          <w:trHeight w:val="184"/>
        </w:trPr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187B91" w:rsidRDefault="005754C8" w:rsidP="00DA0F4B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87B91">
              <w:rPr>
                <w:rFonts w:ascii="Tahoma" w:hAnsi="Tahoma" w:cs="Tahoma"/>
                <w:sz w:val="20"/>
                <w:szCs w:val="20"/>
                <w:u w:val="single"/>
              </w:rPr>
              <w:t>Підстави для припинення права користування надрами: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закінчення строку дії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 xml:space="preserve"> дозволу</w:t>
            </w:r>
            <w:r w:rsidRPr="00576952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відмова користувача надр;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ліквідація юридично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>ї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особи;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777CBE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за 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>рішення</w:t>
            </w:r>
            <w:r w:rsidRPr="00576952">
              <w:rPr>
                <w:rFonts w:ascii="Tahoma" w:hAnsi="Tahoma" w:cs="Tahoma"/>
                <w:sz w:val="20"/>
                <w:szCs w:val="20"/>
              </w:rPr>
              <w:t>м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 суду</w:t>
            </w:r>
            <w:r w:rsidR="00187B91">
              <w:rPr>
                <w:rFonts w:ascii="Tahoma" w:hAnsi="Tahoma" w:cs="Tahoma"/>
                <w:sz w:val="20"/>
                <w:szCs w:val="20"/>
              </w:rPr>
              <w:t xml:space="preserve"> першої інстанції та Апеляційного суду, при умові набуття законної сили рішенням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 (щодо встановлення факту подання неправдивих відомостей, визнання недійсними результатів аукціону, порушення </w:t>
            </w:r>
            <w:proofErr w:type="spellStart"/>
            <w:r w:rsidR="005754C8" w:rsidRPr="00576952">
              <w:rPr>
                <w:rFonts w:ascii="Tahoma" w:hAnsi="Tahoma" w:cs="Tahoma"/>
                <w:sz w:val="20"/>
                <w:szCs w:val="20"/>
              </w:rPr>
              <w:t>надрокористувачем</w:t>
            </w:r>
            <w:proofErr w:type="spellEnd"/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 істотних умов </w:t>
            </w:r>
            <w:r w:rsidR="00990533" w:rsidRPr="00576952">
              <w:rPr>
                <w:rFonts w:ascii="Tahoma" w:hAnsi="Tahoma" w:cs="Tahoma"/>
                <w:sz w:val="20"/>
                <w:szCs w:val="20"/>
              </w:rPr>
              <w:t>спеціального дозволу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187B91" w:rsidRDefault="005754C8" w:rsidP="0099053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87B91">
              <w:rPr>
                <w:rFonts w:ascii="Tahoma" w:hAnsi="Tahoma" w:cs="Tahoma"/>
                <w:b/>
                <w:caps/>
                <w:sz w:val="20"/>
                <w:szCs w:val="20"/>
              </w:rPr>
              <w:t>ОБ</w:t>
            </w:r>
            <w:r w:rsidRPr="00187B91">
              <w:rPr>
                <w:rFonts w:ascii="Tahoma" w:hAnsi="Tahoma" w:cs="Tahoma"/>
                <w:b/>
                <w:caps/>
                <w:sz w:val="20"/>
                <w:szCs w:val="20"/>
                <w:lang w:val="en-US"/>
              </w:rPr>
              <w:t>’</w:t>
            </w:r>
            <w:r w:rsidRPr="00187B91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ЄКТИ ІНФРАСТРУКТУРИ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свердловини, інші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гірничовидобувні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та інфраструктурні об’єкти є власністю особи, </w:t>
            </w:r>
            <w:r w:rsidR="00187B91">
              <w:rPr>
                <w:rFonts w:ascii="Tahoma" w:hAnsi="Tahoma" w:cs="Tahoma"/>
                <w:sz w:val="20"/>
                <w:szCs w:val="20"/>
              </w:rPr>
              <w:t xml:space="preserve">яка була замовником </w:t>
            </w:r>
            <w:r w:rsidRPr="00576952">
              <w:rPr>
                <w:rFonts w:ascii="Tahoma" w:hAnsi="Tahoma" w:cs="Tahoma"/>
                <w:sz w:val="20"/>
                <w:szCs w:val="20"/>
              </w:rPr>
              <w:t>їх будівництв</w:t>
            </w:r>
            <w:r w:rsidR="00187B91">
              <w:rPr>
                <w:rFonts w:ascii="Tahoma" w:hAnsi="Tahoma" w:cs="Tahoma"/>
                <w:sz w:val="20"/>
                <w:szCs w:val="20"/>
              </w:rPr>
              <w:t>а (та власником дозволу)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; така особа відповідає за підтримання безпеки на таких об’єктах, в тому числі після припинення права користування надрами;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надрокористувач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, який не є власником свердловин,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гірничовидобувних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та інфраструктурних об’єктів, має право безперешкодного доступу до них та першочергове право оренди або викупу;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187B91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Державний інформаційний геологічний фонд формує та підтримує електронний публічний реєстр наявних свердловин, інш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>их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гірничовидобувних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та інфраструктурних об’єктів;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287D63" w:rsidRPr="00E9354E" w:rsidRDefault="005754C8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свердловини, а також об’єкти трубопровідного транспорту, під’їзні дороги, лінії електропередачі та інші виробничі споруди, пов’язані з експлуатацією свердловин</w:t>
            </w:r>
            <w:r w:rsidR="00187B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не відносяться до об‘єктів містобудування. </w:t>
            </w: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287D63">
            <w:pPr>
              <w:ind w:left="99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990533" w:rsidRPr="00576952" w:rsidTr="00990533">
        <w:tc>
          <w:tcPr>
            <w:tcW w:w="10762" w:type="dxa"/>
            <w:shd w:val="clear" w:color="auto" w:fill="auto"/>
          </w:tcPr>
          <w:p w:rsidR="00990533" w:rsidRPr="00E9354E" w:rsidRDefault="00990533" w:rsidP="0099053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9354E">
              <w:rPr>
                <w:rFonts w:ascii="Tahoma" w:hAnsi="Tahoma" w:cs="Tahoma"/>
                <w:b/>
                <w:caps/>
                <w:sz w:val="20"/>
                <w:szCs w:val="20"/>
              </w:rPr>
              <w:t>ГЕОЛОГІЧНА ІНФОРМАЦІЯ</w:t>
            </w:r>
            <w:r w:rsidR="00E9354E">
              <w:rPr>
                <w:rStyle w:val="FootnoteReference"/>
                <w:rFonts w:ascii="Tahoma" w:hAnsi="Tahoma" w:cs="Tahoma"/>
                <w:b/>
                <w:caps/>
                <w:sz w:val="20"/>
                <w:szCs w:val="20"/>
              </w:rPr>
              <w:footnoteReference w:id="5"/>
            </w:r>
          </w:p>
          <w:p w:rsidR="00E9354E" w:rsidRPr="00576952" w:rsidRDefault="00E9354E" w:rsidP="00E9354E">
            <w:pPr>
              <w:pStyle w:val="ListParagraph"/>
              <w:spacing w:before="0" w:beforeAutospacing="0" w:after="0" w:afterAutospacing="0"/>
              <w:ind w:left="7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геологічна інформація є майном; геологічна інформація, створена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надрокористувачем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належить йому на праві власності (володіння, користування та розпорядження геологічною інформацією регулюється загальними засадами права власності, передбаченими Цивільним Кодексом України); </w:t>
            </w: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геологічна інформаціє поділяється на первинну та узагальнену;</w:t>
            </w: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Hlk505952394"/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надрокористувач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подає в порядку заяв відомості до Державного інформаційного геологічного фонду про наявну в нього первинну геологічну інформацію; </w:t>
            </w:r>
            <w:bookmarkEnd w:id="1"/>
            <w:r w:rsidRPr="00576952">
              <w:rPr>
                <w:rFonts w:ascii="Tahoma" w:hAnsi="Tahoma" w:cs="Tahoma"/>
                <w:sz w:val="20"/>
                <w:szCs w:val="20"/>
              </w:rPr>
              <w:t xml:space="preserve">первинна геологічна інформація передається до Державного інформаційного геологічного фонду виключно за рішенням власника або у зв’язку з ліквідацією останнього та відсутністю правонаступників; </w:t>
            </w: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узагальнена інформація підлягає передачі (з можливістю розпорядження) на зберігання до Державного інформаційного геологічного фонду;</w:t>
            </w: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надрокористувач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формує та передає в державний фонд типові зразки різновидів гірських порід та корисних копалин;</w:t>
            </w:r>
          </w:p>
        </w:tc>
      </w:tr>
      <w:tr w:rsidR="00287D63" w:rsidRPr="00576952" w:rsidTr="00990533">
        <w:tc>
          <w:tcPr>
            <w:tcW w:w="10762" w:type="dxa"/>
            <w:shd w:val="clear" w:color="auto" w:fill="auto"/>
          </w:tcPr>
          <w:p w:rsidR="00287D63" w:rsidRPr="00576952" w:rsidRDefault="00287D63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Державний інформаційний геологічний фонд формує та підтримує публічний електронний реєстр наявної геологічної інформації з зазначенням її власника.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287D6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287D63" w:rsidRPr="00576952" w:rsidRDefault="00287D63" w:rsidP="00287D6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E9354E" w:rsidRDefault="005754C8" w:rsidP="0099053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9354E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Інші положення 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діяльність з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надрокористування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не підлягає ліцензуванню;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>відсутня вимога щодо оформлення гірничого відводу;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обов’язок щодо розкриття інформації відповідно до вимог Ініціативи 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>п</w:t>
            </w:r>
            <w:r w:rsidRPr="00576952">
              <w:rPr>
                <w:rFonts w:ascii="Tahoma" w:hAnsi="Tahoma" w:cs="Tahoma"/>
                <w:sz w:val="20"/>
                <w:szCs w:val="20"/>
              </w:rPr>
              <w:t xml:space="preserve">розорості 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>в</w:t>
            </w:r>
            <w:r w:rsidRPr="00576952">
              <w:rPr>
                <w:rFonts w:ascii="Tahoma" w:hAnsi="Tahoma" w:cs="Tahoma"/>
                <w:sz w:val="20"/>
                <w:szCs w:val="20"/>
              </w:rPr>
              <w:t>идобувних галуз</w:t>
            </w:r>
            <w:r w:rsidR="00777CBE" w:rsidRPr="00576952">
              <w:rPr>
                <w:rFonts w:ascii="Tahoma" w:hAnsi="Tahoma" w:cs="Tahoma"/>
                <w:sz w:val="20"/>
                <w:szCs w:val="20"/>
              </w:rPr>
              <w:t>ей</w:t>
            </w:r>
            <w:r w:rsidRPr="00576952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Pr="00576952" w:rsidRDefault="005754C8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_Hlk505952146"/>
            <w:r w:rsidRPr="00576952">
              <w:rPr>
                <w:rFonts w:ascii="Tahoma" w:hAnsi="Tahoma" w:cs="Tahoma"/>
                <w:sz w:val="20"/>
                <w:szCs w:val="20"/>
              </w:rPr>
              <w:t xml:space="preserve">введення родовищ в промислову розробку або в дослідно-промислову розробку здійснюється </w:t>
            </w:r>
            <w:proofErr w:type="spellStart"/>
            <w:r w:rsidRPr="00576952">
              <w:rPr>
                <w:rFonts w:ascii="Tahoma" w:hAnsi="Tahoma" w:cs="Tahoma"/>
                <w:sz w:val="20"/>
                <w:szCs w:val="20"/>
              </w:rPr>
              <w:t>надрокористувачем</w:t>
            </w:r>
            <w:proofErr w:type="spellEnd"/>
            <w:r w:rsidRPr="00576952">
              <w:rPr>
                <w:rFonts w:ascii="Tahoma" w:hAnsi="Tahoma" w:cs="Tahoma"/>
                <w:sz w:val="20"/>
                <w:szCs w:val="20"/>
              </w:rPr>
              <w:t xml:space="preserve"> на підставі відповідного проекту, що підлягає державній експертизі; центральні органи виконавчої влади інформуються в заявочному порядку;</w:t>
            </w:r>
            <w:bookmarkEnd w:id="2"/>
          </w:p>
        </w:tc>
      </w:tr>
      <w:tr w:rsidR="005754C8" w:rsidRPr="00576952" w:rsidTr="00990533">
        <w:tc>
          <w:tcPr>
            <w:tcW w:w="10762" w:type="dxa"/>
            <w:shd w:val="clear" w:color="auto" w:fill="auto"/>
          </w:tcPr>
          <w:p w:rsidR="005754C8" w:rsidRDefault="00216A60" w:rsidP="00E9354E">
            <w:pPr>
              <w:pStyle w:val="ListParagraph"/>
              <w:numPr>
                <w:ilvl w:val="1"/>
                <w:numId w:val="1"/>
              </w:numPr>
              <w:spacing w:before="0" w:beforeAutospacing="0" w:after="0" w:afterAutospacing="0"/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6952">
              <w:rPr>
                <w:rFonts w:ascii="Tahoma" w:hAnsi="Tahoma" w:cs="Tahoma"/>
                <w:sz w:val="20"/>
                <w:szCs w:val="20"/>
              </w:rPr>
              <w:t xml:space="preserve">запровадження інституту резервування земельних ділянок для надання надр у користування. </w:t>
            </w:r>
            <w:r w:rsidR="005754C8" w:rsidRPr="005769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431E2" w:rsidRDefault="00C431E2" w:rsidP="00C431E2">
            <w:pPr>
              <w:pStyle w:val="ListParagraph"/>
              <w:spacing w:before="0" w:beforeAutospacing="0" w:after="0" w:afterAutospacing="0"/>
              <w:ind w:left="61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31E2" w:rsidRPr="00576952" w:rsidRDefault="00C431E2" w:rsidP="00C431E2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31E2">
              <w:rPr>
                <w:rFonts w:ascii="Tahoma" w:hAnsi="Tahoma" w:cs="Tahoma"/>
                <w:b/>
                <w:caps/>
                <w:sz w:val="20"/>
                <w:szCs w:val="20"/>
              </w:rPr>
              <w:t>ПОТРЕБУЄ ОБГОВОРЕННЯ</w:t>
            </w:r>
          </w:p>
        </w:tc>
      </w:tr>
    </w:tbl>
    <w:p w:rsidR="005754C8" w:rsidRDefault="00C431E2" w:rsidP="00C431E2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C431E2">
        <w:rPr>
          <w:rFonts w:ascii="Tahoma" w:hAnsi="Tahoma" w:cs="Tahoma"/>
          <w:sz w:val="20"/>
          <w:szCs w:val="20"/>
        </w:rPr>
        <w:t>Залучення органів місцевої влади до надання спеціального дозволу (затвердження надання дозволу, виділення землі, звітів ОВД)?</w:t>
      </w:r>
    </w:p>
    <w:p w:rsidR="00C431E2" w:rsidRDefault="00C431E2" w:rsidP="00C431E2">
      <w:pPr>
        <w:pStyle w:val="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Механізм контролю з боку відповідального органу в сфері </w:t>
      </w:r>
      <w:proofErr w:type="spellStart"/>
      <w:r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>
        <w:rPr>
          <w:rFonts w:ascii="Tahoma" w:hAnsi="Tahoma" w:cs="Tahoma"/>
          <w:sz w:val="20"/>
          <w:szCs w:val="20"/>
        </w:rPr>
        <w:t xml:space="preserve"> за виконання </w:t>
      </w:r>
      <w:proofErr w:type="spellStart"/>
      <w:r>
        <w:rPr>
          <w:rFonts w:ascii="Tahoma" w:hAnsi="Tahoma" w:cs="Tahoma"/>
          <w:sz w:val="20"/>
          <w:szCs w:val="20"/>
        </w:rPr>
        <w:t>надрокористувачем</w:t>
      </w:r>
      <w:proofErr w:type="spellEnd"/>
      <w:r>
        <w:rPr>
          <w:rFonts w:ascii="Tahoma" w:hAnsi="Tahoma" w:cs="Tahoma"/>
          <w:sz w:val="20"/>
          <w:szCs w:val="20"/>
        </w:rPr>
        <w:t xml:space="preserve"> умов дозволу:</w:t>
      </w:r>
    </w:p>
    <w:p w:rsidR="00C431E2" w:rsidRDefault="00C431E2" w:rsidP="00C431E2">
      <w:pPr>
        <w:pStyle w:val="ListParagraph"/>
        <w:numPr>
          <w:ilvl w:val="1"/>
          <w:numId w:val="1"/>
        </w:numPr>
        <w:spacing w:before="0" w:beforeAutospacing="0" w:after="0" w:afterAutospacing="0"/>
        <w:ind w:left="612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укладення програми робіт;</w:t>
      </w:r>
    </w:p>
    <w:p w:rsidR="00C431E2" w:rsidRDefault="00C431E2" w:rsidP="00C431E2">
      <w:pPr>
        <w:pStyle w:val="ListParagraph"/>
        <w:numPr>
          <w:ilvl w:val="1"/>
          <w:numId w:val="1"/>
        </w:numPr>
        <w:spacing w:before="0" w:beforeAutospacing="0" w:after="0" w:afterAutospacing="0"/>
        <w:ind w:left="612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скасування програми робіт. Визначення конкретного строку для ет</w:t>
      </w:r>
      <w:bookmarkStart w:id="3" w:name="_GoBack"/>
      <w:bookmarkEnd w:id="3"/>
      <w:r>
        <w:rPr>
          <w:rFonts w:ascii="Tahoma" w:hAnsi="Tahoma" w:cs="Tahoma"/>
          <w:sz w:val="20"/>
          <w:szCs w:val="20"/>
        </w:rPr>
        <w:t>апу геологічного вивчення та розвідки.</w:t>
      </w:r>
    </w:p>
    <w:p w:rsidR="00C431E2" w:rsidRDefault="00C431E2" w:rsidP="00C431E2">
      <w:pPr>
        <w:pStyle w:val="ListParagraph"/>
        <w:numPr>
          <w:ilvl w:val="1"/>
          <w:numId w:val="1"/>
        </w:numPr>
        <w:spacing w:before="0" w:beforeAutospacing="0" w:after="0" w:afterAutospacing="0"/>
        <w:ind w:left="612" w:hanging="2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скасування програми робіт.</w:t>
      </w:r>
      <w:r>
        <w:rPr>
          <w:rFonts w:ascii="Tahoma" w:hAnsi="Tahoma" w:cs="Tahoma"/>
          <w:sz w:val="20"/>
          <w:szCs w:val="20"/>
        </w:rPr>
        <w:t xml:space="preserve"> Встановлення певного платежу на етапі </w:t>
      </w:r>
      <w:r>
        <w:rPr>
          <w:rFonts w:ascii="Tahoma" w:hAnsi="Tahoma" w:cs="Tahoma"/>
          <w:sz w:val="20"/>
          <w:szCs w:val="20"/>
        </w:rPr>
        <w:t>геологічного вивчення та розвідки</w:t>
      </w:r>
      <w:r>
        <w:rPr>
          <w:rFonts w:ascii="Tahoma" w:hAnsi="Tahoma" w:cs="Tahoma"/>
          <w:sz w:val="20"/>
          <w:szCs w:val="20"/>
        </w:rPr>
        <w:t>, який зростатиме з кожним роком на даному етапі – як стимул для швидшого переходу на етап видобування та сплати рентних платежів.</w:t>
      </w:r>
    </w:p>
    <w:p w:rsidR="005754C8" w:rsidRPr="00C4140A" w:rsidRDefault="00C431E2" w:rsidP="00287D63">
      <w:pPr>
        <w:pStyle w:val="ListParagraph"/>
        <w:numPr>
          <w:ilvl w:val="0"/>
          <w:numId w:val="13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4140A">
        <w:rPr>
          <w:rFonts w:ascii="Tahoma" w:hAnsi="Tahoma" w:cs="Tahoma"/>
          <w:sz w:val="20"/>
          <w:szCs w:val="20"/>
        </w:rPr>
        <w:t xml:space="preserve">Дозвіл на видобування супутніх корисних копалин: скасування платежів за </w:t>
      </w:r>
      <w:r w:rsidRPr="00C4140A">
        <w:rPr>
          <w:rFonts w:ascii="Tahoma" w:hAnsi="Tahoma" w:cs="Tahoma"/>
          <w:sz w:val="20"/>
          <w:szCs w:val="20"/>
        </w:rPr>
        <w:t>видобування супутніх корисних копалин</w:t>
      </w:r>
      <w:r w:rsidRPr="00C4140A">
        <w:rPr>
          <w:rFonts w:ascii="Tahoma" w:hAnsi="Tahoma" w:cs="Tahoma"/>
          <w:sz w:val="20"/>
          <w:szCs w:val="20"/>
        </w:rPr>
        <w:t xml:space="preserve"> поряд із основними, якщо їх кількість настільки невелика, що робить видобуток економічно неефективним.</w:t>
      </w:r>
    </w:p>
    <w:p w:rsidR="005754C8" w:rsidRPr="00576952" w:rsidRDefault="005754C8" w:rsidP="00287D63">
      <w:pPr>
        <w:rPr>
          <w:rFonts w:ascii="Tahoma" w:hAnsi="Tahoma" w:cs="Tahoma"/>
          <w:sz w:val="20"/>
          <w:szCs w:val="20"/>
        </w:rPr>
      </w:pPr>
    </w:p>
    <w:p w:rsidR="00DC0B2A" w:rsidRPr="00576952" w:rsidRDefault="007E071A" w:rsidP="00287D63">
      <w:pPr>
        <w:rPr>
          <w:rFonts w:ascii="Tahoma" w:hAnsi="Tahoma" w:cs="Tahoma"/>
          <w:sz w:val="20"/>
          <w:szCs w:val="20"/>
        </w:rPr>
      </w:pPr>
    </w:p>
    <w:sectPr w:rsidR="00DC0B2A" w:rsidRPr="00576952" w:rsidSect="00CB38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0D" w:rsidRDefault="008F0A0D" w:rsidP="005754C8">
      <w:r>
        <w:separator/>
      </w:r>
    </w:p>
  </w:endnote>
  <w:endnote w:type="continuationSeparator" w:id="0">
    <w:p w:rsidR="008F0A0D" w:rsidRDefault="008F0A0D" w:rsidP="0057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843624" w:rsidRDefault="002E015E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DC5AAA" w:rsidRPr="006E325A" w:rsidRDefault="002E015E" w:rsidP="00DC5AAA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4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"Каргілл"</w:t>
    </w:r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:rsidR="00DC5AAA" w:rsidRPr="00843624" w:rsidRDefault="002E015E" w:rsidP="00DC5AAA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bookmarkEnd w:id="4"/>
  <w:p w:rsidR="00B57472" w:rsidRPr="005F4AD6" w:rsidRDefault="007E071A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0D" w:rsidRDefault="008F0A0D" w:rsidP="005754C8">
      <w:r>
        <w:separator/>
      </w:r>
    </w:p>
  </w:footnote>
  <w:footnote w:type="continuationSeparator" w:id="0">
    <w:p w:rsidR="008F0A0D" w:rsidRDefault="008F0A0D" w:rsidP="005754C8">
      <w:r>
        <w:continuationSeparator/>
      </w:r>
    </w:p>
  </w:footnote>
  <w:footnote w:id="1">
    <w:p w:rsidR="00576952" w:rsidRPr="00576952" w:rsidRDefault="00576952">
      <w:pPr>
        <w:pStyle w:val="FootnoteText"/>
        <w:rPr>
          <w:rFonts w:ascii="Tahoma" w:hAnsi="Tahoma" w:cs="Tahoma"/>
          <w:sz w:val="18"/>
          <w:szCs w:val="18"/>
        </w:rPr>
      </w:pPr>
      <w:r w:rsidRPr="00576952">
        <w:rPr>
          <w:rStyle w:val="FootnoteReference"/>
          <w:rFonts w:ascii="Tahoma" w:hAnsi="Tahoma" w:cs="Tahoma"/>
          <w:sz w:val="18"/>
          <w:szCs w:val="18"/>
        </w:rPr>
        <w:footnoteRef/>
      </w:r>
      <w:r w:rsidRPr="00576952">
        <w:rPr>
          <w:rFonts w:ascii="Tahoma" w:hAnsi="Tahoma" w:cs="Tahoma"/>
          <w:sz w:val="18"/>
          <w:szCs w:val="18"/>
        </w:rPr>
        <w:t xml:space="preserve"> Потребує уточнення.</w:t>
      </w:r>
    </w:p>
  </w:footnote>
  <w:footnote w:id="2">
    <w:p w:rsidR="00553618" w:rsidRDefault="00553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6952">
        <w:rPr>
          <w:rFonts w:ascii="Tahoma" w:hAnsi="Tahoma" w:cs="Tahoma"/>
          <w:sz w:val="18"/>
          <w:szCs w:val="18"/>
        </w:rPr>
        <w:t xml:space="preserve">Потребує </w:t>
      </w:r>
      <w:r>
        <w:rPr>
          <w:rFonts w:ascii="Tahoma" w:hAnsi="Tahoma" w:cs="Tahoma"/>
          <w:sz w:val="18"/>
          <w:szCs w:val="18"/>
        </w:rPr>
        <w:t>обговорення.</w:t>
      </w:r>
    </w:p>
  </w:footnote>
  <w:footnote w:id="3">
    <w:p w:rsidR="00553618" w:rsidRDefault="00553618" w:rsidP="00C8734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76952">
        <w:rPr>
          <w:rFonts w:ascii="Tahoma" w:hAnsi="Tahoma" w:cs="Tahoma"/>
          <w:sz w:val="18"/>
          <w:szCs w:val="18"/>
        </w:rPr>
        <w:t xml:space="preserve">Потребує </w:t>
      </w:r>
      <w:r>
        <w:rPr>
          <w:rFonts w:ascii="Tahoma" w:hAnsi="Tahoma" w:cs="Tahoma"/>
          <w:sz w:val="18"/>
          <w:szCs w:val="18"/>
        </w:rPr>
        <w:t>обговорення</w:t>
      </w:r>
      <w:r>
        <w:rPr>
          <w:rFonts w:ascii="Tahoma" w:hAnsi="Tahoma" w:cs="Tahoma"/>
          <w:sz w:val="18"/>
          <w:szCs w:val="18"/>
        </w:rPr>
        <w:t>: хто в такому випадку буде власником спеціального дозволу?</w:t>
      </w:r>
      <w:r w:rsidR="00C8734B">
        <w:rPr>
          <w:rFonts w:ascii="Tahoma" w:hAnsi="Tahoma" w:cs="Tahoma"/>
          <w:sz w:val="18"/>
          <w:szCs w:val="18"/>
        </w:rPr>
        <w:t xml:space="preserve"> </w:t>
      </w:r>
      <w:r w:rsidR="00C8734B" w:rsidRPr="00C8734B">
        <w:rPr>
          <w:rFonts w:ascii="Tahoma" w:hAnsi="Tahoma" w:cs="Tahoma"/>
          <w:sz w:val="18"/>
          <w:szCs w:val="18"/>
        </w:rPr>
        <w:t>дочірн</w:t>
      </w:r>
      <w:r w:rsidR="00C8734B">
        <w:rPr>
          <w:rFonts w:ascii="Tahoma" w:hAnsi="Tahoma" w:cs="Tahoma"/>
          <w:sz w:val="18"/>
          <w:szCs w:val="18"/>
        </w:rPr>
        <w:t>я</w:t>
      </w:r>
      <w:r w:rsidR="00C8734B" w:rsidRPr="00C8734B">
        <w:rPr>
          <w:rFonts w:ascii="Tahoma" w:hAnsi="Tahoma" w:cs="Tahoma"/>
          <w:sz w:val="18"/>
          <w:szCs w:val="18"/>
        </w:rPr>
        <w:t xml:space="preserve"> компані</w:t>
      </w:r>
      <w:r w:rsidR="00C8734B">
        <w:rPr>
          <w:rFonts w:ascii="Tahoma" w:hAnsi="Tahoma" w:cs="Tahoma"/>
          <w:sz w:val="18"/>
          <w:szCs w:val="18"/>
        </w:rPr>
        <w:t>я (на відміну від представництва) є окремою юридичною особою від компанії-засновника</w:t>
      </w:r>
      <w:r w:rsidR="00C8734B" w:rsidRPr="00C8734B">
        <w:rPr>
          <w:rFonts w:ascii="Tahoma" w:hAnsi="Tahoma" w:cs="Tahoma"/>
          <w:sz w:val="18"/>
          <w:szCs w:val="18"/>
        </w:rPr>
        <w:t xml:space="preserve">. </w:t>
      </w:r>
      <w:r w:rsidR="00C8734B">
        <w:rPr>
          <w:rFonts w:ascii="Tahoma" w:hAnsi="Tahoma" w:cs="Tahoma"/>
          <w:sz w:val="18"/>
          <w:szCs w:val="18"/>
        </w:rPr>
        <w:t xml:space="preserve">Якщо дочірня компанія може бути власником дозволу – відповідний механізм потрібно передбачити в Кодексі.  </w:t>
      </w:r>
    </w:p>
  </w:footnote>
  <w:footnote w:id="4">
    <w:p w:rsidR="00187B91" w:rsidRDefault="00187B91" w:rsidP="00187B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76952">
        <w:rPr>
          <w:rFonts w:ascii="Tahoma" w:hAnsi="Tahoma" w:cs="Tahoma"/>
          <w:sz w:val="18"/>
          <w:szCs w:val="18"/>
        </w:rPr>
        <w:t xml:space="preserve">Потребує </w:t>
      </w:r>
      <w:r>
        <w:rPr>
          <w:rFonts w:ascii="Tahoma" w:hAnsi="Tahoma" w:cs="Tahoma"/>
          <w:sz w:val="18"/>
          <w:szCs w:val="18"/>
        </w:rPr>
        <w:t>обговорення:</w:t>
      </w:r>
      <w:r>
        <w:rPr>
          <w:rFonts w:ascii="Tahoma" w:hAnsi="Tahoma" w:cs="Tahoma"/>
          <w:sz w:val="18"/>
          <w:szCs w:val="18"/>
        </w:rPr>
        <w:t xml:space="preserve"> чи передбачається абсолютне відчуження дозволу? (чи передбачає Кодекс, що дозволи будуть відчужуватись будь-яким іншим особам, а не лише дочірнім, як це є зараз)</w:t>
      </w:r>
    </w:p>
  </w:footnote>
  <w:footnote w:id="5">
    <w:p w:rsidR="00E9354E" w:rsidRDefault="00E9354E" w:rsidP="00633FA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76952">
        <w:rPr>
          <w:rFonts w:ascii="Tahoma" w:hAnsi="Tahoma" w:cs="Tahoma"/>
          <w:sz w:val="18"/>
          <w:szCs w:val="18"/>
        </w:rPr>
        <w:t xml:space="preserve">Потребує </w:t>
      </w:r>
      <w:r>
        <w:rPr>
          <w:rFonts w:ascii="Tahoma" w:hAnsi="Tahoma" w:cs="Tahoma"/>
          <w:sz w:val="18"/>
          <w:szCs w:val="18"/>
        </w:rPr>
        <w:t>обговорення:</w:t>
      </w:r>
      <w:r>
        <w:rPr>
          <w:rFonts w:ascii="Tahoma" w:hAnsi="Tahoma" w:cs="Tahoma"/>
          <w:sz w:val="18"/>
          <w:szCs w:val="18"/>
        </w:rPr>
        <w:t xml:space="preserve"> потрібно визначити критерії, яка саме інформація первинною/вторинною; якими будуть функції ДГС, якщо служба більше не матиме функцій з надання дозволів; яку саме інформацію </w:t>
      </w:r>
      <w:proofErr w:type="spellStart"/>
      <w:r>
        <w:rPr>
          <w:rFonts w:ascii="Tahoma" w:hAnsi="Tahoma" w:cs="Tahoma"/>
          <w:sz w:val="18"/>
          <w:szCs w:val="18"/>
        </w:rPr>
        <w:t>надркористувач</w:t>
      </w:r>
      <w:proofErr w:type="spellEnd"/>
      <w:r>
        <w:rPr>
          <w:rFonts w:ascii="Tahoma" w:hAnsi="Tahoma" w:cs="Tahoma"/>
          <w:sz w:val="18"/>
          <w:szCs w:val="18"/>
        </w:rPr>
        <w:t xml:space="preserve"> буде зобов’язаний/ за власним бажанням надавати до ДГС.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7E07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7E071A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5754C8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-360045</wp:posOffset>
          </wp:positionH>
          <wp:positionV relativeFrom="page">
            <wp:posOffset>88900</wp:posOffset>
          </wp:positionV>
          <wp:extent cx="1720215" cy="688340"/>
          <wp:effectExtent l="0" t="0" r="0" b="0"/>
          <wp:wrapNone/>
          <wp:docPr id="2" name="Picture 2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C8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1301115</wp:posOffset>
          </wp:positionH>
          <wp:positionV relativeFrom="page">
            <wp:posOffset>88900</wp:posOffset>
          </wp:positionV>
          <wp:extent cx="5888355" cy="939800"/>
          <wp:effectExtent l="0" t="0" r="0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A" w:rsidRDefault="007E07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85D"/>
    <w:multiLevelType w:val="hybridMultilevel"/>
    <w:tmpl w:val="059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128"/>
    <w:multiLevelType w:val="multilevel"/>
    <w:tmpl w:val="1DE063A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2" w15:restartNumberingAfterBreak="0">
    <w:nsid w:val="23577DE9"/>
    <w:multiLevelType w:val="hybridMultilevel"/>
    <w:tmpl w:val="4524E7B4"/>
    <w:lvl w:ilvl="0" w:tplc="53882310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5734C6"/>
    <w:multiLevelType w:val="hybridMultilevel"/>
    <w:tmpl w:val="DBFE2350"/>
    <w:lvl w:ilvl="0" w:tplc="3C76EE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2345DB"/>
    <w:multiLevelType w:val="multilevel"/>
    <w:tmpl w:val="25ACB7E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5" w15:restartNumberingAfterBreak="0">
    <w:nsid w:val="336B5638"/>
    <w:multiLevelType w:val="multilevel"/>
    <w:tmpl w:val="848ECCB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6" w15:restartNumberingAfterBreak="0">
    <w:nsid w:val="36F16D1C"/>
    <w:multiLevelType w:val="multilevel"/>
    <w:tmpl w:val="2042007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7" w15:restartNumberingAfterBreak="0">
    <w:nsid w:val="447C082E"/>
    <w:multiLevelType w:val="hybridMultilevel"/>
    <w:tmpl w:val="F01ADE7C"/>
    <w:lvl w:ilvl="0" w:tplc="DAD223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4ED01E8"/>
    <w:multiLevelType w:val="multilevel"/>
    <w:tmpl w:val="1DE063A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45452857"/>
    <w:multiLevelType w:val="multilevel"/>
    <w:tmpl w:val="848ECCB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0" w15:restartNumberingAfterBreak="0">
    <w:nsid w:val="49D24222"/>
    <w:multiLevelType w:val="hybridMultilevel"/>
    <w:tmpl w:val="4DB45682"/>
    <w:lvl w:ilvl="0" w:tplc="18D63E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61395"/>
    <w:multiLevelType w:val="hybridMultilevel"/>
    <w:tmpl w:val="CBA4D7FC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96D36B0"/>
    <w:multiLevelType w:val="hybridMultilevel"/>
    <w:tmpl w:val="7848C04A"/>
    <w:lvl w:ilvl="0" w:tplc="53882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C8"/>
    <w:rsid w:val="00032E1F"/>
    <w:rsid w:val="0008520E"/>
    <w:rsid w:val="0010137D"/>
    <w:rsid w:val="00133E35"/>
    <w:rsid w:val="0018555F"/>
    <w:rsid w:val="00187B91"/>
    <w:rsid w:val="00193885"/>
    <w:rsid w:val="00197453"/>
    <w:rsid w:val="001A0F7A"/>
    <w:rsid w:val="001E22A2"/>
    <w:rsid w:val="001F511B"/>
    <w:rsid w:val="0020086E"/>
    <w:rsid w:val="00204559"/>
    <w:rsid w:val="00216A60"/>
    <w:rsid w:val="0024448B"/>
    <w:rsid w:val="002602A6"/>
    <w:rsid w:val="00260A37"/>
    <w:rsid w:val="00287D63"/>
    <w:rsid w:val="0029613B"/>
    <w:rsid w:val="002E015E"/>
    <w:rsid w:val="002F1C58"/>
    <w:rsid w:val="00306FBC"/>
    <w:rsid w:val="00316ECB"/>
    <w:rsid w:val="003706B2"/>
    <w:rsid w:val="00385275"/>
    <w:rsid w:val="003A204F"/>
    <w:rsid w:val="003A43C7"/>
    <w:rsid w:val="003A5655"/>
    <w:rsid w:val="00467A65"/>
    <w:rsid w:val="0049457B"/>
    <w:rsid w:val="004F1759"/>
    <w:rsid w:val="00553618"/>
    <w:rsid w:val="00574147"/>
    <w:rsid w:val="005754C8"/>
    <w:rsid w:val="00576952"/>
    <w:rsid w:val="005D0C24"/>
    <w:rsid w:val="00633FAD"/>
    <w:rsid w:val="0066068E"/>
    <w:rsid w:val="006609D5"/>
    <w:rsid w:val="006B5142"/>
    <w:rsid w:val="006E6BED"/>
    <w:rsid w:val="006E7868"/>
    <w:rsid w:val="00705FFD"/>
    <w:rsid w:val="007566A7"/>
    <w:rsid w:val="00777CBE"/>
    <w:rsid w:val="007C0C65"/>
    <w:rsid w:val="007F1EFC"/>
    <w:rsid w:val="008119F0"/>
    <w:rsid w:val="008158B9"/>
    <w:rsid w:val="008B041B"/>
    <w:rsid w:val="008D68CC"/>
    <w:rsid w:val="008F0A0D"/>
    <w:rsid w:val="009113C2"/>
    <w:rsid w:val="00990533"/>
    <w:rsid w:val="009C6E54"/>
    <w:rsid w:val="00A53114"/>
    <w:rsid w:val="00AD2150"/>
    <w:rsid w:val="00C4140A"/>
    <w:rsid w:val="00C431E2"/>
    <w:rsid w:val="00C74F65"/>
    <w:rsid w:val="00C8734B"/>
    <w:rsid w:val="00CB1CA6"/>
    <w:rsid w:val="00CB32A2"/>
    <w:rsid w:val="00CC27C2"/>
    <w:rsid w:val="00D5544A"/>
    <w:rsid w:val="00DA0F4B"/>
    <w:rsid w:val="00E9354E"/>
    <w:rsid w:val="00EE6A91"/>
    <w:rsid w:val="00F848A1"/>
    <w:rsid w:val="00FD322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7E98EC1"/>
  <w15:chartTrackingRefBased/>
  <w15:docId w15:val="{399D8EE7-A3F2-4A17-936D-E33A4F3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754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5754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5754C8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5754C8"/>
    <w:pPr>
      <w:spacing w:before="100" w:beforeAutospacing="1" w:after="100" w:afterAutospacing="1"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unhideWhenUsed/>
    <w:rsid w:val="005754C8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54C8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uiPriority w:val="99"/>
    <w:unhideWhenUsed/>
    <w:rsid w:val="005754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1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14"/>
    <w:rPr>
      <w:rFonts w:ascii="Arial" w:eastAsia="Times New Roman" w:hAnsi="Arial" w:cs="Arial"/>
      <w:sz w:val="18"/>
      <w:szCs w:val="18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9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95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5769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E724-7FBA-47C6-874E-F976A2E6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41</cp:revision>
  <cp:lastPrinted>2018-02-09T13:18:00Z</cp:lastPrinted>
  <dcterms:created xsi:type="dcterms:W3CDTF">2018-04-27T15:08:00Z</dcterms:created>
  <dcterms:modified xsi:type="dcterms:W3CDTF">2018-04-27T15:33:00Z</dcterms:modified>
</cp:coreProperties>
</file>