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4A0" w:firstRow="1" w:lastRow="0" w:firstColumn="1" w:lastColumn="0" w:noHBand="0" w:noVBand="1"/>
      </w:tblPr>
      <w:tblGrid>
        <w:gridCol w:w="4587"/>
        <w:gridCol w:w="236"/>
        <w:gridCol w:w="4534"/>
        <w:gridCol w:w="236"/>
      </w:tblGrid>
      <w:tr w:rsidR="006C375E" w:rsidRPr="006638A6" w:rsidTr="00D80C8A">
        <w:trPr>
          <w:gridAfter w:val="1"/>
          <w:wAfter w:w="236" w:type="dxa"/>
          <w:trHeight w:val="648"/>
        </w:trPr>
        <w:tc>
          <w:tcPr>
            <w:tcW w:w="4587" w:type="dxa"/>
            <w:shd w:val="clear" w:color="auto" w:fill="auto"/>
          </w:tcPr>
          <w:p w:rsidR="006C375E" w:rsidRPr="006638A6" w:rsidRDefault="006C375E" w:rsidP="00D80C8A">
            <w:r w:rsidRPr="006638A6">
              <w:t>№17-____</w:t>
            </w:r>
          </w:p>
          <w:p w:rsidR="006C375E" w:rsidRPr="006638A6" w:rsidRDefault="006C375E" w:rsidP="00D80C8A">
            <w:r w:rsidRPr="006638A6">
              <w:t xml:space="preserve">___ </w:t>
            </w:r>
            <w:r>
              <w:t>листопада</w:t>
            </w:r>
            <w:r w:rsidRPr="006638A6">
              <w:t xml:space="preserve"> 2017 р.</w:t>
            </w:r>
          </w:p>
          <w:p w:rsidR="006C375E" w:rsidRPr="006638A6" w:rsidRDefault="006C375E" w:rsidP="00D80C8A">
            <w:pPr>
              <w:rPr>
                <w:b/>
              </w:rPr>
            </w:pPr>
            <w:r w:rsidRPr="006638A6">
              <w:rPr>
                <w:b/>
              </w:rPr>
              <w:t xml:space="preserve"> </w:t>
            </w:r>
          </w:p>
        </w:tc>
        <w:tc>
          <w:tcPr>
            <w:tcW w:w="4770" w:type="dxa"/>
            <w:gridSpan w:val="2"/>
            <w:shd w:val="clear" w:color="auto" w:fill="auto"/>
          </w:tcPr>
          <w:p w:rsidR="006C375E" w:rsidRPr="00CF5E73" w:rsidRDefault="006C375E" w:rsidP="00F652B1">
            <w:pPr>
              <w:ind w:left="1410"/>
              <w:rPr>
                <w:b/>
              </w:rPr>
            </w:pPr>
            <w:r>
              <w:rPr>
                <w:b/>
              </w:rPr>
              <w:t>Прем’єр - міністру</w:t>
            </w:r>
            <w:r w:rsidRPr="00CF5E73">
              <w:rPr>
                <w:b/>
              </w:rPr>
              <w:t xml:space="preserve"> України </w:t>
            </w:r>
          </w:p>
          <w:p w:rsidR="006C375E" w:rsidRPr="003E3DED" w:rsidRDefault="006C375E" w:rsidP="00F652B1">
            <w:pPr>
              <w:ind w:left="1410"/>
              <w:rPr>
                <w:b/>
              </w:rPr>
            </w:pPr>
            <w:r>
              <w:rPr>
                <w:b/>
              </w:rPr>
              <w:t>Гройсману В.Б.</w:t>
            </w:r>
          </w:p>
          <w:p w:rsidR="006C375E" w:rsidRPr="003E3DED" w:rsidRDefault="006C375E" w:rsidP="00D80C8A">
            <w:pPr>
              <w:ind w:left="-492"/>
              <w:rPr>
                <w:b/>
              </w:rPr>
            </w:pPr>
          </w:p>
        </w:tc>
      </w:tr>
      <w:tr w:rsidR="006C375E" w:rsidRPr="006638A6" w:rsidTr="00D80C8A">
        <w:trPr>
          <w:gridAfter w:val="1"/>
          <w:wAfter w:w="236" w:type="dxa"/>
          <w:trHeight w:val="144"/>
        </w:trPr>
        <w:tc>
          <w:tcPr>
            <w:tcW w:w="4587" w:type="dxa"/>
            <w:shd w:val="clear" w:color="auto" w:fill="auto"/>
          </w:tcPr>
          <w:p w:rsidR="006C375E" w:rsidRPr="006638A6" w:rsidRDefault="006C375E" w:rsidP="00D80C8A">
            <w:pPr>
              <w:tabs>
                <w:tab w:val="left" w:pos="1275"/>
              </w:tabs>
              <w:rPr>
                <w:b/>
              </w:rPr>
            </w:pPr>
          </w:p>
        </w:tc>
        <w:tc>
          <w:tcPr>
            <w:tcW w:w="4770" w:type="dxa"/>
            <w:gridSpan w:val="2"/>
            <w:shd w:val="clear" w:color="auto" w:fill="auto"/>
          </w:tcPr>
          <w:p w:rsidR="006C375E" w:rsidRPr="006638A6" w:rsidRDefault="006C375E" w:rsidP="00D80C8A">
            <w:pPr>
              <w:rPr>
                <w:b/>
              </w:rPr>
            </w:pPr>
          </w:p>
        </w:tc>
      </w:tr>
      <w:tr w:rsidR="006C375E" w:rsidRPr="006638A6" w:rsidTr="00D80C8A">
        <w:trPr>
          <w:trHeight w:val="630"/>
        </w:trPr>
        <w:tc>
          <w:tcPr>
            <w:tcW w:w="4587" w:type="dxa"/>
            <w:shd w:val="clear" w:color="auto" w:fill="auto"/>
          </w:tcPr>
          <w:p w:rsidR="006C375E" w:rsidRDefault="006C375E" w:rsidP="00D80C8A">
            <w:pPr>
              <w:jc w:val="both"/>
              <w:rPr>
                <w:i/>
              </w:rPr>
            </w:pPr>
            <w:r w:rsidRPr="00CF5E73">
              <w:rPr>
                <w:i/>
              </w:rPr>
              <w:t xml:space="preserve">Щодо </w:t>
            </w:r>
            <w:r w:rsidRPr="006C375E">
              <w:rPr>
                <w:i/>
              </w:rPr>
              <w:t xml:space="preserve">дерегуляції у секторі </w:t>
            </w:r>
          </w:p>
          <w:p w:rsidR="006C375E" w:rsidRDefault="006C375E" w:rsidP="00D80C8A">
            <w:pPr>
              <w:jc w:val="both"/>
              <w:rPr>
                <w:i/>
              </w:rPr>
            </w:pPr>
            <w:r w:rsidRPr="006C375E">
              <w:rPr>
                <w:i/>
              </w:rPr>
              <w:t>видобування газу та нафти</w:t>
            </w:r>
          </w:p>
          <w:p w:rsidR="006C375E" w:rsidRDefault="006C375E" w:rsidP="00D80C8A">
            <w:pPr>
              <w:jc w:val="both"/>
              <w:rPr>
                <w:i/>
              </w:rPr>
            </w:pPr>
          </w:p>
          <w:p w:rsidR="006C375E" w:rsidRPr="006638A6" w:rsidRDefault="006C375E" w:rsidP="00D80C8A">
            <w:pPr>
              <w:jc w:val="both"/>
              <w:rPr>
                <w:i/>
              </w:rPr>
            </w:pPr>
          </w:p>
        </w:tc>
        <w:tc>
          <w:tcPr>
            <w:tcW w:w="236" w:type="dxa"/>
            <w:shd w:val="clear" w:color="auto" w:fill="auto"/>
          </w:tcPr>
          <w:p w:rsidR="006C375E" w:rsidRPr="006638A6" w:rsidRDefault="006C375E" w:rsidP="00D80C8A">
            <w:pPr>
              <w:rPr>
                <w:b/>
                <w:i/>
              </w:rPr>
            </w:pPr>
          </w:p>
        </w:tc>
        <w:tc>
          <w:tcPr>
            <w:tcW w:w="4770" w:type="dxa"/>
            <w:gridSpan w:val="2"/>
            <w:shd w:val="clear" w:color="auto" w:fill="auto"/>
          </w:tcPr>
          <w:p w:rsidR="006C375E" w:rsidRPr="006638A6" w:rsidRDefault="006C375E" w:rsidP="00D80C8A">
            <w:pPr>
              <w:rPr>
                <w:b/>
                <w:i/>
              </w:rPr>
            </w:pPr>
            <w:bookmarkStart w:id="0" w:name="_GoBack"/>
            <w:bookmarkEnd w:id="0"/>
          </w:p>
        </w:tc>
      </w:tr>
    </w:tbl>
    <w:p w:rsidR="006C375E" w:rsidRPr="006638A6" w:rsidRDefault="006C375E" w:rsidP="006C375E">
      <w:pPr>
        <w:ind w:firstLine="709"/>
        <w:jc w:val="center"/>
        <w:rPr>
          <w:b/>
        </w:rPr>
      </w:pPr>
      <w:r w:rsidRPr="00D93863">
        <w:rPr>
          <w:b/>
        </w:rPr>
        <w:t>Шановний</w:t>
      </w:r>
      <w:r>
        <w:rPr>
          <w:b/>
        </w:rPr>
        <w:t xml:space="preserve"> Володимире Борисовичу</w:t>
      </w:r>
      <w:r w:rsidRPr="006638A6">
        <w:rPr>
          <w:b/>
        </w:rPr>
        <w:t>!</w:t>
      </w:r>
    </w:p>
    <w:p w:rsidR="006C375E" w:rsidRPr="006638A6" w:rsidRDefault="006C375E" w:rsidP="006C375E">
      <w:pPr>
        <w:ind w:firstLine="709"/>
        <w:jc w:val="both"/>
        <w:rPr>
          <w:b/>
          <w:i/>
        </w:rPr>
      </w:pPr>
    </w:p>
    <w:p w:rsidR="006C375E" w:rsidRDefault="006C375E" w:rsidP="006C375E">
      <w:pPr>
        <w:ind w:firstLine="720"/>
        <w:contextualSpacing/>
        <w:jc w:val="both"/>
      </w:pPr>
      <w:r w:rsidRPr="00F07B92">
        <w:t>Від імені Ради директорів Американської торгівельної палати в Україні (далі – Палата) та компаній-членів засвідчуємо Вам глибоку повагу та звертаємося із наступним.</w:t>
      </w:r>
    </w:p>
    <w:p w:rsidR="006C375E" w:rsidRDefault="009B6E03" w:rsidP="006C375E">
      <w:pPr>
        <w:ind w:firstLine="720"/>
        <w:jc w:val="both"/>
      </w:pPr>
      <w:r w:rsidRPr="00DF570B">
        <w:t xml:space="preserve">Протягом </w:t>
      </w:r>
      <w:r>
        <w:t xml:space="preserve">останніх декількох </w:t>
      </w:r>
      <w:r w:rsidRPr="00DF570B">
        <w:t xml:space="preserve">років Україна проводить успішні реформи в </w:t>
      </w:r>
      <w:r>
        <w:t>енергетичній галузі</w:t>
      </w:r>
      <w:r w:rsidRPr="00DF570B">
        <w:t>.</w:t>
      </w:r>
      <w:r>
        <w:t xml:space="preserve"> Розпорядженням </w:t>
      </w:r>
      <w:r w:rsidRPr="009B6E03">
        <w:t xml:space="preserve">Кабінету Міністрів України </w:t>
      </w:r>
      <w:r>
        <w:t xml:space="preserve">від 28 грудня 2016 р. № 1079-р була </w:t>
      </w:r>
      <w:r w:rsidRPr="009B6E03">
        <w:t>схвален</w:t>
      </w:r>
      <w:r>
        <w:t>а</w:t>
      </w:r>
      <w:r w:rsidR="004970A7">
        <w:t xml:space="preserve"> Концепція</w:t>
      </w:r>
      <w:r w:rsidRPr="009B6E03">
        <w:t xml:space="preserve"> розвитк</w:t>
      </w:r>
      <w:r>
        <w:t xml:space="preserve">у газовидобувної галузі України, з амбітними цілями </w:t>
      </w:r>
      <w:r w:rsidRPr="009B6E03">
        <w:t>збільш</w:t>
      </w:r>
      <w:r>
        <w:t>ити</w:t>
      </w:r>
      <w:r w:rsidRPr="009B6E03">
        <w:t xml:space="preserve"> обсяг видобутку газу до 27-30 млрд. кубометрів до 2020 р.</w:t>
      </w:r>
      <w:r>
        <w:t>, введення</w:t>
      </w:r>
      <w:r w:rsidRPr="009B6E03">
        <w:t xml:space="preserve"> в експлуатацію нов</w:t>
      </w:r>
      <w:r>
        <w:t>их</w:t>
      </w:r>
      <w:r w:rsidRPr="009B6E03">
        <w:t xml:space="preserve"> свердловин</w:t>
      </w:r>
      <w:r>
        <w:t xml:space="preserve">, спрощення системи </w:t>
      </w:r>
      <w:r w:rsidRPr="009B6E03">
        <w:t>отримання документів дозвільного характеру</w:t>
      </w:r>
      <w:r>
        <w:t xml:space="preserve">, </w:t>
      </w:r>
      <w:r>
        <w:rPr>
          <w:color w:val="000000"/>
          <w:shd w:val="clear" w:color="auto" w:fill="FFFFFF"/>
        </w:rPr>
        <w:t xml:space="preserve">зменшення залежності України від імпорту енергоносіїв тощо. </w:t>
      </w:r>
    </w:p>
    <w:p w:rsidR="0063695B" w:rsidRDefault="0063695B" w:rsidP="006C375E">
      <w:pPr>
        <w:ind w:firstLine="720"/>
        <w:contextualSpacing/>
        <w:jc w:val="both"/>
      </w:pPr>
      <w:r w:rsidRPr="006C375E">
        <w:t>Енергетичн</w:t>
      </w:r>
      <w:r>
        <w:t>а стратегія</w:t>
      </w:r>
      <w:r w:rsidRPr="006C375E">
        <w:t xml:space="preserve"> України до 2035 року</w:t>
      </w:r>
      <w:r>
        <w:t xml:space="preserve">, схвалена Розпорядженням </w:t>
      </w:r>
      <w:r w:rsidRPr="0063695B">
        <w:t>Кабінету Міністрів України</w:t>
      </w:r>
      <w:r>
        <w:t xml:space="preserve"> 18 серпня 2017 р. № 605-р, </w:t>
      </w:r>
      <w:r w:rsidR="004970A7">
        <w:t xml:space="preserve">також </w:t>
      </w:r>
      <w:r>
        <w:t>передбачає р</w:t>
      </w:r>
      <w:r w:rsidRPr="0063695B">
        <w:t>ефо</w:t>
      </w:r>
      <w:r>
        <w:t xml:space="preserve">рмування енергетичного сектору </w:t>
      </w:r>
      <w:r w:rsidRPr="0063695B">
        <w:t>до 2020 року</w:t>
      </w:r>
      <w:r>
        <w:t xml:space="preserve">, інтенсивне </w:t>
      </w:r>
      <w:r w:rsidRPr="0063695B">
        <w:t>нарощування вітчизняного видобутку газу</w:t>
      </w:r>
      <w:r>
        <w:t xml:space="preserve">, </w:t>
      </w:r>
      <w:r w:rsidRPr="0063695B">
        <w:t>впровадження механізмів прозорості видобутку та використання власних паливних ресурсів</w:t>
      </w:r>
      <w:r w:rsidR="004970A7">
        <w:t>,</w:t>
      </w:r>
      <w:r w:rsidRPr="0063695B">
        <w:t xml:space="preserve"> проведення стабільної та прогнозованої політики у сфері залучення інвестицій</w:t>
      </w:r>
      <w:r w:rsidR="004970A7">
        <w:t>,</w:t>
      </w:r>
      <w:r w:rsidRPr="0063695B">
        <w:t xml:space="preserve"> </w:t>
      </w:r>
      <w:r>
        <w:t>а також з</w:t>
      </w:r>
      <w:r w:rsidRPr="0063695B">
        <w:t>абезпечення енергетичної незалежності</w:t>
      </w:r>
      <w:r>
        <w:t xml:space="preserve"> України.</w:t>
      </w:r>
    </w:p>
    <w:p w:rsidR="0063695B" w:rsidRDefault="0063695B" w:rsidP="006C375E">
      <w:pPr>
        <w:ind w:firstLine="720"/>
        <w:contextualSpacing/>
        <w:jc w:val="both"/>
      </w:pPr>
      <w:r>
        <w:t>Проте</w:t>
      </w:r>
      <w:r w:rsidR="004970A7">
        <w:t>,</w:t>
      </w:r>
      <w:r>
        <w:t xml:space="preserve"> і досі</w:t>
      </w:r>
      <w:r w:rsidRPr="00566FF8">
        <w:t xml:space="preserve"> актуальним питаннями залишаються створення стабільного та конкурентоспроможного ринку</w:t>
      </w:r>
      <w:r>
        <w:t xml:space="preserve"> газу і </w:t>
      </w:r>
      <w:r w:rsidRPr="00DF570B">
        <w:t>нафти</w:t>
      </w:r>
      <w:r w:rsidRPr="00566FF8">
        <w:t>, забезпечення законодавчої визначеності та прозорості</w:t>
      </w:r>
      <w:r>
        <w:t xml:space="preserve">, </w:t>
      </w:r>
      <w:r w:rsidRPr="00DF570B">
        <w:t>більш</w:t>
      </w:r>
      <w:r>
        <w:t xml:space="preserve">ої </w:t>
      </w:r>
      <w:r w:rsidRPr="00DF570B">
        <w:t>юридичн</w:t>
      </w:r>
      <w:r>
        <w:t xml:space="preserve">ої </w:t>
      </w:r>
      <w:r w:rsidRPr="00DF570B">
        <w:t>захищеності інвесторів</w:t>
      </w:r>
      <w:r>
        <w:t>,</w:t>
      </w:r>
      <w:r w:rsidRPr="00DF570B">
        <w:t xml:space="preserve"> </w:t>
      </w:r>
      <w:r>
        <w:t xml:space="preserve">вирішення </w:t>
      </w:r>
      <w:r w:rsidRPr="00DF570B">
        <w:t xml:space="preserve">проблемних </w:t>
      </w:r>
      <w:r>
        <w:t>аспектів</w:t>
      </w:r>
      <w:r w:rsidRPr="00DF570B">
        <w:t xml:space="preserve"> землекористування для потреб нафтогазової галузі</w:t>
      </w:r>
      <w:r>
        <w:t xml:space="preserve">, </w:t>
      </w:r>
      <w:r w:rsidRPr="00DF570B">
        <w:t>побудов</w:t>
      </w:r>
      <w:r>
        <w:t>а</w:t>
      </w:r>
      <w:r w:rsidRPr="00DF570B">
        <w:t xml:space="preserve"> взаємодії між видобувними компаніями</w:t>
      </w:r>
      <w:r w:rsidR="004970A7">
        <w:t>,</w:t>
      </w:r>
      <w:r w:rsidRPr="00DF570B">
        <w:t xml:space="preserve"> Урядом</w:t>
      </w:r>
      <w:r w:rsidR="004970A7">
        <w:t xml:space="preserve"> та</w:t>
      </w:r>
      <w:r w:rsidR="00950730">
        <w:t xml:space="preserve"> місцевими органами влади</w:t>
      </w:r>
      <w:r>
        <w:t>.</w:t>
      </w:r>
    </w:p>
    <w:p w:rsidR="0063695B" w:rsidRPr="004970A7" w:rsidRDefault="00950730" w:rsidP="006C375E">
      <w:pPr>
        <w:ind w:firstLine="720"/>
        <w:contextualSpacing/>
        <w:jc w:val="both"/>
        <w:rPr>
          <w:b/>
        </w:rPr>
      </w:pPr>
      <w:r>
        <w:t xml:space="preserve">З метою </w:t>
      </w:r>
      <w:r w:rsidRPr="006C375E">
        <w:t>збільшення інвестицій у газовидобувну галузь, шляхом залучення фінансових ресурсів підприємств галузі, іноземних інвесторів та міжнародних фінансових інституцій</w:t>
      </w:r>
      <w:r>
        <w:t xml:space="preserve">, </w:t>
      </w:r>
      <w:r w:rsidRPr="00950730">
        <w:t>збільшення обсягів власного видобутку природного газу з метою зменшення її залежності від імпорту енергоносіїв</w:t>
      </w:r>
      <w:r>
        <w:t xml:space="preserve">, зменшення податкового тиску на </w:t>
      </w:r>
      <w:r w:rsidRPr="00950730">
        <w:t>газовидобувну галузь</w:t>
      </w:r>
      <w:r>
        <w:t xml:space="preserve"> та </w:t>
      </w:r>
      <w:r w:rsidRPr="00950730">
        <w:t>ведення економічно обґрунтованої і прозорої фіскальної політики у сфері видобутку природного газу, нафти та газового конденсату</w:t>
      </w:r>
      <w:r>
        <w:t xml:space="preserve">, </w:t>
      </w:r>
      <w:r w:rsidRPr="004970A7">
        <w:rPr>
          <w:b/>
        </w:rPr>
        <w:t xml:space="preserve">направляємо Вам </w:t>
      </w:r>
      <w:r w:rsidR="00631B86" w:rsidRPr="00631B86">
        <w:rPr>
          <w:b/>
          <w:i/>
        </w:rPr>
        <w:t>актуальні пропозиції щодо дерегуляції нафтогазової галузі</w:t>
      </w:r>
      <w:r w:rsidR="004970A7" w:rsidRPr="00631B86">
        <w:rPr>
          <w:b/>
          <w:i/>
        </w:rPr>
        <w:t xml:space="preserve"> (додаються)</w:t>
      </w:r>
      <w:r w:rsidRPr="00631B86">
        <w:rPr>
          <w:b/>
        </w:rPr>
        <w:t>,</w:t>
      </w:r>
      <w:r w:rsidRPr="004970A7">
        <w:rPr>
          <w:b/>
        </w:rPr>
        <w:t xml:space="preserve"> та звертаємось</w:t>
      </w:r>
      <w:r w:rsidR="004970A7" w:rsidRPr="004970A7">
        <w:rPr>
          <w:b/>
        </w:rPr>
        <w:t xml:space="preserve"> до Вас</w:t>
      </w:r>
      <w:r w:rsidRPr="004970A7">
        <w:rPr>
          <w:b/>
        </w:rPr>
        <w:t xml:space="preserve"> із проханням посприяти якнайшвидшому вирішенню </w:t>
      </w:r>
      <w:r w:rsidR="004970A7" w:rsidRPr="004970A7">
        <w:rPr>
          <w:b/>
        </w:rPr>
        <w:t xml:space="preserve">зазначених </w:t>
      </w:r>
      <w:r w:rsidR="004970A7">
        <w:rPr>
          <w:b/>
        </w:rPr>
        <w:t xml:space="preserve">проблемних </w:t>
      </w:r>
      <w:r w:rsidR="004970A7" w:rsidRPr="004970A7">
        <w:rPr>
          <w:b/>
        </w:rPr>
        <w:t>питань.</w:t>
      </w:r>
    </w:p>
    <w:p w:rsidR="004970A7" w:rsidRPr="00F07B92" w:rsidRDefault="004970A7" w:rsidP="004970A7">
      <w:pPr>
        <w:ind w:firstLine="720"/>
        <w:jc w:val="both"/>
        <w:rPr>
          <w:lang w:val="ru-RU"/>
        </w:rPr>
      </w:pPr>
      <w:r w:rsidRPr="00F07B92">
        <w:rPr>
          <w:lang w:val="ru-RU"/>
        </w:rPr>
        <w:t xml:space="preserve">Будь ласка, </w:t>
      </w:r>
      <w:proofErr w:type="spellStart"/>
      <w:r w:rsidRPr="00F07B92">
        <w:rPr>
          <w:lang w:val="ru-RU"/>
        </w:rPr>
        <w:t>ще</w:t>
      </w:r>
      <w:proofErr w:type="spellEnd"/>
      <w:r w:rsidRPr="00F07B92">
        <w:rPr>
          <w:lang w:val="ru-RU"/>
        </w:rPr>
        <w:t xml:space="preserve"> раз </w:t>
      </w:r>
      <w:proofErr w:type="spellStart"/>
      <w:r w:rsidRPr="00F07B92">
        <w:rPr>
          <w:lang w:val="ru-RU"/>
        </w:rPr>
        <w:t>прийміть</w:t>
      </w:r>
      <w:proofErr w:type="spellEnd"/>
      <w:r w:rsidRPr="00F07B92">
        <w:rPr>
          <w:lang w:val="ru-RU"/>
        </w:rPr>
        <w:t xml:space="preserve"> </w:t>
      </w:r>
      <w:proofErr w:type="spellStart"/>
      <w:r w:rsidRPr="00F07B92">
        <w:rPr>
          <w:lang w:val="ru-RU"/>
        </w:rPr>
        <w:t>запевнення</w:t>
      </w:r>
      <w:proofErr w:type="spellEnd"/>
      <w:r w:rsidRPr="00F07B92">
        <w:rPr>
          <w:lang w:val="ru-RU"/>
        </w:rPr>
        <w:t xml:space="preserve"> у </w:t>
      </w:r>
      <w:proofErr w:type="spellStart"/>
      <w:r w:rsidRPr="00F07B92">
        <w:rPr>
          <w:lang w:val="ru-RU"/>
        </w:rPr>
        <w:t>нашій</w:t>
      </w:r>
      <w:proofErr w:type="spellEnd"/>
      <w:r w:rsidRPr="00F07B92">
        <w:rPr>
          <w:lang w:val="ru-RU"/>
        </w:rPr>
        <w:t xml:space="preserve"> </w:t>
      </w:r>
      <w:proofErr w:type="spellStart"/>
      <w:r w:rsidRPr="00F07B92">
        <w:rPr>
          <w:lang w:val="ru-RU"/>
        </w:rPr>
        <w:t>глибокій</w:t>
      </w:r>
      <w:proofErr w:type="spellEnd"/>
      <w:r w:rsidRPr="00F07B92">
        <w:rPr>
          <w:lang w:val="ru-RU"/>
        </w:rPr>
        <w:t xml:space="preserve"> </w:t>
      </w:r>
      <w:proofErr w:type="spellStart"/>
      <w:r w:rsidRPr="00F07B92">
        <w:rPr>
          <w:lang w:val="ru-RU"/>
        </w:rPr>
        <w:t>повазі</w:t>
      </w:r>
      <w:proofErr w:type="spellEnd"/>
      <w:r w:rsidRPr="00F07B92">
        <w:rPr>
          <w:lang w:val="ru-RU"/>
        </w:rPr>
        <w:t xml:space="preserve"> та </w:t>
      </w:r>
      <w:proofErr w:type="spellStart"/>
      <w:r w:rsidRPr="00F07B92">
        <w:rPr>
          <w:lang w:val="ru-RU"/>
        </w:rPr>
        <w:t>побажання</w:t>
      </w:r>
      <w:proofErr w:type="spellEnd"/>
      <w:r w:rsidRPr="00F07B92">
        <w:rPr>
          <w:lang w:val="ru-RU"/>
        </w:rPr>
        <w:t xml:space="preserve"> </w:t>
      </w:r>
      <w:proofErr w:type="spellStart"/>
      <w:r w:rsidRPr="00F07B92">
        <w:rPr>
          <w:lang w:val="ru-RU"/>
        </w:rPr>
        <w:t>успіху</w:t>
      </w:r>
      <w:proofErr w:type="spellEnd"/>
      <w:r w:rsidRPr="00F07B92">
        <w:rPr>
          <w:lang w:val="ru-RU"/>
        </w:rPr>
        <w:t>.</w:t>
      </w:r>
    </w:p>
    <w:p w:rsidR="004970A7" w:rsidRDefault="004970A7" w:rsidP="004970A7">
      <w:pPr>
        <w:ind w:firstLine="720"/>
        <w:jc w:val="both"/>
      </w:pPr>
      <w:r w:rsidRPr="00F07B92">
        <w:t xml:space="preserve">У разі запитань щодо вищезазначеного, просимо Вас визначити відповідальну особу, яка могла б зв’язатись з нами за телефоном 490-58-00 або електронною поштою </w:t>
      </w:r>
      <w:hyperlink r:id="rId7" w:history="1">
        <w:r w:rsidRPr="00F07B92">
          <w:rPr>
            <w:rStyle w:val="Hyperlink"/>
          </w:rPr>
          <w:t>ttemniuk@chamber.ua</w:t>
        </w:r>
      </w:hyperlink>
      <w:r w:rsidRPr="00F07B92">
        <w:t xml:space="preserve">, контактна особа – Тетяна </w:t>
      </w:r>
      <w:proofErr w:type="spellStart"/>
      <w:r w:rsidRPr="00F07B92">
        <w:t>Темнюк</w:t>
      </w:r>
      <w:proofErr w:type="spellEnd"/>
      <w:r w:rsidRPr="00F07B92">
        <w:t>, менеджер Палати з питань стратегічного розвитку (енергетика).</w:t>
      </w:r>
      <w:r>
        <w:t xml:space="preserve"> </w:t>
      </w:r>
    </w:p>
    <w:p w:rsidR="004970A7" w:rsidRPr="006638A6" w:rsidRDefault="004970A7" w:rsidP="004970A7">
      <w:pPr>
        <w:jc w:val="both"/>
        <w:rPr>
          <w:b/>
        </w:rPr>
      </w:pPr>
    </w:p>
    <w:p w:rsidR="004970A7" w:rsidRDefault="004970A7" w:rsidP="004970A7">
      <w:pPr>
        <w:jc w:val="both"/>
        <w:rPr>
          <w:b/>
        </w:rPr>
      </w:pPr>
      <w:r w:rsidRPr="006638A6">
        <w:rPr>
          <w:b/>
        </w:rPr>
        <w:t>З найкращими побажаннями,</w:t>
      </w:r>
    </w:p>
    <w:p w:rsidR="004970A7" w:rsidRPr="006638A6" w:rsidRDefault="004970A7" w:rsidP="004970A7">
      <w:pPr>
        <w:jc w:val="both"/>
        <w:rPr>
          <w:b/>
        </w:rPr>
      </w:pPr>
    </w:p>
    <w:p w:rsidR="004970A7" w:rsidRPr="006638A6" w:rsidRDefault="004970A7" w:rsidP="004970A7">
      <w:pPr>
        <w:ind w:firstLine="709"/>
        <w:jc w:val="both"/>
        <w:rPr>
          <w:b/>
        </w:rPr>
      </w:pPr>
    </w:p>
    <w:p w:rsidR="004970A7" w:rsidRDefault="004970A7" w:rsidP="004970A7">
      <w:pPr>
        <w:jc w:val="both"/>
      </w:pPr>
      <w:r w:rsidRPr="006638A6">
        <w:rPr>
          <w:b/>
        </w:rPr>
        <w:t>Президент</w:t>
      </w:r>
      <w:r w:rsidRPr="006638A6">
        <w:rPr>
          <w:b/>
        </w:rPr>
        <w:tab/>
      </w:r>
      <w:r w:rsidRPr="006638A6">
        <w:rPr>
          <w:b/>
        </w:rPr>
        <w:tab/>
      </w:r>
      <w:r w:rsidRPr="006638A6">
        <w:rPr>
          <w:b/>
        </w:rPr>
        <w:tab/>
      </w:r>
      <w:r w:rsidRPr="006638A6">
        <w:rPr>
          <w:b/>
        </w:rPr>
        <w:tab/>
      </w:r>
      <w:r w:rsidRPr="006638A6">
        <w:rPr>
          <w:b/>
        </w:rPr>
        <w:tab/>
      </w:r>
      <w:r w:rsidRPr="006638A6">
        <w:rPr>
          <w:b/>
        </w:rPr>
        <w:tab/>
      </w:r>
      <w:r w:rsidRPr="006638A6">
        <w:rPr>
          <w:b/>
        </w:rPr>
        <w:tab/>
      </w:r>
      <w:r w:rsidRPr="006638A6">
        <w:rPr>
          <w:b/>
        </w:rPr>
        <w:tab/>
      </w:r>
      <w:r w:rsidRPr="006638A6">
        <w:rPr>
          <w:b/>
        </w:rPr>
        <w:tab/>
      </w:r>
      <w:r w:rsidRPr="006638A6">
        <w:rPr>
          <w:b/>
        </w:rPr>
        <w:tab/>
        <w:t xml:space="preserve">       Андрій </w:t>
      </w:r>
      <w:proofErr w:type="spellStart"/>
      <w:r w:rsidRPr="006638A6">
        <w:rPr>
          <w:b/>
        </w:rPr>
        <w:t>Гундер</w:t>
      </w:r>
      <w:proofErr w:type="spellEnd"/>
    </w:p>
    <w:p w:rsidR="0063695B" w:rsidRDefault="0063695B" w:rsidP="006C375E">
      <w:pPr>
        <w:ind w:firstLine="720"/>
        <w:contextualSpacing/>
        <w:jc w:val="both"/>
      </w:pPr>
    </w:p>
    <w:p w:rsidR="0063695B" w:rsidRDefault="0063695B" w:rsidP="006C375E">
      <w:pPr>
        <w:ind w:firstLine="720"/>
        <w:contextualSpacing/>
        <w:jc w:val="both"/>
      </w:pPr>
    </w:p>
    <w:p w:rsidR="0063695B" w:rsidRDefault="009B5C75" w:rsidP="004970A7">
      <w:pPr>
        <w:ind w:firstLine="720"/>
        <w:contextualSpacing/>
        <w:jc w:val="center"/>
      </w:pPr>
      <w:r>
        <w:rPr>
          <w:b/>
          <w:lang w:val="ru-RU"/>
        </w:rPr>
        <w:lastRenderedPageBreak/>
        <w:t>Дерегуляц</w:t>
      </w:r>
      <w:r>
        <w:rPr>
          <w:b/>
        </w:rPr>
        <w:t>ія</w:t>
      </w:r>
      <w:r w:rsidR="004970A7">
        <w:rPr>
          <w:b/>
        </w:rPr>
        <w:t xml:space="preserve"> </w:t>
      </w:r>
      <w:r w:rsidR="004970A7" w:rsidRPr="004970A7">
        <w:rPr>
          <w:b/>
        </w:rPr>
        <w:t>нафтогазової галузі</w:t>
      </w:r>
    </w:p>
    <w:p w:rsidR="0063695B" w:rsidRDefault="0063695B" w:rsidP="006C375E">
      <w:pPr>
        <w:ind w:firstLine="720"/>
        <w:contextualSpacing/>
        <w:jc w:val="both"/>
      </w:pPr>
    </w:p>
    <w:p w:rsidR="00F30CDB" w:rsidRDefault="00F30CDB" w:rsidP="00F30CDB">
      <w:pPr>
        <w:pStyle w:val="ListParagraph"/>
        <w:numPr>
          <w:ilvl w:val="0"/>
          <w:numId w:val="1"/>
        </w:numPr>
        <w:tabs>
          <w:tab w:val="left" w:pos="450"/>
        </w:tabs>
        <w:ind w:left="90" w:firstLine="0"/>
        <w:jc w:val="both"/>
        <w:rPr>
          <w:b/>
        </w:rPr>
      </w:pPr>
      <w:r w:rsidRPr="00F30CDB">
        <w:rPr>
          <w:b/>
        </w:rPr>
        <w:t>Впровадження подальших реформ, спрямованих на підвищення прозорості в видобувних галузях, в частині видачі спеціальних дозволів на користування надрами</w:t>
      </w:r>
      <w:r>
        <w:rPr>
          <w:b/>
        </w:rPr>
        <w:t>.</w:t>
      </w:r>
    </w:p>
    <w:p w:rsidR="00F30CDB" w:rsidRDefault="00F30CDB" w:rsidP="00994E10">
      <w:pPr>
        <w:ind w:firstLine="450"/>
        <w:jc w:val="both"/>
      </w:pPr>
      <w:r>
        <w:t xml:space="preserve">Основні постанови Кабінету Міністрів України, які регулюють процедуру видачі, припинення дії, внесення змін до спеціальних дозволів, в тому числі Порядок проведення аукціонів з продажу спеціальних дозволів на користування надрами, затверджений Постановою КМУ № 594 від 30.05.2011 р., та Порядок надання спеціальних дозволів на користування надрами, затверджений Постановою КМУ № 615 від 30.05.2011 р., постійно змінюються. Такий підхід не надає учасникам ринку відчуття стабільності законодавства з міцною діловою репутацією. </w:t>
      </w:r>
      <w:r w:rsidR="001E6858">
        <w:t>Експерти компаній – членів Палати вважають за необхідне</w:t>
      </w:r>
      <w:r>
        <w:t xml:space="preserve"> внесення</w:t>
      </w:r>
      <w:r w:rsidR="001E6858">
        <w:t xml:space="preserve"> комплексних</w:t>
      </w:r>
      <w:r>
        <w:t xml:space="preserve"> змін до вищевказаних постанов на збалансованій та систематичній основі</w:t>
      </w:r>
      <w:r w:rsidR="001E6858">
        <w:t>, зокрема:</w:t>
      </w:r>
    </w:p>
    <w:p w:rsidR="001E6858" w:rsidRDefault="001E6858" w:rsidP="001E6858">
      <w:pPr>
        <w:pStyle w:val="ListParagraph"/>
        <w:numPr>
          <w:ilvl w:val="0"/>
          <w:numId w:val="3"/>
        </w:numPr>
        <w:tabs>
          <w:tab w:val="left" w:pos="540"/>
          <w:tab w:val="left" w:pos="1080"/>
        </w:tabs>
        <w:ind w:left="0" w:firstLine="720"/>
        <w:jc w:val="both"/>
      </w:pPr>
      <w:r>
        <w:t>п</w:t>
      </w:r>
      <w:r w:rsidR="00F30CDB">
        <w:t xml:space="preserve">унктом 13 діючого Порядку надання спеціальних дозволів на користування надрами на користувачів надр покладається зобов’язання в разі збільшення запасів корисних копалин сплатити вартість геологічної інформації. Впродовж 2016 р. </w:t>
      </w:r>
      <w:r w:rsidRPr="001E6858">
        <w:t>Державна служба геології та надр України</w:t>
      </w:r>
      <w:r>
        <w:t xml:space="preserve"> (</w:t>
      </w:r>
      <w:proofErr w:type="spellStart"/>
      <w:r w:rsidR="00F30CDB">
        <w:t>Держгеонадра</w:t>
      </w:r>
      <w:proofErr w:type="spellEnd"/>
      <w:r>
        <w:t>)</w:t>
      </w:r>
      <w:r w:rsidR="00F30CDB">
        <w:t xml:space="preserve"> багаторазово призначала сплату додаткових зборів у таких випадках. Вищезазначене положення та подібні ініціативи </w:t>
      </w:r>
      <w:r>
        <w:t>не</w:t>
      </w:r>
      <w:r w:rsidR="00F30CDB">
        <w:t xml:space="preserve"> стимулю</w:t>
      </w:r>
      <w:r>
        <w:t>ють</w:t>
      </w:r>
      <w:r w:rsidR="00F30CDB">
        <w:t xml:space="preserve"> приплив інвестицій у геологічне вивчення </w:t>
      </w:r>
      <w:r>
        <w:t xml:space="preserve">та розвідку надр. </w:t>
      </w:r>
      <w:r w:rsidR="00F30CDB">
        <w:t xml:space="preserve">Держава повинна заохочувати збільшення запасів замість того, щоб за це фінансово «карати», адже збільшення запасів корисних копалин має низку очевидних </w:t>
      </w:r>
      <w:r>
        <w:t xml:space="preserve">переваг для держави, включаючи </w:t>
      </w:r>
      <w:r w:rsidR="00F30CDB">
        <w:t>оновлення ге</w:t>
      </w:r>
      <w:r>
        <w:t xml:space="preserve">ологічної інформації про надра, збільшення бази ресурсів, </w:t>
      </w:r>
      <w:r w:rsidR="00F30CDB">
        <w:t>змен</w:t>
      </w:r>
      <w:r>
        <w:t xml:space="preserve">шення імпорту корисних копалин, </w:t>
      </w:r>
      <w:r w:rsidR="00F30CDB">
        <w:t xml:space="preserve">додаткові доходи у вигляді податків. </w:t>
      </w:r>
    </w:p>
    <w:p w:rsidR="001E6858" w:rsidRDefault="00F30CDB" w:rsidP="001E6858">
      <w:pPr>
        <w:pStyle w:val="ListParagraph"/>
        <w:tabs>
          <w:tab w:val="left" w:pos="540"/>
          <w:tab w:val="left" w:pos="1080"/>
        </w:tabs>
        <w:ind w:left="0" w:firstLine="720"/>
        <w:jc w:val="both"/>
      </w:pPr>
      <w:r>
        <w:t>Встановлення додаткових зборів суперечить чинному законодавству, а саме статтям 28 та 34 Кодексу про надра України, та перевищує законодавчо визначені повноваження Кабінету Міністрів</w:t>
      </w:r>
      <w:r w:rsidR="001E6858">
        <w:t xml:space="preserve"> України </w:t>
      </w:r>
      <w:r>
        <w:t xml:space="preserve"> </w:t>
      </w:r>
      <w:r w:rsidR="001E6858">
        <w:t>щодо</w:t>
      </w:r>
      <w:r>
        <w:t xml:space="preserve"> геологічного вивчення, використання і охорони природних ресурсів</w:t>
      </w:r>
      <w:r w:rsidR="001E6858">
        <w:t>;</w:t>
      </w:r>
    </w:p>
    <w:p w:rsidR="001E6858" w:rsidRDefault="001E6858" w:rsidP="001E6858">
      <w:pPr>
        <w:pStyle w:val="ListParagraph"/>
        <w:numPr>
          <w:ilvl w:val="0"/>
          <w:numId w:val="3"/>
        </w:numPr>
        <w:tabs>
          <w:tab w:val="left" w:pos="540"/>
          <w:tab w:val="left" w:pos="1080"/>
        </w:tabs>
        <w:ind w:left="0" w:firstLine="720"/>
        <w:jc w:val="both"/>
      </w:pPr>
      <w:r>
        <w:t xml:space="preserve">відповідно до ст. 25 Порядку проведення державної експертизи та оцінки запасів корисних копалин, затвердженого Постановою КМУ № 865 від 22 грудня 1994 р., користувачі надр зобов’язані проводити повторну державну експертизу та оцінку запасів родовищ корисних копалин через кожні п'ять років експлуатації ділянки надр, а також у разі явних змін у кількісних та якісних характеристиках корисних копалин та в техніко-економічних та фінансових показниках господарської діяльності. Вимога щодо повторної експертизи та оцінки запасів через кожні п'ять років експлуатації була скасована Постановою КМУ № 1236 від 27 грудня 2010 р. «Про визнання такими, що втратили чинність, деяких актів Кабінету Міністрів України». Також незаконність вимоги про повторну оцінку запасів кожні п'ять років підтверджується останньою судовою практикою. </w:t>
      </w:r>
    </w:p>
    <w:p w:rsidR="00994E10" w:rsidRDefault="001E6858" w:rsidP="001E6858">
      <w:pPr>
        <w:pStyle w:val="ListParagraph"/>
        <w:tabs>
          <w:tab w:val="left" w:pos="540"/>
          <w:tab w:val="left" w:pos="1080"/>
        </w:tabs>
        <w:ind w:left="0" w:firstLine="720"/>
        <w:jc w:val="both"/>
      </w:pPr>
      <w:r>
        <w:t xml:space="preserve">Вимога про повторну оцінку запасів кожні п’ять років є невідповідною та дискримінаційною відносно видобувної промисловості; вона створює додаткове бюрократичне та фінансове навантаження на видобувні компанії. </w:t>
      </w:r>
      <w:r w:rsidR="00994E10">
        <w:t>Крім того, п</w:t>
      </w:r>
      <w:r>
        <w:t xml:space="preserve">овторна оцінка запасів родовищ вуглеводнів, які є малими або перебувають на останньому етапі розробки, взагалі є економічно неефективною, адже в таких випадках вартість повторної експертизи та оцінки запасів є вищою за загальну вартість усіх запасів вуглеводнів, що залишилися, що істотно впливає на техніко-економічні показники таких родовищ і збільшує вартість видобутку. </w:t>
      </w:r>
    </w:p>
    <w:p w:rsidR="001E6858" w:rsidRDefault="00994E10" w:rsidP="001E6858">
      <w:pPr>
        <w:pStyle w:val="ListParagraph"/>
        <w:tabs>
          <w:tab w:val="left" w:pos="540"/>
          <w:tab w:val="left" w:pos="1080"/>
        </w:tabs>
        <w:ind w:left="0" w:firstLine="720"/>
        <w:jc w:val="both"/>
      </w:pPr>
      <w:r>
        <w:t>На думку експертів компаній - членів Палати, п</w:t>
      </w:r>
      <w:r w:rsidR="001E6858">
        <w:t xml:space="preserve">овторна державна експертиза та оцінка запасів повинні проводитися </w:t>
      </w:r>
      <w:r>
        <w:t xml:space="preserve">лише </w:t>
      </w:r>
      <w:r w:rsidR="001E6858">
        <w:t>в разі значної зміни в якісних та кількісних характеристиках родовищ вуглеводнів у зв’язку з  видобутком або подальшою розвідкою</w:t>
      </w:r>
      <w:r>
        <w:t>, а не прив’язуватись до конкретних термінів</w:t>
      </w:r>
      <w:r w:rsidR="001E6858">
        <w:t>.</w:t>
      </w:r>
    </w:p>
    <w:p w:rsidR="00272997" w:rsidRDefault="00272997" w:rsidP="00272997">
      <w:pPr>
        <w:pStyle w:val="ListParagraph"/>
        <w:numPr>
          <w:ilvl w:val="0"/>
          <w:numId w:val="3"/>
        </w:numPr>
        <w:tabs>
          <w:tab w:val="left" w:pos="540"/>
          <w:tab w:val="left" w:pos="1080"/>
        </w:tabs>
        <w:ind w:left="0" w:firstLine="720"/>
        <w:jc w:val="both"/>
      </w:pPr>
      <w:r w:rsidRPr="00272997">
        <w:t>У 2016 р. до Постанов КМУ № 615 від 30.05.2011 р. та № 594 від 30.05.2011 р. були внесені</w:t>
      </w:r>
      <w:r>
        <w:t xml:space="preserve"> чергові</w:t>
      </w:r>
      <w:r w:rsidRPr="00272997">
        <w:t xml:space="preserve"> зміни, які передбачають, що </w:t>
      </w:r>
      <w:proofErr w:type="spellStart"/>
      <w:r w:rsidRPr="00272997">
        <w:t>Держгеонадра</w:t>
      </w:r>
      <w:proofErr w:type="spellEnd"/>
      <w:r w:rsidRPr="00272997">
        <w:t xml:space="preserve"> при розгляді низки питань (надання доступу до аукціонів, надання, подовження та внесення змін до спеціальних дозволів, тощо) повинна враховувати інформацію від органів внутрішніх справ та фінансового моніторингу </w:t>
      </w:r>
      <w:r w:rsidRPr="00272997">
        <w:lastRenderedPageBreak/>
        <w:t xml:space="preserve">стосовно участі заявників у фінансуванні тероризму в Україні та стосовно податкової заборгованості та несплачених обов’язкових платежів заявників за останній звітний період. При цьому, критерії визначення причетності до фінансування тероризму законодавчо не визначені, </w:t>
      </w:r>
      <w:r>
        <w:t xml:space="preserve">а </w:t>
      </w:r>
      <w:r w:rsidRPr="00272997">
        <w:t xml:space="preserve">програмне забезпечення Державної фіскальної служби відображає </w:t>
      </w:r>
      <w:r>
        <w:t>відповідні дані із затримкою</w:t>
      </w:r>
      <w:r w:rsidRPr="00272997">
        <w:t>. Загалом, вищевказані поправки не відповідають Закону України «Про дозвільну систему в сфері господарської діяльності», створюють значні ризики для користувачів надр і подовжують період надання спеціальних дозволів.</w:t>
      </w:r>
    </w:p>
    <w:p w:rsidR="00230399" w:rsidRDefault="00230399" w:rsidP="00230399">
      <w:pPr>
        <w:pStyle w:val="ListParagraph"/>
        <w:tabs>
          <w:tab w:val="left" w:pos="540"/>
          <w:tab w:val="left" w:pos="1080"/>
        </w:tabs>
        <w:ind w:left="0" w:firstLine="720"/>
        <w:jc w:val="both"/>
      </w:pPr>
      <w:r w:rsidRPr="00230399">
        <w:t>Окремо звертаємо Вашу увагу, що зміни до Постанов КМУ №594 та №615 від 30.05.2011р. відбуваються безсистемно та шляхом внесення численних косметичних правок. Такий підхід не надає відчуття стабільності законодавства, якого прагнуть компанії - члени Палати та гравці ринку з високою діловою репутацією. Найбільш раціональним виходом з такої ситуації вбачається прийняття нового Кодексу про надра, який зможе модернізувати законодавство, усунути прогалини, зробити прозорою та закріпити на рівні закону процедуру отримання спеціальних дозволів на користування надрами, внесення змін до них, призупинення та позбавлення прав користування надрами.</w:t>
      </w:r>
    </w:p>
    <w:p w:rsidR="00994E10" w:rsidRDefault="00994E10" w:rsidP="001E6858">
      <w:pPr>
        <w:pStyle w:val="ListParagraph"/>
        <w:tabs>
          <w:tab w:val="left" w:pos="540"/>
          <w:tab w:val="left" w:pos="1080"/>
        </w:tabs>
        <w:ind w:left="0" w:firstLine="720"/>
        <w:jc w:val="both"/>
      </w:pPr>
      <w:r>
        <w:t xml:space="preserve">Палата зверталася з </w:t>
      </w:r>
      <w:r w:rsidR="00720F6C">
        <w:t xml:space="preserve">відповідними </w:t>
      </w:r>
      <w:r>
        <w:t xml:space="preserve">листами </w:t>
      </w:r>
      <w:r w:rsidR="00230399">
        <w:t xml:space="preserve">до </w:t>
      </w:r>
      <w:proofErr w:type="spellStart"/>
      <w:r w:rsidR="00230399">
        <w:t>Держгеонадра</w:t>
      </w:r>
      <w:proofErr w:type="spellEnd"/>
      <w:r w:rsidR="00230399">
        <w:t xml:space="preserve"> та Міністерства екології та природніх ресурсів </w:t>
      </w:r>
      <w:r>
        <w:t xml:space="preserve">щодо </w:t>
      </w:r>
      <w:r w:rsidR="005D4C02">
        <w:t>скасування сплати за геологічну інформацію в разі збільшення запасів корисних копалин</w:t>
      </w:r>
      <w:r w:rsidR="00272997">
        <w:t>,</w:t>
      </w:r>
      <w:r w:rsidR="005D4C02">
        <w:t xml:space="preserve"> </w:t>
      </w:r>
      <w:r w:rsidR="005D4C02" w:rsidRPr="005D4C02">
        <w:t>провед</w:t>
      </w:r>
      <w:r w:rsidR="005D4C02">
        <w:t>ення повторної оцінки</w:t>
      </w:r>
      <w:r w:rsidR="005D4C02" w:rsidRPr="005D4C02">
        <w:t xml:space="preserve"> запасів родовищ корисних копалин через кожні п'ять років експлуатації ділянки надр</w:t>
      </w:r>
      <w:r w:rsidR="00272997">
        <w:t xml:space="preserve">, а також щодо </w:t>
      </w:r>
      <w:r w:rsidR="00230399">
        <w:t>регулярного і безсистемного внесення змін до Постанов КМУ №</w:t>
      </w:r>
      <w:r w:rsidR="00230399" w:rsidRPr="00994E10">
        <w:t xml:space="preserve">594 </w:t>
      </w:r>
      <w:r w:rsidR="00230399">
        <w:t xml:space="preserve">та №615 від 30.05.2011р. Користуючись цією нагодою Палата ще раз підтверджує свою готовність до співпраці з </w:t>
      </w:r>
      <w:proofErr w:type="spellStart"/>
      <w:r w:rsidR="00230399">
        <w:t>Держгеонадра</w:t>
      </w:r>
      <w:proofErr w:type="spellEnd"/>
      <w:r w:rsidR="00230399">
        <w:t xml:space="preserve"> та Мінприроди з питання розробки Кодексу про надра. </w:t>
      </w:r>
    </w:p>
    <w:p w:rsidR="00994E10" w:rsidRDefault="00994E10" w:rsidP="001E6858">
      <w:pPr>
        <w:pStyle w:val="ListParagraph"/>
        <w:tabs>
          <w:tab w:val="left" w:pos="540"/>
          <w:tab w:val="left" w:pos="1080"/>
        </w:tabs>
        <w:ind w:left="0" w:firstLine="720"/>
        <w:jc w:val="both"/>
      </w:pPr>
      <w:r w:rsidRPr="00110E57">
        <w:rPr>
          <w:b/>
        </w:rPr>
        <w:t xml:space="preserve">Просимо Вас </w:t>
      </w:r>
      <w:r>
        <w:rPr>
          <w:b/>
        </w:rPr>
        <w:t>підтримати</w:t>
      </w:r>
      <w:r w:rsidR="005C3DD8">
        <w:rPr>
          <w:b/>
        </w:rPr>
        <w:t xml:space="preserve"> відповідним розпорядженням</w:t>
      </w:r>
      <w:r>
        <w:rPr>
          <w:b/>
        </w:rPr>
        <w:t xml:space="preserve"> ініціативи</w:t>
      </w:r>
      <w:r w:rsidRPr="00110E57">
        <w:rPr>
          <w:b/>
        </w:rPr>
        <w:t xml:space="preserve"> Палати</w:t>
      </w:r>
      <w:r>
        <w:rPr>
          <w:b/>
        </w:rPr>
        <w:t xml:space="preserve"> </w:t>
      </w:r>
      <w:r w:rsidRPr="00FE18DA">
        <w:t>щодо</w:t>
      </w:r>
      <w:r>
        <w:t xml:space="preserve"> </w:t>
      </w:r>
      <w:r w:rsidRPr="00994E10">
        <w:t>внесення</w:t>
      </w:r>
      <w:r w:rsidR="00673195">
        <w:t xml:space="preserve"> зазначених вище</w:t>
      </w:r>
      <w:r w:rsidRPr="00994E10">
        <w:t xml:space="preserve"> змін до Постанов</w:t>
      </w:r>
      <w:r>
        <w:t>и КМУ №</w:t>
      </w:r>
      <w:r w:rsidRPr="00994E10">
        <w:t xml:space="preserve">594 від 30.05.2011 р. </w:t>
      </w:r>
      <w:r>
        <w:t xml:space="preserve">та </w:t>
      </w:r>
      <w:r w:rsidRPr="00994E10">
        <w:t>Постанов</w:t>
      </w:r>
      <w:r>
        <w:t>и КМУ №615 від 30.05.2011</w:t>
      </w:r>
      <w:r w:rsidRPr="00994E10">
        <w:t>р.</w:t>
      </w:r>
      <w:r>
        <w:t xml:space="preserve"> </w:t>
      </w:r>
      <w:r w:rsidRPr="00994E10">
        <w:t>на збалансованій та систематичній</w:t>
      </w:r>
      <w:r w:rsidR="00230399">
        <w:t xml:space="preserve"> основі</w:t>
      </w:r>
      <w:r w:rsidR="005C3DD8">
        <w:t>.</w:t>
      </w:r>
    </w:p>
    <w:p w:rsidR="00F70515" w:rsidRDefault="00F70515" w:rsidP="001E6858">
      <w:pPr>
        <w:pStyle w:val="ListParagraph"/>
        <w:tabs>
          <w:tab w:val="left" w:pos="540"/>
          <w:tab w:val="left" w:pos="1080"/>
        </w:tabs>
        <w:ind w:left="0" w:firstLine="720"/>
        <w:jc w:val="both"/>
      </w:pPr>
    </w:p>
    <w:p w:rsidR="00F70515" w:rsidRDefault="00F70515" w:rsidP="00B67172">
      <w:pPr>
        <w:pStyle w:val="ListParagraph"/>
        <w:numPr>
          <w:ilvl w:val="0"/>
          <w:numId w:val="1"/>
        </w:numPr>
        <w:tabs>
          <w:tab w:val="left" w:pos="450"/>
        </w:tabs>
        <w:ind w:left="90" w:firstLine="0"/>
        <w:jc w:val="both"/>
      </w:pPr>
      <w:r w:rsidRPr="00F70515">
        <w:rPr>
          <w:b/>
        </w:rPr>
        <w:t xml:space="preserve">Налагодження </w:t>
      </w:r>
      <w:r w:rsidR="00C7360A" w:rsidRPr="00F70515">
        <w:rPr>
          <w:b/>
        </w:rPr>
        <w:t>ефективної</w:t>
      </w:r>
      <w:r w:rsidRPr="00F70515">
        <w:rPr>
          <w:b/>
        </w:rPr>
        <w:t xml:space="preserve"> роботи Державної служби геології та надр України.</w:t>
      </w:r>
      <w:r w:rsidRPr="00F70515">
        <w:t xml:space="preserve"> </w:t>
      </w:r>
    </w:p>
    <w:p w:rsidR="00F70515" w:rsidRDefault="00F70515" w:rsidP="00F70515">
      <w:pPr>
        <w:pStyle w:val="ListParagraph"/>
        <w:tabs>
          <w:tab w:val="left" w:pos="450"/>
        </w:tabs>
        <w:ind w:left="90" w:firstLine="630"/>
        <w:jc w:val="both"/>
      </w:pPr>
      <w:r w:rsidRPr="00F70515">
        <w:t xml:space="preserve">Питання врегулювання та вдосконалення порядку користування надрами є надзвичайно важливим задля покращення інвестиційної привабливості України. </w:t>
      </w:r>
      <w:proofErr w:type="spellStart"/>
      <w:r>
        <w:t>Держгеонадра</w:t>
      </w:r>
      <w:proofErr w:type="spellEnd"/>
      <w:r w:rsidRPr="00F70515">
        <w:t xml:space="preserve"> є центральним органом виконавчої влади, який реалізує державну політику у сфері геологічного вивчення та раціонального використання надр. Основними завданнями </w:t>
      </w:r>
      <w:proofErr w:type="spellStart"/>
      <w:r w:rsidRPr="00F70515">
        <w:t>Держгеонадр</w:t>
      </w:r>
      <w:proofErr w:type="spellEnd"/>
      <w:r w:rsidRPr="00F70515">
        <w:t xml:space="preserve"> є узагальнення практики застосування законодавства з питань, що належать до компетенції </w:t>
      </w:r>
      <w:proofErr w:type="spellStart"/>
      <w:r w:rsidRPr="00F70515">
        <w:t>Держгеонадр</w:t>
      </w:r>
      <w:proofErr w:type="spellEnd"/>
      <w:r w:rsidRPr="00F70515">
        <w:t>, розробка пропозиції щодо вдосконалення законодавчих та нормативно-правових актів, здійснення державного контролю за геологічним вивченням надр та раціональним і ефективним їх використанням, видання в установленому порядку спеціальних дозволів на користування надрами, зупинка та анулювання їх дії тощо.</w:t>
      </w:r>
    </w:p>
    <w:p w:rsidR="00673195" w:rsidRPr="00335B76" w:rsidRDefault="00673195" w:rsidP="00F70515">
      <w:pPr>
        <w:pStyle w:val="ListParagraph"/>
        <w:tabs>
          <w:tab w:val="left" w:pos="450"/>
        </w:tabs>
        <w:ind w:left="90" w:firstLine="630"/>
        <w:jc w:val="both"/>
      </w:pPr>
      <w:r w:rsidRPr="00335B76">
        <w:t xml:space="preserve">За інформацією від компаній-членів Палати, спостерігається низка проблемних аспектів у функціонуванні </w:t>
      </w:r>
      <w:proofErr w:type="spellStart"/>
      <w:r w:rsidRPr="00335B76">
        <w:t>Держгеонадр</w:t>
      </w:r>
      <w:proofErr w:type="spellEnd"/>
      <w:r w:rsidRPr="00335B76">
        <w:t>, серед яких неефективна комунікація з боку даного органу, недотримання строків розгляду письмових звернень</w:t>
      </w:r>
      <w:r>
        <w:t xml:space="preserve"> </w:t>
      </w:r>
      <w:proofErr w:type="spellStart"/>
      <w:r>
        <w:t>надрокористувачів</w:t>
      </w:r>
      <w:proofErr w:type="spellEnd"/>
      <w:r>
        <w:t xml:space="preserve">, </w:t>
      </w:r>
      <w:r w:rsidR="00C7360A">
        <w:t xml:space="preserve">суттєві затримки у видачі/продовженні спеціальних дозволів, </w:t>
      </w:r>
      <w:r>
        <w:t xml:space="preserve">несистемна робота основних внутрішніх робочих органів </w:t>
      </w:r>
      <w:proofErr w:type="spellStart"/>
      <w:r>
        <w:t>Держгеонадра</w:t>
      </w:r>
      <w:proofErr w:type="spellEnd"/>
      <w:r>
        <w:t xml:space="preserve"> (Комісія з питань </w:t>
      </w:r>
      <w:proofErr w:type="spellStart"/>
      <w:r>
        <w:t>надрокористування</w:t>
      </w:r>
      <w:proofErr w:type="spellEnd"/>
      <w:r>
        <w:t>)</w:t>
      </w:r>
      <w:r w:rsidRPr="00335B76">
        <w:t xml:space="preserve"> та інші пов'язані із цим питання.</w:t>
      </w:r>
      <w:r>
        <w:t xml:space="preserve"> Занепокоєння викликає статистика 2016 року, відповідно до якої </w:t>
      </w:r>
      <w:proofErr w:type="spellStart"/>
      <w:r>
        <w:t>Держгеонадрами</w:t>
      </w:r>
      <w:proofErr w:type="spellEnd"/>
      <w:r>
        <w:t xml:space="preserve"> було видано 527 спеціальних дозволів, з яких лише 2,6%  було придбано за результатами відкритих аукціонів. У зв’язку з рішеннями </w:t>
      </w:r>
      <w:proofErr w:type="spellStart"/>
      <w:r w:rsidRPr="001033CF">
        <w:t>Держгеонадр</w:t>
      </w:r>
      <w:proofErr w:type="spellEnd"/>
      <w:r w:rsidRPr="001033CF">
        <w:t xml:space="preserve"> </w:t>
      </w:r>
      <w:r>
        <w:t>чи</w:t>
      </w:r>
      <w:r w:rsidRPr="001033CF">
        <w:t xml:space="preserve"> </w:t>
      </w:r>
      <w:r>
        <w:t xml:space="preserve">їх бездіяльністю в 2016 році було порушено десятки судових прав, що свідчить про відсутність довіри між </w:t>
      </w:r>
      <w:proofErr w:type="spellStart"/>
      <w:r>
        <w:t>Держгеонадра</w:t>
      </w:r>
      <w:proofErr w:type="spellEnd"/>
      <w:r>
        <w:t xml:space="preserve"> та </w:t>
      </w:r>
      <w:proofErr w:type="spellStart"/>
      <w:r>
        <w:t>надрокористувачами</w:t>
      </w:r>
      <w:proofErr w:type="spellEnd"/>
      <w:r>
        <w:t>, та низький рівень прозорості.</w:t>
      </w:r>
      <w:r w:rsidRPr="00335B76">
        <w:t xml:space="preserve"> </w:t>
      </w:r>
    </w:p>
    <w:p w:rsidR="00673195" w:rsidRPr="00335B76" w:rsidRDefault="00673195" w:rsidP="00F70515">
      <w:pPr>
        <w:ind w:firstLine="630"/>
        <w:jc w:val="both"/>
      </w:pPr>
      <w:r w:rsidRPr="00335B76">
        <w:t>З огляду на це, перспектив</w:t>
      </w:r>
      <w:r>
        <w:t>и</w:t>
      </w:r>
      <w:r w:rsidRPr="00335B76">
        <w:t xml:space="preserve"> </w:t>
      </w:r>
      <w:r>
        <w:t>реформування</w:t>
      </w:r>
      <w:r w:rsidRPr="00335B76">
        <w:t xml:space="preserve"> </w:t>
      </w:r>
      <w:r>
        <w:t xml:space="preserve">галузі </w:t>
      </w:r>
      <w:r w:rsidRPr="00335B76">
        <w:t>користування надрами (надання рівних умов всім учасникам ринку при видачі спеціальних дозволів</w:t>
      </w:r>
      <w:r>
        <w:t xml:space="preserve">, проведення системних та прозорих аукціонів, </w:t>
      </w:r>
      <w:r w:rsidRPr="00335B76">
        <w:t xml:space="preserve">скорочення підстав видачі спеціальних дозволів поза аукціонами, попередження </w:t>
      </w:r>
      <w:r w:rsidRPr="00335B76">
        <w:lastRenderedPageBreak/>
        <w:t>впровадження додаткової плати у разі збільшення запасів корисних копалин, прийняття нового Кодексу про надра тощо) зда</w:t>
      </w:r>
      <w:r>
        <w:t>ються</w:t>
      </w:r>
      <w:r w:rsidRPr="00335B76">
        <w:t xml:space="preserve"> досить сумнівн</w:t>
      </w:r>
      <w:r>
        <w:t>ими</w:t>
      </w:r>
      <w:r w:rsidRPr="00335B76">
        <w:t>.</w:t>
      </w:r>
      <w:r>
        <w:t xml:space="preserve"> Як наслідок, втрачає</w:t>
      </w:r>
      <w:r w:rsidR="00F70515">
        <w:t>ться</w:t>
      </w:r>
      <w:r>
        <w:t xml:space="preserve"> можливість на збільшення обсягів видобування корисних копалин, в тому числі стратегічних нафти та газу.</w:t>
      </w:r>
    </w:p>
    <w:p w:rsidR="00673195" w:rsidRDefault="00F70515" w:rsidP="00F70515">
      <w:pPr>
        <w:pStyle w:val="ListParagraph"/>
        <w:tabs>
          <w:tab w:val="left" w:pos="540"/>
          <w:tab w:val="left" w:pos="1080"/>
        </w:tabs>
        <w:ind w:left="0" w:firstLine="630"/>
        <w:jc w:val="both"/>
      </w:pPr>
      <w:r w:rsidRPr="00F70515">
        <w:rPr>
          <w:b/>
        </w:rPr>
        <w:t xml:space="preserve">Просимо Вас посприяти налагодженню ефективної роботи </w:t>
      </w:r>
      <w:proofErr w:type="spellStart"/>
      <w:r w:rsidRPr="00F70515">
        <w:rPr>
          <w:b/>
        </w:rPr>
        <w:t>Держгеонадр</w:t>
      </w:r>
      <w:proofErr w:type="spellEnd"/>
      <w:r w:rsidRPr="00F70515">
        <w:rPr>
          <w:b/>
        </w:rPr>
        <w:t xml:space="preserve"> та надати відповідне розпорядження щодо проведення конкурсу на посаду Голови </w:t>
      </w:r>
      <w:proofErr w:type="spellStart"/>
      <w:r w:rsidRPr="00F70515">
        <w:rPr>
          <w:b/>
        </w:rPr>
        <w:t>Держгеонадр</w:t>
      </w:r>
      <w:proofErr w:type="spellEnd"/>
      <w:r>
        <w:t xml:space="preserve">, </w:t>
      </w:r>
      <w:r w:rsidRPr="00F70515">
        <w:t>з метою забезпечення стабільності законодавства і стимулювання інвестицій в дану галузь, а також підвищення ефективності управління енергетичною галуззю в цілому</w:t>
      </w:r>
      <w:r w:rsidR="00C7360A">
        <w:t>.</w:t>
      </w:r>
    </w:p>
    <w:p w:rsidR="00272997" w:rsidRDefault="00272997" w:rsidP="00F70515">
      <w:pPr>
        <w:pStyle w:val="ListParagraph"/>
        <w:tabs>
          <w:tab w:val="left" w:pos="540"/>
          <w:tab w:val="left" w:pos="1080"/>
        </w:tabs>
        <w:ind w:left="0" w:firstLine="630"/>
        <w:jc w:val="both"/>
      </w:pPr>
    </w:p>
    <w:p w:rsidR="00272997" w:rsidRDefault="00272997" w:rsidP="00272997">
      <w:pPr>
        <w:pStyle w:val="ListParagraph"/>
        <w:numPr>
          <w:ilvl w:val="0"/>
          <w:numId w:val="1"/>
        </w:numPr>
        <w:tabs>
          <w:tab w:val="left" w:pos="450"/>
        </w:tabs>
        <w:ind w:left="90" w:firstLine="0"/>
        <w:jc w:val="both"/>
        <w:rPr>
          <w:b/>
        </w:rPr>
      </w:pPr>
      <w:r>
        <w:rPr>
          <w:b/>
        </w:rPr>
        <w:t>З</w:t>
      </w:r>
      <w:r w:rsidRPr="00597CE2">
        <w:rPr>
          <w:b/>
        </w:rPr>
        <w:t>ниження ставок оподаткування видобутку газового конденсату до ставок, застосовних до видобутку нафти.</w:t>
      </w:r>
    </w:p>
    <w:p w:rsidR="00272997" w:rsidRPr="00597CE2" w:rsidRDefault="00272997" w:rsidP="00272997">
      <w:pPr>
        <w:pStyle w:val="ListParagraph"/>
        <w:ind w:left="90" w:firstLine="630"/>
        <w:jc w:val="both"/>
      </w:pPr>
      <w:r w:rsidRPr="00597CE2">
        <w:t xml:space="preserve">У грудні 2016р. Верховна Рада України проголосувала за поправки до Податкового кодексу України та зниження ставки податку на видобуток нафти з покладів, які залягають на глибині до 5000 метрів - вони були знижені з 45% до 29%; і з покладів, які залягають на глибині понад 5000 метрів - з 21% до 14%. Однак, ставки рентної плати на видобуток газового конденсату залишилися без змін. </w:t>
      </w:r>
    </w:p>
    <w:p w:rsidR="00272997" w:rsidRPr="00597CE2" w:rsidRDefault="00272997" w:rsidP="00272997">
      <w:pPr>
        <w:pStyle w:val="ListParagraph"/>
        <w:ind w:left="90" w:firstLine="630"/>
        <w:jc w:val="both"/>
      </w:pPr>
      <w:r w:rsidRPr="00597CE2">
        <w:t xml:space="preserve">Разом з тим, технічні характеристики газового конденсату не відрізняються від характеристик нафти. Відповідно, це означає, що фактично для одного і того ж продукту діють різні рентні ставки, що негативно впливає на роботу інвесторів в Україні та може призводити до махінацій з нафтою та газовим конденсатом.  </w:t>
      </w:r>
    </w:p>
    <w:p w:rsidR="00272997" w:rsidRPr="00597CE2" w:rsidRDefault="00272997" w:rsidP="00272997">
      <w:pPr>
        <w:pStyle w:val="ListParagraph"/>
        <w:ind w:left="90" w:firstLine="630"/>
        <w:jc w:val="both"/>
      </w:pPr>
      <w:r w:rsidRPr="00597CE2">
        <w:t xml:space="preserve"> На думку експертів компаній-членів Палати, виконання поставленої Урядом цілі щодо збільшення обсягу видобутку газу до 27-30 млрд. кубометрів до 2020 р., можливе лише за умови ведення економічно обґрунтованої і прозорої фіскальної політики у сфері видобутку природного газу, нафти та газового конденсату.</w:t>
      </w:r>
    </w:p>
    <w:p w:rsidR="00272997" w:rsidRDefault="00272997" w:rsidP="00272997">
      <w:pPr>
        <w:pStyle w:val="ListParagraph"/>
        <w:ind w:left="90" w:firstLine="630"/>
        <w:jc w:val="both"/>
      </w:pPr>
      <w:r>
        <w:t xml:space="preserve">Листом від 9.10.2017р. №17-617 Палата зверталася до </w:t>
      </w:r>
      <w:r w:rsidRPr="00597CE2">
        <w:t>Комітету Верховної Ради України з питань податкової політики</w:t>
      </w:r>
      <w:r>
        <w:t xml:space="preserve"> із проханням </w:t>
      </w:r>
      <w:r w:rsidRPr="00597CE2">
        <w:t xml:space="preserve">щодо приведення ставок рентної плати, встановлених для видобутку газового конденсату у відповідність до ставок рентної плати, встановлених для видобутку нафти, шляхом </w:t>
      </w:r>
      <w:bookmarkStart w:id="1" w:name="_Hlk497476182"/>
      <w:r w:rsidRPr="00597CE2">
        <w:t>внесення відповідних змін до проекту Закону №7000 від 15.09.2017р. «Про Державний бюджет України на 2018 рік» та Податкового кодексу України</w:t>
      </w:r>
      <w:bookmarkEnd w:id="1"/>
      <w:r w:rsidRPr="00597CE2">
        <w:t>.</w:t>
      </w:r>
    </w:p>
    <w:p w:rsidR="00272997" w:rsidRPr="00110E57" w:rsidRDefault="00272997" w:rsidP="00272997">
      <w:pPr>
        <w:pStyle w:val="ListParagraph"/>
        <w:ind w:left="90" w:firstLine="630"/>
        <w:jc w:val="both"/>
        <w:rPr>
          <w:b/>
        </w:rPr>
      </w:pPr>
      <w:r w:rsidRPr="00110E57">
        <w:rPr>
          <w:b/>
        </w:rPr>
        <w:t>Просимо Вас підтримати ініціативу Палати</w:t>
      </w:r>
      <w:r>
        <w:rPr>
          <w:b/>
        </w:rPr>
        <w:t xml:space="preserve"> </w:t>
      </w:r>
      <w:r w:rsidRPr="00110E57">
        <w:t>щодо зниження ставок оподаткування видобутку газового конденсату до ставок, застосовних до видобутку нафти та внесення відповідних змін до проекту Закону №7000 від 15.09.2017р. «Про Державний бюджет України на 2018 рік» та Податкового кодексу України.</w:t>
      </w:r>
    </w:p>
    <w:p w:rsidR="00272997" w:rsidRDefault="00272997" w:rsidP="00272997">
      <w:pPr>
        <w:pStyle w:val="ListParagraph"/>
        <w:jc w:val="both"/>
      </w:pPr>
    </w:p>
    <w:p w:rsidR="00272997" w:rsidRPr="00455349" w:rsidRDefault="00272997" w:rsidP="00272997">
      <w:pPr>
        <w:pStyle w:val="ListParagraph"/>
        <w:numPr>
          <w:ilvl w:val="0"/>
          <w:numId w:val="1"/>
        </w:numPr>
        <w:tabs>
          <w:tab w:val="left" w:pos="450"/>
        </w:tabs>
        <w:ind w:left="90" w:firstLine="0"/>
        <w:jc w:val="both"/>
        <w:rPr>
          <w:b/>
        </w:rPr>
      </w:pPr>
      <w:r w:rsidRPr="00455349">
        <w:rPr>
          <w:b/>
        </w:rPr>
        <w:t>Вдосконалення процедури надання земельних ділянок для потреб нафтогазової промисловості.</w:t>
      </w:r>
    </w:p>
    <w:p w:rsidR="00272997" w:rsidRPr="00E1402F" w:rsidRDefault="00272997" w:rsidP="00272997">
      <w:pPr>
        <w:ind w:firstLine="720"/>
        <w:jc w:val="both"/>
      </w:pPr>
      <w:r w:rsidRPr="00E1402F">
        <w:t xml:space="preserve">Нафтогазові підприємства постійно стикаються з проблемами набуття прав на земельні ділянки. Такі проблеми викликані </w:t>
      </w:r>
      <w:r>
        <w:t>с</w:t>
      </w:r>
      <w:r w:rsidRPr="00E1402F">
        <w:t>кладніст</w:t>
      </w:r>
      <w:r>
        <w:t>ю</w:t>
      </w:r>
      <w:r w:rsidRPr="00E1402F">
        <w:t xml:space="preserve"> процедури землевідведе</w:t>
      </w:r>
      <w:r>
        <w:t>ння, що може тривати 1,5-2 роки, що</w:t>
      </w:r>
      <w:r w:rsidRPr="00E1402F">
        <w:t xml:space="preserve"> є основною причиною затримок у веденні геологорозвідувальної та видобувної діяльності</w:t>
      </w:r>
      <w:r>
        <w:t xml:space="preserve">; </w:t>
      </w:r>
      <w:r w:rsidRPr="00E1402F">
        <w:t>приналежність земельних ділянок, на яких розташована більшість вуглеводневих покладів, до земель сільськогосподарського призначення, щодо яких діє мораторій на відчуження та зміну цільового призначення;</w:t>
      </w:r>
      <w:r>
        <w:t xml:space="preserve"> відсутність врегульованої процедури реєстрації </w:t>
      </w:r>
      <w:r w:rsidRPr="00E1402F">
        <w:t>угод на р</w:t>
      </w:r>
      <w:r>
        <w:t>озвідувальні роботи, передбачених</w:t>
      </w:r>
      <w:r w:rsidRPr="00E1402F">
        <w:t xml:space="preserve"> ст.97 Земельного Кодексу</w:t>
      </w:r>
      <w:r>
        <w:t xml:space="preserve">, та їх </w:t>
      </w:r>
      <w:r w:rsidRPr="00110E57">
        <w:t>застосовува</w:t>
      </w:r>
      <w:r>
        <w:t>ння</w:t>
      </w:r>
      <w:r w:rsidRPr="00110E57">
        <w:t xml:space="preserve"> на стадії видобування та під час переходу зі стадії геологічного вивчення до стадії видобутку</w:t>
      </w:r>
      <w:r>
        <w:t xml:space="preserve"> тощо.</w:t>
      </w:r>
    </w:p>
    <w:p w:rsidR="00272997" w:rsidRPr="00E1402F" w:rsidRDefault="00272997" w:rsidP="00272997">
      <w:pPr>
        <w:ind w:firstLine="720"/>
        <w:jc w:val="both"/>
      </w:pPr>
      <w:r w:rsidRPr="00E1402F">
        <w:t xml:space="preserve">У зв’язку з юридичною неможливістю оформлення земельних відносин на ділянках сільськогосподарського призначення, </w:t>
      </w:r>
      <w:proofErr w:type="spellStart"/>
      <w:r w:rsidRPr="00E1402F">
        <w:t>надрокористувачі</w:t>
      </w:r>
      <w:proofErr w:type="spellEnd"/>
      <w:r w:rsidRPr="00E1402F">
        <w:t xml:space="preserve"> вимушені обирати менш перспективні з геологічної точки зору ділянки для проведення робіт, окрім того, інвестиції у видобування є незахищеними.</w:t>
      </w:r>
    </w:p>
    <w:p w:rsidR="00272997" w:rsidRDefault="00272997" w:rsidP="00272997">
      <w:pPr>
        <w:ind w:firstLine="720"/>
        <w:jc w:val="both"/>
      </w:pPr>
      <w:r w:rsidRPr="00E1402F">
        <w:t xml:space="preserve">Необхідно спростити процедуру укладення земельних угод під будівництво, спорудження, розвідку та обслуговування газових та нафтових свердловин. У випадку, якщо скасування </w:t>
      </w:r>
      <w:r w:rsidRPr="00E1402F">
        <w:lastRenderedPageBreak/>
        <w:t xml:space="preserve">мораторію найближчим часом не планується, придбання/оренда земель </w:t>
      </w:r>
      <w:proofErr w:type="spellStart"/>
      <w:r w:rsidRPr="00E1402F">
        <w:t>сільгосппризначення</w:t>
      </w:r>
      <w:proofErr w:type="spellEnd"/>
      <w:r w:rsidRPr="00E1402F">
        <w:t xml:space="preserve"> для цілей нафтогазовидобувної галузі повинне бути виключено з-під його дії.</w:t>
      </w:r>
    </w:p>
    <w:p w:rsidR="00272997" w:rsidRDefault="00272997" w:rsidP="00272997">
      <w:pPr>
        <w:ind w:firstLine="720"/>
        <w:jc w:val="both"/>
      </w:pPr>
      <w:r>
        <w:t xml:space="preserve">Для вирішення цього питання був розроблений </w:t>
      </w:r>
      <w:r w:rsidRPr="00E1402F">
        <w:t>законопроект №3096-Д «Про внесення змін до деяких законодавчих актів України щодо спрощення деяких аспектів нафтогазової галузі»</w:t>
      </w:r>
      <w:r>
        <w:t xml:space="preserve"> від </w:t>
      </w:r>
      <w:r w:rsidRPr="00110E57">
        <w:t>25.05.2017</w:t>
      </w:r>
      <w:r>
        <w:t>р.</w:t>
      </w:r>
      <w:r w:rsidRPr="00E1402F">
        <w:t xml:space="preserve">, що наразі </w:t>
      </w:r>
      <w:r>
        <w:t xml:space="preserve">включений до порядку денного сьомої сесії Верховної Ради України восьмого скликання. </w:t>
      </w:r>
    </w:p>
    <w:p w:rsidR="00272997" w:rsidRPr="00E1402F" w:rsidRDefault="00272997" w:rsidP="00272997">
      <w:pPr>
        <w:ind w:firstLine="720"/>
        <w:jc w:val="both"/>
      </w:pPr>
      <w:r>
        <w:t xml:space="preserve">Листом від 13.06.2017р. №13-714 Палата зверталася з проханням до Верховної Ради України проголосувати за </w:t>
      </w:r>
      <w:r w:rsidRPr="00110E57">
        <w:t>законопроект №3096-Д</w:t>
      </w:r>
      <w:r>
        <w:t xml:space="preserve"> на попередній сесії </w:t>
      </w:r>
      <w:r w:rsidRPr="00110E57">
        <w:t>Верховної Ради України</w:t>
      </w:r>
      <w:r>
        <w:t>, проте і досі він залишається у переліку порядку денного..</w:t>
      </w:r>
    </w:p>
    <w:p w:rsidR="00272997" w:rsidRDefault="00272997" w:rsidP="00272997">
      <w:pPr>
        <w:pStyle w:val="ListParagraph"/>
        <w:ind w:left="0" w:firstLine="720"/>
        <w:jc w:val="both"/>
      </w:pPr>
      <w:r w:rsidRPr="00110E57">
        <w:rPr>
          <w:b/>
        </w:rPr>
        <w:t>Просимо Вас підтримати ініціативу Палати</w:t>
      </w:r>
      <w:r>
        <w:rPr>
          <w:b/>
        </w:rPr>
        <w:t xml:space="preserve"> </w:t>
      </w:r>
      <w:r w:rsidRPr="00FE18DA">
        <w:t>щодо прийняття законопроекту №3096-Д</w:t>
      </w:r>
      <w:r>
        <w:t xml:space="preserve"> на найближчих засіданнях сьомої сесії Верховної Ради України</w:t>
      </w:r>
      <w:r w:rsidRPr="00FE18DA">
        <w:t>.</w:t>
      </w:r>
    </w:p>
    <w:p w:rsidR="005C3DD8" w:rsidRDefault="005C3DD8" w:rsidP="001E6858">
      <w:pPr>
        <w:pStyle w:val="ListParagraph"/>
        <w:tabs>
          <w:tab w:val="left" w:pos="540"/>
          <w:tab w:val="left" w:pos="1080"/>
        </w:tabs>
        <w:ind w:left="0" w:firstLine="720"/>
        <w:jc w:val="both"/>
      </w:pPr>
    </w:p>
    <w:p w:rsidR="005C3DD8" w:rsidRPr="00673195" w:rsidRDefault="005C3DD8" w:rsidP="001E6858">
      <w:pPr>
        <w:pStyle w:val="ListParagraph"/>
        <w:tabs>
          <w:tab w:val="left" w:pos="540"/>
          <w:tab w:val="left" w:pos="1080"/>
        </w:tabs>
        <w:ind w:left="0" w:firstLine="720"/>
        <w:jc w:val="both"/>
      </w:pPr>
    </w:p>
    <w:p w:rsidR="005C3DD8" w:rsidRDefault="005C3DD8" w:rsidP="001E6858">
      <w:pPr>
        <w:pStyle w:val="ListParagraph"/>
        <w:tabs>
          <w:tab w:val="left" w:pos="540"/>
          <w:tab w:val="left" w:pos="1080"/>
        </w:tabs>
        <w:ind w:left="0" w:firstLine="720"/>
        <w:jc w:val="both"/>
      </w:pPr>
    </w:p>
    <w:p w:rsidR="006C375E" w:rsidRPr="00272997" w:rsidRDefault="00F30CDB" w:rsidP="00C7360A">
      <w:pPr>
        <w:pStyle w:val="ListParagraph"/>
        <w:tabs>
          <w:tab w:val="left" w:pos="540"/>
          <w:tab w:val="left" w:pos="1080"/>
        </w:tabs>
        <w:ind w:left="0" w:firstLine="720"/>
        <w:jc w:val="both"/>
      </w:pPr>
      <w:r>
        <w:t xml:space="preserve"> </w:t>
      </w:r>
    </w:p>
    <w:p w:rsidR="006C375E" w:rsidRPr="00F07B92" w:rsidRDefault="006C375E" w:rsidP="006C375E">
      <w:pPr>
        <w:ind w:firstLine="720"/>
        <w:contextualSpacing/>
        <w:jc w:val="both"/>
      </w:pPr>
    </w:p>
    <w:p w:rsidR="00DC0B2A" w:rsidRDefault="00F652B1"/>
    <w:sectPr w:rsidR="00DC0B2A" w:rsidSect="008247B6">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35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5FB" w:rsidRDefault="00D1123E">
      <w:r>
        <w:separator/>
      </w:r>
    </w:p>
  </w:endnote>
  <w:endnote w:type="continuationSeparator" w:id="0">
    <w:p w:rsidR="00FF65FB" w:rsidRDefault="00D1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D" w:rsidRDefault="00F65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D78" w:rsidRPr="00843624" w:rsidRDefault="009C5A31" w:rsidP="00205D78">
    <w:pPr>
      <w:tabs>
        <w:tab w:val="left" w:pos="1170"/>
      </w:tabs>
      <w:ind w:left="-990"/>
      <w:jc w:val="both"/>
      <w:rPr>
        <w:rFonts w:ascii="Arial" w:hAnsi="Arial" w:cs="Arial"/>
        <w:b/>
        <w:i/>
        <w:color w:val="404040"/>
        <w:sz w:val="16"/>
        <w:szCs w:val="16"/>
      </w:rPr>
    </w:pPr>
    <w:r w:rsidRPr="00843624">
      <w:rPr>
        <w:rFonts w:ascii="Arial" w:hAnsi="Arial" w:cs="Arial"/>
        <w:b/>
        <w:i/>
        <w:color w:val="404040"/>
        <w:sz w:val="16"/>
        <w:szCs w:val="16"/>
      </w:rPr>
      <w:t>_________________________________________________________________________________________</w:t>
    </w:r>
    <w:r>
      <w:rPr>
        <w:rFonts w:ascii="Arial" w:hAnsi="Arial" w:cs="Arial"/>
        <w:b/>
        <w:i/>
        <w:color w:val="404040"/>
        <w:sz w:val="16"/>
        <w:szCs w:val="16"/>
      </w:rPr>
      <w:t>__________________________________</w:t>
    </w:r>
  </w:p>
  <w:p w:rsidR="00205D78" w:rsidRPr="00843624" w:rsidRDefault="009C5A31" w:rsidP="00205D78">
    <w:pPr>
      <w:ind w:left="540" w:hanging="1530"/>
      <w:jc w:val="both"/>
      <w:rPr>
        <w:rFonts w:ascii="Arial" w:hAnsi="Arial" w:cs="Arial"/>
        <w:i/>
        <w:color w:val="404040"/>
        <w:sz w:val="16"/>
        <w:szCs w:val="16"/>
      </w:rPr>
    </w:pPr>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proofErr w:type="spellStart"/>
    <w:r w:rsidRPr="00843624">
      <w:rPr>
        <w:rFonts w:ascii="Arial" w:hAnsi="Arial" w:cs="Arial"/>
        <w:b/>
        <w:i/>
        <w:color w:val="404040"/>
        <w:sz w:val="16"/>
        <w:szCs w:val="16"/>
      </w:rPr>
      <w:t>Гжегож</w:t>
    </w:r>
    <w:proofErr w:type="spellEnd"/>
    <w:r w:rsidRPr="00843624">
      <w:rPr>
        <w:rFonts w:ascii="Arial" w:hAnsi="Arial" w:cs="Arial"/>
        <w:b/>
        <w:i/>
        <w:color w:val="404040"/>
        <w:sz w:val="16"/>
        <w:szCs w:val="16"/>
      </w:rPr>
      <w:t xml:space="preserve"> Хмелярський, </w:t>
    </w:r>
    <w:r w:rsidRPr="00843624">
      <w:rPr>
        <w:rFonts w:ascii="Arial" w:hAnsi="Arial" w:cs="Arial"/>
        <w:i/>
        <w:color w:val="404040"/>
        <w:sz w:val="16"/>
        <w:szCs w:val="16"/>
      </w:rPr>
      <w:t>“</w:t>
    </w:r>
    <w:proofErr w:type="spellStart"/>
    <w:r w:rsidRPr="00843624">
      <w:rPr>
        <w:rFonts w:ascii="Arial" w:hAnsi="Arial" w:cs="Arial"/>
        <w:i/>
        <w:color w:val="404040"/>
        <w:sz w:val="16"/>
        <w:szCs w:val="16"/>
      </w:rPr>
      <w:t>МакДональдз</w:t>
    </w:r>
    <w:proofErr w:type="spellEnd"/>
    <w:r w:rsidRPr="00843624">
      <w:rPr>
        <w:rFonts w:ascii="Arial" w:hAnsi="Arial" w:cs="Arial"/>
        <w:i/>
        <w:color w:val="404040"/>
        <w:sz w:val="16"/>
        <w:szCs w:val="16"/>
      </w:rPr>
      <w:t xml:space="preserve"> Юкрейн”</w:t>
    </w:r>
    <w:r w:rsidRPr="00843624">
      <w:rPr>
        <w:rFonts w:ascii="Arial" w:hAnsi="Arial" w:cs="Arial"/>
        <w:b/>
        <w:i/>
        <w:color w:val="404040"/>
        <w:sz w:val="16"/>
        <w:szCs w:val="16"/>
      </w:rPr>
      <w:t xml:space="preserve"> – Голова; </w:t>
    </w:r>
    <w:proofErr w:type="spellStart"/>
    <w:r w:rsidRPr="00843624">
      <w:rPr>
        <w:rFonts w:ascii="Arial" w:hAnsi="Arial" w:cs="Arial"/>
        <w:b/>
        <w:i/>
        <w:color w:val="404040"/>
        <w:sz w:val="16"/>
        <w:szCs w:val="16"/>
      </w:rPr>
      <w:t>Шевкі</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Аджунер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Європейський банк реконструкції та розвитку</w:t>
    </w:r>
    <w:r w:rsidRPr="00843624">
      <w:rPr>
        <w:rFonts w:ascii="Arial" w:hAnsi="Arial" w:cs="Arial"/>
        <w:b/>
        <w:i/>
        <w:color w:val="404040"/>
        <w:sz w:val="16"/>
        <w:szCs w:val="16"/>
      </w:rPr>
      <w:t xml:space="preserve"> – Заступник голови; Мартін </w:t>
    </w:r>
    <w:proofErr w:type="spellStart"/>
    <w:r w:rsidRPr="00843624">
      <w:rPr>
        <w:rFonts w:ascii="Arial" w:hAnsi="Arial" w:cs="Arial"/>
        <w:b/>
        <w:i/>
        <w:color w:val="404040"/>
        <w:sz w:val="16"/>
        <w:szCs w:val="16"/>
      </w:rPr>
      <w:t>Шумахер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 xml:space="preserve">"МЕТРО Кеш </w:t>
    </w:r>
    <w:proofErr w:type="spellStart"/>
    <w:r w:rsidRPr="00843624">
      <w:rPr>
        <w:rFonts w:ascii="Arial" w:hAnsi="Arial" w:cs="Arial"/>
        <w:i/>
        <w:color w:val="404040"/>
        <w:sz w:val="16"/>
        <w:szCs w:val="16"/>
      </w:rPr>
      <w:t>енд</w:t>
    </w:r>
    <w:proofErr w:type="spellEnd"/>
    <w:r w:rsidRPr="00843624">
      <w:rPr>
        <w:rFonts w:ascii="Arial" w:hAnsi="Arial" w:cs="Arial"/>
        <w:i/>
        <w:color w:val="404040"/>
        <w:sz w:val="16"/>
        <w:szCs w:val="16"/>
      </w:rPr>
      <w:t xml:space="preserve"> Кері Україна”</w:t>
    </w:r>
    <w:r w:rsidRPr="00843624">
      <w:rPr>
        <w:rFonts w:ascii="Arial" w:hAnsi="Arial" w:cs="Arial"/>
        <w:b/>
        <w:i/>
        <w:color w:val="404040"/>
        <w:sz w:val="16"/>
        <w:szCs w:val="16"/>
      </w:rPr>
      <w:t xml:space="preserve"> – Заступник голови; Надія Васильєва, </w:t>
    </w:r>
    <w:r w:rsidRPr="00843624">
      <w:rPr>
        <w:rFonts w:ascii="Arial" w:hAnsi="Arial" w:cs="Arial"/>
        <w:i/>
        <w:color w:val="404040"/>
        <w:sz w:val="16"/>
        <w:szCs w:val="16"/>
      </w:rPr>
      <w:t>“Майкрософт Україна”</w:t>
    </w:r>
    <w:r w:rsidRPr="00843624">
      <w:rPr>
        <w:rFonts w:ascii="Arial" w:hAnsi="Arial" w:cs="Arial"/>
        <w:b/>
        <w:i/>
        <w:color w:val="404040"/>
        <w:sz w:val="16"/>
        <w:szCs w:val="16"/>
      </w:rPr>
      <w:t xml:space="preserve"> – Скарбник; Олег Тимків, </w:t>
    </w:r>
    <w:proofErr w:type="spellStart"/>
    <w:r w:rsidRPr="00843624">
      <w:rPr>
        <w:rFonts w:ascii="Arial" w:hAnsi="Arial" w:cs="Arial"/>
        <w:i/>
        <w:color w:val="404040"/>
        <w:sz w:val="16"/>
        <w:szCs w:val="16"/>
      </w:rPr>
      <w:t>PwC</w:t>
    </w:r>
    <w:proofErr w:type="spellEnd"/>
    <w:r w:rsidRPr="00843624">
      <w:rPr>
        <w:rFonts w:ascii="Arial" w:hAnsi="Arial" w:cs="Arial"/>
        <w:b/>
        <w:i/>
        <w:color w:val="404040"/>
        <w:sz w:val="16"/>
        <w:szCs w:val="16"/>
      </w:rPr>
      <w:t xml:space="preserve"> – Секретар; Сергій Чорний, </w:t>
    </w:r>
    <w:r w:rsidRPr="00843624">
      <w:rPr>
        <w:rFonts w:ascii="Arial" w:hAnsi="Arial" w:cs="Arial"/>
        <w:i/>
        <w:color w:val="404040"/>
        <w:sz w:val="16"/>
        <w:szCs w:val="16"/>
      </w:rPr>
      <w:t>“Бейкер і Макензі”</w:t>
    </w:r>
    <w:r w:rsidRPr="00843624">
      <w:rPr>
        <w:rFonts w:ascii="Arial" w:hAnsi="Arial" w:cs="Arial"/>
        <w:b/>
        <w:i/>
        <w:color w:val="404040"/>
        <w:sz w:val="16"/>
        <w:szCs w:val="16"/>
      </w:rPr>
      <w:t xml:space="preserve"> – Юридичний радник; Ленна </w:t>
    </w:r>
    <w:proofErr w:type="spellStart"/>
    <w:r w:rsidRPr="00843624">
      <w:rPr>
        <w:rFonts w:ascii="Arial" w:hAnsi="Arial" w:cs="Arial"/>
        <w:b/>
        <w:i/>
        <w:color w:val="404040"/>
        <w:sz w:val="16"/>
        <w:szCs w:val="16"/>
      </w:rPr>
      <w:t>Кожарни</w:t>
    </w:r>
    <w:proofErr w:type="spellEnd"/>
    <w:r w:rsidRPr="00843624">
      <w:rPr>
        <w:rFonts w:ascii="Arial" w:hAnsi="Arial" w:cs="Arial"/>
        <w:b/>
        <w:i/>
        <w:color w:val="404040"/>
        <w:sz w:val="16"/>
        <w:szCs w:val="16"/>
      </w:rPr>
      <w:t xml:space="preserve">, </w:t>
    </w:r>
    <w:proofErr w:type="spellStart"/>
    <w:r w:rsidRPr="00843624">
      <w:rPr>
        <w:rFonts w:ascii="Arial" w:hAnsi="Arial" w:cs="Arial"/>
        <w:i/>
        <w:color w:val="404040"/>
        <w:sz w:val="16"/>
        <w:szCs w:val="16"/>
      </w:rPr>
      <w:t>Horizon</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Capital</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Стівен Фішер, </w:t>
    </w:r>
    <w:r w:rsidRPr="00843624">
      <w:rPr>
        <w:rFonts w:ascii="Arial" w:hAnsi="Arial" w:cs="Arial"/>
        <w:i/>
        <w:color w:val="404040"/>
        <w:sz w:val="16"/>
        <w:szCs w:val="16"/>
      </w:rPr>
      <w:t>"СІТІ";</w:t>
    </w:r>
    <w:r w:rsidRPr="00843624">
      <w:rPr>
        <w:rFonts w:ascii="Arial" w:hAnsi="Arial" w:cs="Arial"/>
        <w:b/>
        <w:i/>
        <w:color w:val="404040"/>
        <w:sz w:val="16"/>
        <w:szCs w:val="16"/>
      </w:rPr>
      <w:t xml:space="preserve"> Євген Шевченко, </w:t>
    </w:r>
    <w:proofErr w:type="spellStart"/>
    <w:r w:rsidRPr="00843624">
      <w:rPr>
        <w:rFonts w:ascii="Arial" w:hAnsi="Arial" w:cs="Arial"/>
        <w:i/>
        <w:color w:val="404040"/>
        <w:sz w:val="16"/>
        <w:szCs w:val="16"/>
      </w:rPr>
      <w:t>Carlsberg</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Мартін </w:t>
    </w:r>
    <w:proofErr w:type="spellStart"/>
    <w:r w:rsidRPr="00843624">
      <w:rPr>
        <w:rFonts w:ascii="Arial" w:hAnsi="Arial" w:cs="Arial"/>
        <w:b/>
        <w:i/>
        <w:color w:val="404040"/>
        <w:sz w:val="16"/>
        <w:szCs w:val="16"/>
      </w:rPr>
      <w:t>Шульдт</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"Каргілл".</w:t>
    </w:r>
  </w:p>
  <w:p w:rsidR="00205D78" w:rsidRPr="00843624" w:rsidRDefault="009C5A31" w:rsidP="00205D78">
    <w:pPr>
      <w:ind w:left="540" w:hanging="1530"/>
      <w:jc w:val="both"/>
      <w:rPr>
        <w:rFonts w:ascii="Arial" w:hAnsi="Arial" w:cs="Arial"/>
        <w:b/>
        <w:i/>
        <w:color w:val="404040"/>
        <w:sz w:val="16"/>
        <w:szCs w:val="16"/>
      </w:rPr>
    </w:pPr>
    <w:proofErr w:type="gramStart"/>
    <w:r w:rsidRPr="00843624">
      <w:rPr>
        <w:rFonts w:ascii="Arial" w:hAnsi="Arial" w:cs="Arial"/>
        <w:b/>
        <w:i/>
        <w:color w:val="404040"/>
        <w:sz w:val="16"/>
        <w:szCs w:val="16"/>
        <w:lang w:val="ru-RU"/>
      </w:rPr>
      <w:t>П</w:t>
    </w:r>
    <w:r w:rsidRPr="00843624">
      <w:rPr>
        <w:rFonts w:ascii="Arial" w:hAnsi="Arial" w:cs="Arial"/>
        <w:b/>
        <w:i/>
        <w:color w:val="404040"/>
        <w:sz w:val="16"/>
        <w:szCs w:val="16"/>
      </w:rPr>
      <w:t xml:space="preserve">резидент: </w:t>
    </w:r>
    <w:r w:rsidRPr="00843624">
      <w:rPr>
        <w:rFonts w:ascii="Arial" w:hAnsi="Arial" w:cs="Arial"/>
        <w:b/>
        <w:i/>
        <w:color w:val="404040"/>
        <w:sz w:val="16"/>
        <w:szCs w:val="16"/>
        <w:lang w:val="ru-RU"/>
      </w:rPr>
      <w:t xml:space="preserve">  </w:t>
    </w:r>
    <w:proofErr w:type="gramEnd"/>
    <w:r w:rsidRPr="00843624">
      <w:rPr>
        <w:rFonts w:ascii="Arial" w:hAnsi="Arial" w:cs="Arial"/>
        <w:b/>
        <w:i/>
        <w:color w:val="404040"/>
        <w:sz w:val="16"/>
        <w:szCs w:val="16"/>
        <w:lang w:val="ru-RU"/>
      </w:rPr>
      <w:t xml:space="preserve">        </w:t>
    </w:r>
    <w:r w:rsidRPr="00843624">
      <w:rPr>
        <w:rFonts w:ascii="Arial" w:hAnsi="Arial" w:cs="Arial"/>
        <w:b/>
        <w:i/>
        <w:color w:val="404040"/>
        <w:sz w:val="16"/>
        <w:szCs w:val="16"/>
      </w:rPr>
      <w:t xml:space="preserve"> Андрій </w:t>
    </w:r>
    <w:proofErr w:type="spellStart"/>
    <w:r w:rsidRPr="00843624">
      <w:rPr>
        <w:rFonts w:ascii="Arial" w:hAnsi="Arial" w:cs="Arial"/>
        <w:b/>
        <w:i/>
        <w:color w:val="404040"/>
        <w:sz w:val="16"/>
        <w:szCs w:val="16"/>
      </w:rPr>
      <w:t>Гундер</w:t>
    </w:r>
    <w:proofErr w:type="spellEnd"/>
  </w:p>
  <w:p w:rsidR="00205D78" w:rsidRPr="005F4AD6" w:rsidRDefault="00F652B1" w:rsidP="00590E60">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D" w:rsidRDefault="00F65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5FB" w:rsidRDefault="00D1123E">
      <w:r>
        <w:separator/>
      </w:r>
    </w:p>
  </w:footnote>
  <w:footnote w:type="continuationSeparator" w:id="0">
    <w:p w:rsidR="00FF65FB" w:rsidRDefault="00D11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D" w:rsidRDefault="00F652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71094" o:spid="_x0000_s1026" type="#_x0000_t136" style="position:absolute;margin-left:0;margin-top:0;width:503pt;height:201.2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D9A" w:rsidRDefault="00F652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71095" o:spid="_x0000_s1027" type="#_x0000_t136" style="position:absolute;margin-left:0;margin-top:0;width:503pt;height:201.2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C5A31">
      <w:rPr>
        <w:noProof/>
      </w:rPr>
      <w:drawing>
        <wp:anchor distT="0" distB="0" distL="114300" distR="114300" simplePos="0" relativeHeight="251656192" behindDoc="0" locked="0" layoutInCell="1" allowOverlap="1" wp14:anchorId="70B9ADB9" wp14:editId="1E4A7B69">
          <wp:simplePos x="0" y="0"/>
          <wp:positionH relativeFrom="column">
            <wp:posOffset>-861060</wp:posOffset>
          </wp:positionH>
          <wp:positionV relativeFrom="page">
            <wp:posOffset>88900</wp:posOffset>
          </wp:positionV>
          <wp:extent cx="7541895" cy="939800"/>
          <wp:effectExtent l="0" t="0" r="1905" b="0"/>
          <wp:wrapNone/>
          <wp:docPr id="5" name="Picture 5"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b="7770"/>
                  <a:stretch>
                    <a:fillRect/>
                  </a:stretch>
                </pic:blipFill>
                <pic:spPr bwMode="auto">
                  <a:xfrm>
                    <a:off x="0" y="0"/>
                    <a:ext cx="754189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5D78" w:rsidRDefault="00F652B1">
    <w:pPr>
      <w:pStyle w:val="Header"/>
    </w:pPr>
  </w:p>
  <w:p w:rsidR="00205D78" w:rsidRDefault="00F652B1">
    <w:pPr>
      <w:pStyle w:val="Header"/>
    </w:pPr>
  </w:p>
  <w:p w:rsidR="00205D78" w:rsidRDefault="00F65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D" w:rsidRDefault="00F652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71093" o:spid="_x0000_s1025" type="#_x0000_t136" style="position:absolute;margin-left:0;margin-top:0;width:503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76B"/>
    <w:multiLevelType w:val="hybridMultilevel"/>
    <w:tmpl w:val="E034CE3C"/>
    <w:lvl w:ilvl="0" w:tplc="7FA8C8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954A44"/>
    <w:multiLevelType w:val="hybridMultilevel"/>
    <w:tmpl w:val="AEBCE434"/>
    <w:lvl w:ilvl="0" w:tplc="3BD4BAEE">
      <w:start w:val="25"/>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A0F37"/>
    <w:multiLevelType w:val="hybridMultilevel"/>
    <w:tmpl w:val="E5F69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5E"/>
    <w:rsid w:val="00110E57"/>
    <w:rsid w:val="001B2BDB"/>
    <w:rsid w:val="001E6858"/>
    <w:rsid w:val="00230399"/>
    <w:rsid w:val="00272997"/>
    <w:rsid w:val="003A204F"/>
    <w:rsid w:val="0044417C"/>
    <w:rsid w:val="00455349"/>
    <w:rsid w:val="004970A7"/>
    <w:rsid w:val="00597CE2"/>
    <w:rsid w:val="005C3DD8"/>
    <w:rsid w:val="005D4C02"/>
    <w:rsid w:val="00631B86"/>
    <w:rsid w:val="0063695B"/>
    <w:rsid w:val="00673195"/>
    <w:rsid w:val="006C375E"/>
    <w:rsid w:val="00720F6C"/>
    <w:rsid w:val="007669A0"/>
    <w:rsid w:val="007D1D8C"/>
    <w:rsid w:val="00950730"/>
    <w:rsid w:val="00994E10"/>
    <w:rsid w:val="009B5C75"/>
    <w:rsid w:val="009B6E03"/>
    <w:rsid w:val="009C5A31"/>
    <w:rsid w:val="00C7360A"/>
    <w:rsid w:val="00D1123E"/>
    <w:rsid w:val="00DE0E64"/>
    <w:rsid w:val="00F30CDB"/>
    <w:rsid w:val="00F652B1"/>
    <w:rsid w:val="00F70515"/>
    <w:rsid w:val="00FD322E"/>
    <w:rsid w:val="00FE18DA"/>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744650E-DF3C-4629-93FE-C5E126C6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75E"/>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375E"/>
    <w:pPr>
      <w:tabs>
        <w:tab w:val="center" w:pos="4677"/>
        <w:tab w:val="right" w:pos="9355"/>
      </w:tabs>
    </w:pPr>
  </w:style>
  <w:style w:type="character" w:customStyle="1" w:styleId="HeaderChar">
    <w:name w:val="Header Char"/>
    <w:basedOn w:val="DefaultParagraphFont"/>
    <w:link w:val="Header"/>
    <w:rsid w:val="006C375E"/>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rsid w:val="006C375E"/>
    <w:pPr>
      <w:tabs>
        <w:tab w:val="center" w:pos="4677"/>
        <w:tab w:val="right" w:pos="9355"/>
      </w:tabs>
    </w:pPr>
  </w:style>
  <w:style w:type="character" w:customStyle="1" w:styleId="FooterChar">
    <w:name w:val="Footer Char"/>
    <w:basedOn w:val="DefaultParagraphFont"/>
    <w:link w:val="Footer"/>
    <w:uiPriority w:val="99"/>
    <w:rsid w:val="006C375E"/>
    <w:rPr>
      <w:rFonts w:ascii="Times New Roman" w:eastAsia="Times New Roman" w:hAnsi="Times New Roman" w:cs="Times New Roman"/>
      <w:sz w:val="24"/>
      <w:szCs w:val="24"/>
      <w:lang w:val="uk-UA" w:eastAsia="uk-UA"/>
    </w:rPr>
  </w:style>
  <w:style w:type="paragraph" w:customStyle="1" w:styleId="Normal1">
    <w:name w:val="Normal1"/>
    <w:basedOn w:val="Normal"/>
    <w:rsid w:val="006C375E"/>
    <w:pPr>
      <w:spacing w:before="100" w:beforeAutospacing="1" w:after="100" w:afterAutospacing="1"/>
    </w:pPr>
    <w:rPr>
      <w:lang w:val="ru-RU" w:eastAsia="ru-RU"/>
    </w:rPr>
  </w:style>
  <w:style w:type="character" w:styleId="Hyperlink">
    <w:name w:val="Hyperlink"/>
    <w:uiPriority w:val="99"/>
    <w:unhideWhenUsed/>
    <w:rsid w:val="006C375E"/>
    <w:rPr>
      <w:color w:val="0000FF"/>
      <w:u w:val="single"/>
    </w:rPr>
  </w:style>
  <w:style w:type="paragraph" w:styleId="ListParagraph">
    <w:name w:val="List Paragraph"/>
    <w:basedOn w:val="Normal"/>
    <w:uiPriority w:val="34"/>
    <w:qFormat/>
    <w:rsid w:val="00597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272050">
      <w:bodyDiv w:val="1"/>
      <w:marLeft w:val="0"/>
      <w:marRight w:val="0"/>
      <w:marTop w:val="0"/>
      <w:marBottom w:val="0"/>
      <w:divBdr>
        <w:top w:val="none" w:sz="0" w:space="0" w:color="auto"/>
        <w:left w:val="none" w:sz="0" w:space="0" w:color="auto"/>
        <w:bottom w:val="none" w:sz="0" w:space="0" w:color="auto"/>
        <w:right w:val="none" w:sz="0" w:space="0" w:color="auto"/>
      </w:divBdr>
    </w:div>
    <w:div w:id="20599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temniuk@chamber.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2</cp:revision>
  <dcterms:created xsi:type="dcterms:W3CDTF">2017-11-09T14:13:00Z</dcterms:created>
  <dcterms:modified xsi:type="dcterms:W3CDTF">2017-11-09T14:13:00Z</dcterms:modified>
</cp:coreProperties>
</file>