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28" w:rsidRDefault="002B0728" w:rsidP="001671BD">
      <w:pPr>
        <w:pStyle w:val="PlainText"/>
        <w:ind w:right="-54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-830580</wp:posOffset>
            </wp:positionH>
            <wp:positionV relativeFrom="page">
              <wp:posOffset>88900</wp:posOffset>
            </wp:positionV>
            <wp:extent cx="7541895" cy="939800"/>
            <wp:effectExtent l="0" t="0" r="1905" b="0"/>
            <wp:wrapNone/>
            <wp:docPr id="1" name="Picture 1" descr="\\NATASHA\jpg2\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NATASHA\jpg2\tes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5" b="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728" w:rsidRDefault="002B0728" w:rsidP="001671BD">
      <w:pPr>
        <w:pStyle w:val="PlainText"/>
        <w:ind w:right="-54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B0728" w:rsidRDefault="002B0728" w:rsidP="001671BD">
      <w:pPr>
        <w:pStyle w:val="PlainText"/>
        <w:ind w:right="-54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671BD" w:rsidRPr="001671BD" w:rsidRDefault="001671BD" w:rsidP="001671BD">
      <w:pPr>
        <w:pStyle w:val="PlainText"/>
        <w:ind w:right="-54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71BD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Перелік зауважень та пропозицій  </w:t>
      </w:r>
    </w:p>
    <w:p w:rsidR="001671BD" w:rsidRPr="001671BD" w:rsidRDefault="001671BD" w:rsidP="001671BD">
      <w:pPr>
        <w:pStyle w:val="PlainText"/>
        <w:ind w:right="-54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71BD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до наданої на розгляд документації відносно розроблення  </w:t>
      </w:r>
    </w:p>
    <w:p w:rsidR="001671BD" w:rsidRPr="001671BD" w:rsidRDefault="001671BD" w:rsidP="001671BD">
      <w:pPr>
        <w:pStyle w:val="PlainText"/>
        <w:ind w:right="-54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71BD">
        <w:rPr>
          <w:rFonts w:ascii="Times New Roman" w:hAnsi="Times New Roman" w:cs="Times New Roman"/>
          <w:b/>
          <w:sz w:val="26"/>
          <w:szCs w:val="26"/>
          <w:lang w:val="ru-RU"/>
        </w:rPr>
        <w:t>«Технічного регламенту щодо вимог до природного газу»:</w:t>
      </w:r>
    </w:p>
    <w:p w:rsidR="001671BD" w:rsidRDefault="001671BD" w:rsidP="001671BD">
      <w:pPr>
        <w:pStyle w:val="PlainText"/>
        <w:ind w:right="-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71BD" w:rsidRPr="001671BD" w:rsidRDefault="001671BD" w:rsidP="001671BD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1BD">
        <w:rPr>
          <w:rFonts w:ascii="Times New Roman" w:hAnsi="Times New Roman" w:cs="Times New Roman"/>
          <w:b/>
          <w:sz w:val="24"/>
          <w:szCs w:val="24"/>
          <w:lang w:val="ru-RU"/>
        </w:rPr>
        <w:t>До «ТР_3_пропозиції_1.</w:t>
      </w:r>
      <w:r w:rsidRPr="001671BD">
        <w:rPr>
          <w:rFonts w:ascii="Times New Roman" w:hAnsi="Times New Roman" w:cs="Times New Roman"/>
          <w:b/>
          <w:sz w:val="24"/>
          <w:szCs w:val="24"/>
        </w:rPr>
        <w:t>doc</w:t>
      </w:r>
      <w:r w:rsidRPr="001671BD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1671BD">
        <w:rPr>
          <w:rFonts w:ascii="Times New Roman" w:hAnsi="Times New Roman" w:cs="Times New Roman"/>
          <w:sz w:val="24"/>
          <w:szCs w:val="24"/>
          <w:lang w:val="ru-RU"/>
        </w:rPr>
        <w:t xml:space="preserve"> - всі пропозиції представника АГКУ Охрімчука приймаються, з незначними доповненнями, а саме:</w:t>
      </w:r>
    </w:p>
    <w:p w:rsidR="001671BD" w:rsidRPr="001671BD" w:rsidRDefault="001671BD" w:rsidP="001671BD">
      <w:pPr>
        <w:pStyle w:val="PlainText"/>
        <w:numPr>
          <w:ilvl w:val="0"/>
          <w:numId w:val="1"/>
        </w:numPr>
        <w:tabs>
          <w:tab w:val="left" w:pos="630"/>
        </w:tabs>
        <w:ind w:left="0" w:right="-5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1BD">
        <w:rPr>
          <w:rFonts w:ascii="Times New Roman" w:hAnsi="Times New Roman" w:cs="Times New Roman"/>
          <w:sz w:val="24"/>
          <w:szCs w:val="24"/>
          <w:lang w:val="ru-RU"/>
        </w:rPr>
        <w:t xml:space="preserve">п. 8 розділу </w:t>
      </w:r>
      <w:r w:rsidRPr="001671BD">
        <w:rPr>
          <w:rFonts w:ascii="Times New Roman" w:hAnsi="Times New Roman" w:cs="Times New Roman"/>
          <w:sz w:val="24"/>
          <w:szCs w:val="24"/>
        </w:rPr>
        <w:t>IV</w:t>
      </w:r>
      <w:r w:rsidRPr="001671BD">
        <w:rPr>
          <w:rFonts w:ascii="Times New Roman" w:hAnsi="Times New Roman" w:cs="Times New Roman"/>
          <w:sz w:val="24"/>
          <w:szCs w:val="24"/>
          <w:lang w:val="ru-RU"/>
        </w:rPr>
        <w:t xml:space="preserve"> доповнити фразою «Періодичність визначення якісних показників визначається умовами договору транспортування (умовами договору між контрагентам</w:t>
      </w:r>
      <w:r>
        <w:rPr>
          <w:rFonts w:ascii="Times New Roman" w:hAnsi="Times New Roman" w:cs="Times New Roman"/>
          <w:sz w:val="24"/>
          <w:szCs w:val="24"/>
          <w:lang w:val="ru-RU"/>
        </w:rPr>
        <w:t>и)</w:t>
      </w:r>
      <w:r w:rsidRPr="001671BD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1671BD" w:rsidRPr="001671BD" w:rsidRDefault="001671BD" w:rsidP="001671BD">
      <w:pPr>
        <w:pStyle w:val="PlainText"/>
        <w:numPr>
          <w:ilvl w:val="0"/>
          <w:numId w:val="1"/>
        </w:numPr>
        <w:tabs>
          <w:tab w:val="left" w:pos="630"/>
        </w:tabs>
        <w:ind w:left="0" w:right="-5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671BD">
        <w:rPr>
          <w:rFonts w:ascii="Times New Roman" w:hAnsi="Times New Roman" w:cs="Times New Roman"/>
          <w:sz w:val="24"/>
          <w:szCs w:val="24"/>
          <w:lang w:val="ru-RU"/>
        </w:rPr>
        <w:t xml:space="preserve">озділ </w:t>
      </w:r>
      <w:r w:rsidRPr="001671BD">
        <w:rPr>
          <w:rFonts w:ascii="Times New Roman" w:hAnsi="Times New Roman" w:cs="Times New Roman"/>
          <w:sz w:val="24"/>
          <w:szCs w:val="24"/>
        </w:rPr>
        <w:t>VI</w:t>
      </w:r>
      <w:r w:rsidRPr="001671BD">
        <w:rPr>
          <w:rFonts w:ascii="Times New Roman" w:hAnsi="Times New Roman" w:cs="Times New Roman"/>
          <w:sz w:val="24"/>
          <w:szCs w:val="24"/>
          <w:lang w:val="ru-RU"/>
        </w:rPr>
        <w:t xml:space="preserve"> – викласти у вигляді пропозиції №2 (АГКУ Охрімчук) до даного розділу, а розділ </w:t>
      </w:r>
      <w:r w:rsidRPr="001671BD">
        <w:rPr>
          <w:rFonts w:ascii="Times New Roman" w:hAnsi="Times New Roman" w:cs="Times New Roman"/>
          <w:sz w:val="24"/>
          <w:szCs w:val="24"/>
        </w:rPr>
        <w:t>VI</w:t>
      </w:r>
      <w:r w:rsidRPr="001671BD">
        <w:rPr>
          <w:rFonts w:ascii="Times New Roman" w:hAnsi="Times New Roman" w:cs="Times New Roman"/>
          <w:sz w:val="24"/>
          <w:szCs w:val="24"/>
          <w:lang w:val="ru-RU"/>
        </w:rPr>
        <w:t>І – викласти у вигляді розділу 6 «Вимоги охорони довкілля» ТУ У 11.1-20077720-001:2010.</w:t>
      </w:r>
    </w:p>
    <w:p w:rsidR="001671BD" w:rsidRPr="001671BD" w:rsidRDefault="001671BD" w:rsidP="001671BD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71BD" w:rsidRPr="001671BD" w:rsidRDefault="001671BD" w:rsidP="001671BD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1BD">
        <w:rPr>
          <w:rFonts w:ascii="Times New Roman" w:hAnsi="Times New Roman" w:cs="Times New Roman"/>
          <w:b/>
          <w:sz w:val="24"/>
          <w:szCs w:val="24"/>
          <w:lang w:val="ru-RU"/>
        </w:rPr>
        <w:t>До «Зміни до розділу ІІІ.</w:t>
      </w:r>
      <w:r w:rsidRPr="001671BD">
        <w:rPr>
          <w:rFonts w:ascii="Times New Roman" w:hAnsi="Times New Roman" w:cs="Times New Roman"/>
          <w:b/>
          <w:sz w:val="24"/>
          <w:szCs w:val="24"/>
        </w:rPr>
        <w:t>doc</w:t>
      </w:r>
      <w:r w:rsidRPr="001671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Pr="001671BD">
        <w:rPr>
          <w:rFonts w:ascii="Times New Roman" w:hAnsi="Times New Roman" w:cs="Times New Roman"/>
          <w:sz w:val="24"/>
          <w:szCs w:val="24"/>
          <w:lang w:val="ru-RU"/>
        </w:rPr>
        <w:t>- всі пропозиції представника АГКУ Охрімчука та представника УТГ Болховітіна приймаються, з незначними доповненнями, а саме:</w:t>
      </w:r>
    </w:p>
    <w:p w:rsidR="001671BD" w:rsidRPr="001671BD" w:rsidRDefault="001671BD" w:rsidP="001671BD">
      <w:pPr>
        <w:pStyle w:val="PlainText"/>
        <w:numPr>
          <w:ilvl w:val="0"/>
          <w:numId w:val="3"/>
        </w:numPr>
        <w:tabs>
          <w:tab w:val="left" w:pos="630"/>
        </w:tabs>
        <w:ind w:left="0" w:right="-5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671BD">
        <w:rPr>
          <w:rFonts w:ascii="Times New Roman" w:hAnsi="Times New Roman" w:cs="Times New Roman"/>
          <w:sz w:val="24"/>
          <w:szCs w:val="24"/>
          <w:lang w:val="ru-RU"/>
        </w:rPr>
        <w:t>осилання №6 - доцільно викласти в редакції Болховітіна «Показник розповсюджується тільки на природний газ комунально-побутового призначення, що подається споживачам. Для природного газу промислового призначення, показник встановлюється за погодженням із споживачем»;</w:t>
      </w:r>
    </w:p>
    <w:p w:rsidR="001671BD" w:rsidRPr="001671BD" w:rsidRDefault="001671BD" w:rsidP="001671BD">
      <w:pPr>
        <w:pStyle w:val="PlainText"/>
        <w:numPr>
          <w:ilvl w:val="0"/>
          <w:numId w:val="3"/>
        </w:numPr>
        <w:tabs>
          <w:tab w:val="left" w:pos="630"/>
        </w:tabs>
        <w:ind w:left="0" w:right="-5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671BD">
        <w:rPr>
          <w:rFonts w:ascii="Times New Roman" w:hAnsi="Times New Roman" w:cs="Times New Roman"/>
          <w:sz w:val="24"/>
          <w:szCs w:val="24"/>
          <w:lang w:val="ru-RU"/>
        </w:rPr>
        <w:t xml:space="preserve"> посиланні №5 - слово «споживажеві» виправити на «споживачеві»;</w:t>
      </w:r>
    </w:p>
    <w:p w:rsidR="001671BD" w:rsidRPr="001671BD" w:rsidRDefault="001671BD" w:rsidP="001671BD">
      <w:pPr>
        <w:pStyle w:val="PlainText"/>
        <w:numPr>
          <w:ilvl w:val="0"/>
          <w:numId w:val="3"/>
        </w:numPr>
        <w:tabs>
          <w:tab w:val="left" w:pos="630"/>
        </w:tabs>
        <w:ind w:left="0" w:right="-5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671BD">
        <w:rPr>
          <w:rFonts w:ascii="Times New Roman" w:hAnsi="Times New Roman" w:cs="Times New Roman"/>
          <w:sz w:val="24"/>
          <w:szCs w:val="24"/>
          <w:lang w:val="ru-RU"/>
        </w:rPr>
        <w:t xml:space="preserve"> посиланні * - замість «101325 кПа» вказати на «101,325 кПа»;</w:t>
      </w:r>
    </w:p>
    <w:p w:rsidR="001671BD" w:rsidRPr="001671BD" w:rsidRDefault="001671BD" w:rsidP="001671BD">
      <w:pPr>
        <w:pStyle w:val="PlainText"/>
        <w:numPr>
          <w:ilvl w:val="0"/>
          <w:numId w:val="3"/>
        </w:numPr>
        <w:tabs>
          <w:tab w:val="left" w:pos="630"/>
        </w:tabs>
        <w:ind w:left="0" w:right="-5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1BD">
        <w:rPr>
          <w:rFonts w:ascii="Times New Roman" w:hAnsi="Times New Roman" w:cs="Times New Roman"/>
          <w:sz w:val="24"/>
          <w:szCs w:val="24"/>
          <w:lang w:val="ru-RU"/>
        </w:rPr>
        <w:t>Посилання на нормативний документ з методикою визначення «Розрахункового метанового числа» та «Масової концентрації парів води» навести у «Переліку НД, які містять вимоги до методів випробувань та вимірювань показників якості природного газу, що необхідні для застосування та виконання вимог Технічного регламенту.».</w:t>
      </w:r>
    </w:p>
    <w:p w:rsidR="001671BD" w:rsidRPr="001671BD" w:rsidRDefault="001671BD" w:rsidP="001671BD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71BD" w:rsidRPr="001671BD" w:rsidRDefault="001671BD" w:rsidP="001671BD">
      <w:pPr>
        <w:pStyle w:val="PlainText"/>
        <w:ind w:right="-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71BD">
        <w:rPr>
          <w:rFonts w:ascii="Times New Roman" w:hAnsi="Times New Roman" w:cs="Times New Roman"/>
          <w:b/>
          <w:sz w:val="24"/>
          <w:szCs w:val="24"/>
          <w:lang w:val="ru-RU"/>
        </w:rPr>
        <w:t>До «ПЕРЕЛІК НД на методи.</w:t>
      </w:r>
      <w:r w:rsidRPr="001671BD">
        <w:rPr>
          <w:rFonts w:ascii="Times New Roman" w:hAnsi="Times New Roman" w:cs="Times New Roman"/>
          <w:b/>
          <w:sz w:val="24"/>
          <w:szCs w:val="24"/>
        </w:rPr>
        <w:t>doc</w:t>
      </w:r>
      <w:r w:rsidRPr="001671BD">
        <w:rPr>
          <w:rFonts w:ascii="Times New Roman" w:hAnsi="Times New Roman" w:cs="Times New Roman"/>
          <w:b/>
          <w:sz w:val="24"/>
          <w:szCs w:val="24"/>
          <w:lang w:val="ru-RU"/>
        </w:rPr>
        <w:t>»:</w:t>
      </w:r>
    </w:p>
    <w:p w:rsidR="001671BD" w:rsidRPr="001671BD" w:rsidRDefault="001671BD" w:rsidP="001671BD">
      <w:pPr>
        <w:pStyle w:val="PlainText"/>
        <w:numPr>
          <w:ilvl w:val="0"/>
          <w:numId w:val="4"/>
        </w:numPr>
        <w:tabs>
          <w:tab w:val="left" w:pos="630"/>
        </w:tabs>
        <w:ind w:left="0" w:right="-5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1BD">
        <w:rPr>
          <w:rFonts w:ascii="Times New Roman" w:hAnsi="Times New Roman" w:cs="Times New Roman"/>
          <w:sz w:val="24"/>
          <w:szCs w:val="24"/>
          <w:lang w:val="ru-RU"/>
        </w:rPr>
        <w:t>Додати в перелік НД по визначенню показників - компонентного складу, молярна доля кисню, густина, об’ємна теплота згоряння нижча, об’ємна теплота згоряння вища, число Воббе, наступні нормативні документи:</w:t>
      </w:r>
    </w:p>
    <w:p w:rsidR="001671BD" w:rsidRPr="001671BD" w:rsidRDefault="001671BD" w:rsidP="001671BD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1BD">
        <w:rPr>
          <w:rFonts w:ascii="Times New Roman" w:hAnsi="Times New Roman" w:cs="Times New Roman"/>
          <w:sz w:val="24"/>
          <w:szCs w:val="24"/>
          <w:lang w:val="ru-RU"/>
        </w:rPr>
        <w:t>а) МВУ 06-023:2011 «Метрологія. Природний газ. Методика виконання вимірювань компонентного складу із застосуванням хроматографів "Кристалл" та обчислення густини, теплоти згоряння і числа Воббе».</w:t>
      </w:r>
    </w:p>
    <w:p w:rsidR="001671BD" w:rsidRDefault="001671BD" w:rsidP="001671BD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1BD">
        <w:rPr>
          <w:rFonts w:ascii="Times New Roman" w:hAnsi="Times New Roman" w:cs="Times New Roman"/>
          <w:sz w:val="24"/>
          <w:szCs w:val="24"/>
          <w:lang w:val="ru-RU"/>
        </w:rPr>
        <w:t>б) МВУ 06-063:2011 «Метрологія. Природний газ. Методика виконання вимірювань компонентного складу із застосуванням хроматографів НР/АС 6890 та обчислення густини, теплоти згоряння і числа Воббе».</w:t>
      </w:r>
    </w:p>
    <w:p w:rsidR="001671BD" w:rsidRPr="001671BD" w:rsidRDefault="001671BD" w:rsidP="001671BD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71BD" w:rsidRDefault="001671BD" w:rsidP="001671BD">
      <w:pPr>
        <w:pStyle w:val="PlainText"/>
        <w:numPr>
          <w:ilvl w:val="0"/>
          <w:numId w:val="4"/>
        </w:numPr>
        <w:tabs>
          <w:tab w:val="left" w:pos="630"/>
        </w:tabs>
        <w:ind w:left="0" w:right="-5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1BD">
        <w:rPr>
          <w:rFonts w:ascii="Times New Roman" w:hAnsi="Times New Roman" w:cs="Times New Roman"/>
          <w:sz w:val="24"/>
          <w:szCs w:val="24"/>
          <w:lang w:val="ru-RU"/>
        </w:rPr>
        <w:t>Яким чином буде відноситись Перелік НД до даного Технічного регламенту? На даний момент в змісті його немає. Це буде окремий документ, чи це буде окремий розділ, чи додаток до Технічного регламенту?</w:t>
      </w:r>
    </w:p>
    <w:p w:rsidR="002B0728" w:rsidRDefault="002B0728" w:rsidP="002B0728">
      <w:pPr>
        <w:pStyle w:val="PlainText"/>
        <w:tabs>
          <w:tab w:val="left" w:pos="630"/>
        </w:tabs>
        <w:ind w:righ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0728" w:rsidRDefault="002B0728" w:rsidP="002B0728">
      <w:pPr>
        <w:pStyle w:val="PlainText"/>
        <w:tabs>
          <w:tab w:val="left" w:pos="630"/>
        </w:tabs>
        <w:ind w:righ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2B0728" w:rsidRPr="001671BD" w:rsidRDefault="002B0728" w:rsidP="002B0728">
      <w:pPr>
        <w:pStyle w:val="PlainText"/>
        <w:tabs>
          <w:tab w:val="left" w:pos="630"/>
        </w:tabs>
        <w:ind w:righ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0728" w:rsidRPr="002B0728" w:rsidRDefault="002B0728" w:rsidP="002B0728">
      <w:pPr>
        <w:tabs>
          <w:tab w:val="left" w:pos="1170"/>
        </w:tabs>
        <w:ind w:left="1350" w:hanging="1350"/>
        <w:jc w:val="both"/>
        <w:rPr>
          <w:rFonts w:ascii="Arial" w:hAnsi="Arial" w:cs="Arial"/>
          <w:b/>
          <w:i/>
          <w:color w:val="404040"/>
          <w:sz w:val="16"/>
          <w:szCs w:val="16"/>
          <w:lang w:val="ru-RU"/>
        </w:rPr>
      </w:pPr>
      <w:r w:rsidRPr="002B0728">
        <w:rPr>
          <w:rFonts w:ascii="Arial" w:hAnsi="Arial" w:cs="Arial"/>
          <w:b/>
          <w:i/>
          <w:color w:val="404040"/>
          <w:sz w:val="16"/>
          <w:szCs w:val="16"/>
          <w:lang w:val="ru-RU"/>
        </w:rPr>
        <w:t>________________________________________________________________________________________________________</w:t>
      </w:r>
      <w:r>
        <w:rPr>
          <w:rFonts w:ascii="Arial" w:hAnsi="Arial" w:cs="Arial"/>
          <w:b/>
          <w:i/>
          <w:color w:val="404040"/>
          <w:sz w:val="16"/>
          <w:szCs w:val="16"/>
        </w:rPr>
        <w:t>_____</w:t>
      </w:r>
      <w:r w:rsidRPr="002B0728">
        <w:rPr>
          <w:rFonts w:ascii="Arial" w:hAnsi="Arial" w:cs="Arial"/>
          <w:b/>
          <w:i/>
          <w:color w:val="404040"/>
          <w:sz w:val="16"/>
          <w:szCs w:val="16"/>
          <w:lang w:val="ru-RU"/>
        </w:rPr>
        <w:t>_</w:t>
      </w:r>
    </w:p>
    <w:p w:rsidR="002B0728" w:rsidRPr="002B0728" w:rsidRDefault="002B0728" w:rsidP="002B0728">
      <w:pPr>
        <w:ind w:left="1560" w:hanging="1560"/>
        <w:jc w:val="both"/>
        <w:rPr>
          <w:rFonts w:ascii="Arial" w:hAnsi="Arial" w:cs="Arial"/>
          <w:i/>
          <w:color w:val="404040"/>
          <w:sz w:val="16"/>
          <w:szCs w:val="16"/>
          <w:lang w:val="ru-RU"/>
        </w:rPr>
      </w:pPr>
      <w:r w:rsidRPr="002B0728">
        <w:rPr>
          <w:rFonts w:ascii="Arial" w:hAnsi="Arial" w:cs="Arial"/>
          <w:b/>
          <w:i/>
          <w:color w:val="404040"/>
          <w:sz w:val="16"/>
          <w:szCs w:val="16"/>
          <w:lang w:val="ru-RU"/>
        </w:rPr>
        <w:t>Рада директорів</w:t>
      </w:r>
      <w:r w:rsidRPr="002B0728">
        <w:rPr>
          <w:rFonts w:ascii="Arial" w:hAnsi="Arial" w:cs="Arial"/>
          <w:i/>
          <w:color w:val="404040"/>
          <w:sz w:val="16"/>
          <w:szCs w:val="16"/>
          <w:lang w:val="ru-RU"/>
        </w:rPr>
        <w:t xml:space="preserve">:  </w:t>
      </w:r>
      <w:r w:rsidRPr="002B0728">
        <w:rPr>
          <w:rFonts w:ascii="Arial" w:hAnsi="Arial" w:cs="Arial"/>
          <w:b/>
          <w:i/>
          <w:color w:val="404040"/>
          <w:sz w:val="16"/>
          <w:szCs w:val="16"/>
          <w:lang w:val="ru-RU"/>
        </w:rPr>
        <w:t xml:space="preserve">Гжегож Хмелярський, </w:t>
      </w:r>
      <w:r w:rsidRPr="002B0728">
        <w:rPr>
          <w:rFonts w:ascii="Arial" w:hAnsi="Arial" w:cs="Arial"/>
          <w:i/>
          <w:color w:val="404040"/>
          <w:sz w:val="16"/>
          <w:szCs w:val="16"/>
          <w:lang w:val="ru-RU"/>
        </w:rPr>
        <w:t>“МакДональдз Юкрейн”</w:t>
      </w:r>
      <w:r w:rsidRPr="002B0728">
        <w:rPr>
          <w:rFonts w:ascii="Arial" w:hAnsi="Arial" w:cs="Arial"/>
          <w:b/>
          <w:i/>
          <w:color w:val="404040"/>
          <w:sz w:val="16"/>
          <w:szCs w:val="16"/>
          <w:lang w:val="ru-RU"/>
        </w:rPr>
        <w:t xml:space="preserve"> – Голова; Шевкі Аджунер, </w:t>
      </w:r>
      <w:r w:rsidRPr="002B0728">
        <w:rPr>
          <w:rFonts w:ascii="Arial" w:hAnsi="Arial" w:cs="Arial"/>
          <w:i/>
          <w:color w:val="404040"/>
          <w:sz w:val="16"/>
          <w:szCs w:val="16"/>
          <w:lang w:val="ru-RU"/>
        </w:rPr>
        <w:t>Європейський банк реконструкції та розвитку</w:t>
      </w:r>
      <w:r w:rsidRPr="002B0728">
        <w:rPr>
          <w:rFonts w:ascii="Arial" w:hAnsi="Arial" w:cs="Arial"/>
          <w:b/>
          <w:i/>
          <w:color w:val="404040"/>
          <w:sz w:val="16"/>
          <w:szCs w:val="16"/>
          <w:lang w:val="ru-RU"/>
        </w:rPr>
        <w:t xml:space="preserve"> – Заступник голови; Мартін Шумахер, </w:t>
      </w:r>
      <w:r w:rsidRPr="002B0728">
        <w:rPr>
          <w:rFonts w:ascii="Arial" w:hAnsi="Arial" w:cs="Arial"/>
          <w:i/>
          <w:color w:val="404040"/>
          <w:sz w:val="16"/>
          <w:szCs w:val="16"/>
          <w:lang w:val="ru-RU"/>
        </w:rPr>
        <w:t>"МЕТРО Кеш енд Кері Україна”</w:t>
      </w:r>
      <w:r w:rsidRPr="002B0728">
        <w:rPr>
          <w:rFonts w:ascii="Arial" w:hAnsi="Arial" w:cs="Arial"/>
          <w:b/>
          <w:i/>
          <w:color w:val="404040"/>
          <w:sz w:val="16"/>
          <w:szCs w:val="16"/>
          <w:lang w:val="ru-RU"/>
        </w:rPr>
        <w:t xml:space="preserve"> – Заступник голови; Надія Васильєва, </w:t>
      </w:r>
      <w:r w:rsidRPr="002B0728">
        <w:rPr>
          <w:rFonts w:ascii="Arial" w:hAnsi="Arial" w:cs="Arial"/>
          <w:i/>
          <w:color w:val="404040"/>
          <w:sz w:val="16"/>
          <w:szCs w:val="16"/>
          <w:lang w:val="ru-RU"/>
        </w:rPr>
        <w:t>“Майкрософт Україна”</w:t>
      </w:r>
      <w:r w:rsidRPr="002B0728">
        <w:rPr>
          <w:rFonts w:ascii="Arial" w:hAnsi="Arial" w:cs="Arial"/>
          <w:b/>
          <w:i/>
          <w:color w:val="404040"/>
          <w:sz w:val="16"/>
          <w:szCs w:val="16"/>
          <w:lang w:val="ru-RU"/>
        </w:rPr>
        <w:t xml:space="preserve"> – Скарбник; Олег Тимків, </w:t>
      </w:r>
      <w:r w:rsidRPr="00843624">
        <w:rPr>
          <w:rFonts w:ascii="Arial" w:hAnsi="Arial" w:cs="Arial"/>
          <w:i/>
          <w:color w:val="404040"/>
          <w:sz w:val="16"/>
          <w:szCs w:val="16"/>
        </w:rPr>
        <w:t>PwC</w:t>
      </w:r>
      <w:r w:rsidRPr="002B0728">
        <w:rPr>
          <w:rFonts w:ascii="Arial" w:hAnsi="Arial" w:cs="Arial"/>
          <w:b/>
          <w:i/>
          <w:color w:val="404040"/>
          <w:sz w:val="16"/>
          <w:szCs w:val="16"/>
          <w:lang w:val="ru-RU"/>
        </w:rPr>
        <w:t xml:space="preserve"> – Секретар; Сергій Чорний, </w:t>
      </w:r>
      <w:r w:rsidRPr="002B0728">
        <w:rPr>
          <w:rFonts w:ascii="Arial" w:hAnsi="Arial" w:cs="Arial"/>
          <w:i/>
          <w:color w:val="404040"/>
          <w:sz w:val="16"/>
          <w:szCs w:val="16"/>
          <w:lang w:val="ru-RU"/>
        </w:rPr>
        <w:t>“Бейкер і Макензі”</w:t>
      </w:r>
      <w:r w:rsidRPr="002B0728">
        <w:rPr>
          <w:rFonts w:ascii="Arial" w:hAnsi="Arial" w:cs="Arial"/>
          <w:b/>
          <w:i/>
          <w:color w:val="404040"/>
          <w:sz w:val="16"/>
          <w:szCs w:val="16"/>
          <w:lang w:val="ru-RU"/>
        </w:rPr>
        <w:t xml:space="preserve"> – Юридичний радник; Ленна Кожарни, </w:t>
      </w:r>
      <w:r w:rsidRPr="00843624">
        <w:rPr>
          <w:rFonts w:ascii="Arial" w:hAnsi="Arial" w:cs="Arial"/>
          <w:i/>
          <w:color w:val="404040"/>
          <w:sz w:val="16"/>
          <w:szCs w:val="16"/>
        </w:rPr>
        <w:t>Horizon</w:t>
      </w:r>
      <w:r w:rsidRPr="002B0728">
        <w:rPr>
          <w:rFonts w:ascii="Arial" w:hAnsi="Arial" w:cs="Arial"/>
          <w:i/>
          <w:color w:val="404040"/>
          <w:sz w:val="16"/>
          <w:szCs w:val="16"/>
          <w:lang w:val="ru-RU"/>
        </w:rPr>
        <w:t xml:space="preserve"> </w:t>
      </w:r>
      <w:r w:rsidRPr="00843624">
        <w:rPr>
          <w:rFonts w:ascii="Arial" w:hAnsi="Arial" w:cs="Arial"/>
          <w:i/>
          <w:color w:val="404040"/>
          <w:sz w:val="16"/>
          <w:szCs w:val="16"/>
        </w:rPr>
        <w:t>Capital</w:t>
      </w:r>
      <w:r w:rsidRPr="002B0728">
        <w:rPr>
          <w:rFonts w:ascii="Arial" w:hAnsi="Arial" w:cs="Arial"/>
          <w:i/>
          <w:color w:val="404040"/>
          <w:sz w:val="16"/>
          <w:szCs w:val="16"/>
          <w:lang w:val="ru-RU"/>
        </w:rPr>
        <w:t>;</w:t>
      </w:r>
      <w:r w:rsidRPr="002B0728">
        <w:rPr>
          <w:rFonts w:ascii="Arial" w:hAnsi="Arial" w:cs="Arial"/>
          <w:b/>
          <w:i/>
          <w:color w:val="404040"/>
          <w:sz w:val="16"/>
          <w:szCs w:val="16"/>
          <w:lang w:val="ru-RU"/>
        </w:rPr>
        <w:t xml:space="preserve"> Стівен Фішер, </w:t>
      </w:r>
      <w:r w:rsidRPr="002B0728">
        <w:rPr>
          <w:rFonts w:ascii="Arial" w:hAnsi="Arial" w:cs="Arial"/>
          <w:i/>
          <w:color w:val="404040"/>
          <w:sz w:val="16"/>
          <w:szCs w:val="16"/>
          <w:lang w:val="ru-RU"/>
        </w:rPr>
        <w:t>"СІТІ";</w:t>
      </w:r>
      <w:r w:rsidRPr="002B0728">
        <w:rPr>
          <w:rFonts w:ascii="Arial" w:hAnsi="Arial" w:cs="Arial"/>
          <w:b/>
          <w:i/>
          <w:color w:val="404040"/>
          <w:sz w:val="16"/>
          <w:szCs w:val="16"/>
          <w:lang w:val="ru-RU"/>
        </w:rPr>
        <w:t xml:space="preserve"> Євген Шевченко, </w:t>
      </w:r>
      <w:r w:rsidRPr="00843624">
        <w:rPr>
          <w:rFonts w:ascii="Arial" w:hAnsi="Arial" w:cs="Arial"/>
          <w:i/>
          <w:color w:val="404040"/>
          <w:sz w:val="16"/>
          <w:szCs w:val="16"/>
        </w:rPr>
        <w:t>Carlsberg</w:t>
      </w:r>
      <w:r w:rsidRPr="002B0728">
        <w:rPr>
          <w:rFonts w:ascii="Arial" w:hAnsi="Arial" w:cs="Arial"/>
          <w:i/>
          <w:color w:val="404040"/>
          <w:sz w:val="16"/>
          <w:szCs w:val="16"/>
          <w:lang w:val="ru-RU"/>
        </w:rPr>
        <w:t>;</w:t>
      </w:r>
      <w:r w:rsidRPr="002B0728">
        <w:rPr>
          <w:rFonts w:ascii="Arial" w:hAnsi="Arial" w:cs="Arial"/>
          <w:b/>
          <w:i/>
          <w:color w:val="404040"/>
          <w:sz w:val="16"/>
          <w:szCs w:val="16"/>
          <w:lang w:val="ru-RU"/>
        </w:rPr>
        <w:t xml:space="preserve"> Мартін Шульдт, </w:t>
      </w:r>
      <w:r w:rsidRPr="002B0728">
        <w:rPr>
          <w:rFonts w:ascii="Arial" w:hAnsi="Arial" w:cs="Arial"/>
          <w:i/>
          <w:color w:val="404040"/>
          <w:sz w:val="16"/>
          <w:szCs w:val="16"/>
          <w:lang w:val="ru-RU"/>
        </w:rPr>
        <w:t>"Каргілл".</w:t>
      </w:r>
    </w:p>
    <w:p w:rsidR="002B0728" w:rsidRPr="002B0728" w:rsidRDefault="002B0728" w:rsidP="002B0728">
      <w:pPr>
        <w:ind w:left="1560" w:hanging="1560"/>
        <w:jc w:val="both"/>
        <w:rPr>
          <w:rFonts w:ascii="Arial" w:hAnsi="Arial" w:cs="Arial"/>
          <w:b/>
          <w:i/>
          <w:color w:val="404040"/>
          <w:sz w:val="16"/>
          <w:szCs w:val="16"/>
        </w:rPr>
      </w:pPr>
      <w:r w:rsidRPr="00843624">
        <w:rPr>
          <w:rFonts w:ascii="Arial" w:hAnsi="Arial" w:cs="Arial"/>
          <w:b/>
          <w:i/>
          <w:color w:val="404040"/>
          <w:sz w:val="16"/>
          <w:szCs w:val="16"/>
          <w:lang w:val="ru-RU"/>
        </w:rPr>
        <w:t>П</w:t>
      </w:r>
      <w:proofErr w:type="spellStart"/>
      <w:r w:rsidRPr="00843624">
        <w:rPr>
          <w:rFonts w:ascii="Arial" w:hAnsi="Arial" w:cs="Arial"/>
          <w:b/>
          <w:i/>
          <w:color w:val="404040"/>
          <w:sz w:val="16"/>
          <w:szCs w:val="16"/>
        </w:rPr>
        <w:t>резидент</w:t>
      </w:r>
      <w:proofErr w:type="spellEnd"/>
      <w:r w:rsidRPr="00843624">
        <w:rPr>
          <w:rFonts w:ascii="Arial" w:hAnsi="Arial" w:cs="Arial"/>
          <w:b/>
          <w:i/>
          <w:color w:val="404040"/>
          <w:sz w:val="16"/>
          <w:szCs w:val="16"/>
        </w:rPr>
        <w:t xml:space="preserve">: </w:t>
      </w:r>
      <w:r w:rsidRPr="00843624">
        <w:rPr>
          <w:rFonts w:ascii="Arial" w:hAnsi="Arial" w:cs="Arial"/>
          <w:b/>
          <w:i/>
          <w:color w:val="404040"/>
          <w:sz w:val="16"/>
          <w:szCs w:val="16"/>
          <w:lang w:val="ru-RU"/>
        </w:rPr>
        <w:t xml:space="preserve">          </w:t>
      </w:r>
      <w:r w:rsidRPr="00843624">
        <w:rPr>
          <w:rFonts w:ascii="Arial" w:hAnsi="Arial" w:cs="Arial"/>
          <w:b/>
          <w:i/>
          <w:color w:val="404040"/>
          <w:sz w:val="16"/>
          <w:szCs w:val="16"/>
        </w:rPr>
        <w:t xml:space="preserve"> </w:t>
      </w:r>
      <w:proofErr w:type="spellStart"/>
      <w:r w:rsidRPr="00843624">
        <w:rPr>
          <w:rFonts w:ascii="Arial" w:hAnsi="Arial" w:cs="Arial"/>
          <w:b/>
          <w:i/>
          <w:color w:val="404040"/>
          <w:sz w:val="16"/>
          <w:szCs w:val="16"/>
        </w:rPr>
        <w:t>Андрій</w:t>
      </w:r>
      <w:proofErr w:type="spellEnd"/>
      <w:r w:rsidRPr="00843624">
        <w:rPr>
          <w:rFonts w:ascii="Arial" w:hAnsi="Arial" w:cs="Arial"/>
          <w:b/>
          <w:i/>
          <w:color w:val="404040"/>
          <w:sz w:val="16"/>
          <w:szCs w:val="16"/>
        </w:rPr>
        <w:t xml:space="preserve"> </w:t>
      </w:r>
      <w:proofErr w:type="spellStart"/>
      <w:r w:rsidRPr="00843624">
        <w:rPr>
          <w:rFonts w:ascii="Arial" w:hAnsi="Arial" w:cs="Arial"/>
          <w:b/>
          <w:i/>
          <w:color w:val="404040"/>
          <w:sz w:val="16"/>
          <w:szCs w:val="16"/>
        </w:rPr>
        <w:t>Гундер</w:t>
      </w:r>
      <w:proofErr w:type="spellEnd"/>
    </w:p>
    <w:sectPr w:rsidR="002B0728" w:rsidRPr="002B0728" w:rsidSect="002B0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99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728" w:rsidRDefault="002B0728" w:rsidP="002B0728">
      <w:pPr>
        <w:spacing w:after="0" w:line="240" w:lineRule="auto"/>
      </w:pPr>
      <w:r>
        <w:separator/>
      </w:r>
    </w:p>
  </w:endnote>
  <w:endnote w:type="continuationSeparator" w:id="0">
    <w:p w:rsidR="002B0728" w:rsidRDefault="002B0728" w:rsidP="002B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28" w:rsidRDefault="002B0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28" w:rsidRDefault="002B07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28" w:rsidRDefault="002B0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728" w:rsidRDefault="002B0728" w:rsidP="002B0728">
      <w:pPr>
        <w:spacing w:after="0" w:line="240" w:lineRule="auto"/>
      </w:pPr>
      <w:r>
        <w:separator/>
      </w:r>
    </w:p>
  </w:footnote>
  <w:footnote w:type="continuationSeparator" w:id="0">
    <w:p w:rsidR="002B0728" w:rsidRDefault="002B0728" w:rsidP="002B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28" w:rsidRDefault="002B07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1508376" o:spid="_x0000_s2050" type="#_x0000_t136" style="position:absolute;margin-left:0;margin-top:0;width:432.2pt;height:259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28" w:rsidRDefault="002B07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1508377" o:spid="_x0000_s2051" type="#_x0000_t136" style="position:absolute;margin-left:0;margin-top:0;width:432.2pt;height:259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28" w:rsidRDefault="002B07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1508375" o:spid="_x0000_s2049" type="#_x0000_t136" style="position:absolute;margin-left:0;margin-top:0;width:432.2pt;height:259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C5447"/>
    <w:multiLevelType w:val="hybridMultilevel"/>
    <w:tmpl w:val="447A8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14E9C"/>
    <w:multiLevelType w:val="hybridMultilevel"/>
    <w:tmpl w:val="3F7CF1F2"/>
    <w:lvl w:ilvl="0" w:tplc="78E6A0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F204F"/>
    <w:multiLevelType w:val="hybridMultilevel"/>
    <w:tmpl w:val="447A8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9782E"/>
    <w:multiLevelType w:val="hybridMultilevel"/>
    <w:tmpl w:val="447A8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BD"/>
    <w:rsid w:val="001671BD"/>
    <w:rsid w:val="002B0728"/>
    <w:rsid w:val="003A204F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554AB8"/>
  <w15:chartTrackingRefBased/>
  <w15:docId w15:val="{46A17D6E-6169-4A1E-BBF3-6C83030C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671B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71BD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B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28"/>
  </w:style>
  <w:style w:type="paragraph" w:styleId="Footer">
    <w:name w:val="footer"/>
    <w:basedOn w:val="Normal"/>
    <w:link w:val="FooterChar"/>
    <w:uiPriority w:val="99"/>
    <w:unhideWhenUsed/>
    <w:rsid w:val="002B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3</cp:revision>
  <dcterms:created xsi:type="dcterms:W3CDTF">2017-09-06T13:37:00Z</dcterms:created>
  <dcterms:modified xsi:type="dcterms:W3CDTF">2017-09-12T08:55:00Z</dcterms:modified>
</cp:coreProperties>
</file>