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1B4F" w14:textId="4BDDE59E" w:rsidR="006377AB" w:rsidRPr="00485A08" w:rsidRDefault="006377AB" w:rsidP="006377AB">
      <w:pPr>
        <w:pBdr>
          <w:bottom w:val="thickThinSmallGap" w:sz="24" w:space="2" w:color="622423"/>
        </w:pBdr>
        <w:tabs>
          <w:tab w:val="left" w:pos="180"/>
          <w:tab w:val="center" w:pos="4677"/>
          <w:tab w:val="right" w:pos="9355"/>
        </w:tabs>
        <w:ind w:left="180" w:right="179"/>
        <w:jc w:val="center"/>
        <w:rPr>
          <w:lang w:val="ru-RU"/>
        </w:rPr>
      </w:pPr>
      <w:proofErr w:type="spellStart"/>
      <w:r w:rsidRPr="003E0C6E">
        <w:rPr>
          <w:b/>
          <w:color w:val="7F7F7F" w:themeColor="text1" w:themeTint="80"/>
          <w:lang w:val="ru-RU"/>
        </w:rPr>
        <w:t>Додаток</w:t>
      </w:r>
      <w:proofErr w:type="spellEnd"/>
      <w:r w:rsidRPr="003E0C6E">
        <w:rPr>
          <w:b/>
          <w:color w:val="7F7F7F" w:themeColor="text1" w:themeTint="80"/>
          <w:lang w:val="ru-RU"/>
        </w:rPr>
        <w:t xml:space="preserve"> до листа </w:t>
      </w:r>
      <w:proofErr w:type="spellStart"/>
      <w:r w:rsidRPr="003E0C6E">
        <w:rPr>
          <w:b/>
          <w:color w:val="7F7F7F" w:themeColor="text1" w:themeTint="80"/>
          <w:lang w:val="ru-RU"/>
        </w:rPr>
        <w:t>Американської</w:t>
      </w:r>
      <w:proofErr w:type="spellEnd"/>
      <w:r w:rsidRPr="003E0C6E">
        <w:rPr>
          <w:b/>
          <w:color w:val="7F7F7F" w:themeColor="text1" w:themeTint="80"/>
          <w:lang w:val="ru-RU"/>
        </w:rPr>
        <w:t xml:space="preserve"> </w:t>
      </w:r>
      <w:proofErr w:type="spellStart"/>
      <w:r>
        <w:rPr>
          <w:b/>
          <w:color w:val="7F7F7F" w:themeColor="text1" w:themeTint="80"/>
          <w:lang w:val="ru-RU"/>
        </w:rPr>
        <w:t>торгівельної</w:t>
      </w:r>
      <w:proofErr w:type="spellEnd"/>
      <w:r>
        <w:rPr>
          <w:b/>
          <w:color w:val="7F7F7F" w:themeColor="text1" w:themeTint="80"/>
          <w:lang w:val="ru-RU"/>
        </w:rPr>
        <w:t xml:space="preserve"> </w:t>
      </w:r>
      <w:proofErr w:type="spellStart"/>
      <w:r>
        <w:rPr>
          <w:b/>
          <w:color w:val="7F7F7F" w:themeColor="text1" w:themeTint="80"/>
          <w:lang w:val="ru-RU"/>
        </w:rPr>
        <w:t>палати</w:t>
      </w:r>
      <w:proofErr w:type="spellEnd"/>
      <w:r>
        <w:rPr>
          <w:b/>
          <w:color w:val="7F7F7F" w:themeColor="text1" w:themeTint="80"/>
          <w:lang w:val="ru-RU"/>
        </w:rPr>
        <w:t xml:space="preserve"> в </w:t>
      </w:r>
      <w:proofErr w:type="spellStart"/>
      <w:r>
        <w:rPr>
          <w:b/>
          <w:color w:val="7F7F7F" w:themeColor="text1" w:themeTint="80"/>
          <w:lang w:val="ru-RU"/>
        </w:rPr>
        <w:t>Україні</w:t>
      </w:r>
      <w:proofErr w:type="spellEnd"/>
      <w:r>
        <w:rPr>
          <w:b/>
          <w:color w:val="7F7F7F" w:themeColor="text1" w:themeTint="80"/>
          <w:lang w:val="ru-RU"/>
        </w:rPr>
        <w:t xml:space="preserve"> №17 – ___ </w:t>
      </w:r>
      <w:proofErr w:type="spellStart"/>
      <w:r>
        <w:rPr>
          <w:b/>
          <w:color w:val="7F7F7F" w:themeColor="text1" w:themeTint="80"/>
          <w:lang w:val="ru-RU"/>
        </w:rPr>
        <w:t>від</w:t>
      </w:r>
      <w:proofErr w:type="spellEnd"/>
      <w:r>
        <w:rPr>
          <w:b/>
          <w:color w:val="7F7F7F" w:themeColor="text1" w:themeTint="80"/>
          <w:lang w:val="ru-RU"/>
        </w:rPr>
        <w:t xml:space="preserve"> ________</w:t>
      </w:r>
      <w:r w:rsidRPr="003E0C6E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3E0C6E">
        <w:rPr>
          <w:b/>
          <w:color w:val="7F7F7F" w:themeColor="text1" w:themeTint="80"/>
          <w:lang w:val="ru-RU"/>
        </w:rPr>
        <w:t>щодо</w:t>
      </w:r>
      <w:proofErr w:type="spellEnd"/>
      <w:r w:rsidRPr="003E0C6E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результатів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зустрічі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стосовно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перспектив </w:t>
      </w:r>
      <w:proofErr w:type="spellStart"/>
      <w:r w:rsidRPr="00D234C9">
        <w:rPr>
          <w:b/>
          <w:color w:val="7F7F7F" w:themeColor="text1" w:themeTint="80"/>
          <w:lang w:val="ru-RU"/>
        </w:rPr>
        <w:t>реформування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галузі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користування</w:t>
      </w:r>
      <w:proofErr w:type="spellEnd"/>
      <w:r w:rsidRPr="00D234C9">
        <w:rPr>
          <w:b/>
          <w:color w:val="7F7F7F" w:themeColor="text1" w:themeTint="80"/>
          <w:lang w:val="ru-RU"/>
        </w:rPr>
        <w:t xml:space="preserve"> </w:t>
      </w:r>
      <w:proofErr w:type="spellStart"/>
      <w:r w:rsidRPr="00D234C9">
        <w:rPr>
          <w:b/>
          <w:color w:val="7F7F7F" w:themeColor="text1" w:themeTint="80"/>
          <w:lang w:val="ru-RU"/>
        </w:rPr>
        <w:t>надрами</w:t>
      </w:r>
      <w:proofErr w:type="spellEnd"/>
    </w:p>
    <w:p w14:paraId="5A5D9258" w14:textId="77777777" w:rsidR="006377AB" w:rsidRDefault="006377AB" w:rsidP="006377AB">
      <w:pPr>
        <w:rPr>
          <w:lang w:val="ru-RU"/>
        </w:rPr>
      </w:pPr>
    </w:p>
    <w:p w14:paraId="52C42258" w14:textId="77777777" w:rsidR="006377AB" w:rsidRDefault="006377AB" w:rsidP="006377AB">
      <w:pPr>
        <w:rPr>
          <w:lang w:val="ru-RU"/>
        </w:rPr>
      </w:pPr>
    </w:p>
    <w:p w14:paraId="496664C8" w14:textId="77777777" w:rsidR="006377AB" w:rsidRPr="003B2C53" w:rsidRDefault="006377AB" w:rsidP="006377AB">
      <w:pPr>
        <w:jc w:val="center"/>
      </w:pPr>
      <w:r w:rsidRPr="003B2C53">
        <w:t xml:space="preserve">Деякі проблемні питання </w:t>
      </w:r>
      <w:proofErr w:type="spellStart"/>
      <w:r w:rsidRPr="003B2C53">
        <w:t>надрокористування</w:t>
      </w:r>
      <w:proofErr w:type="spellEnd"/>
      <w:r w:rsidRPr="003B2C53">
        <w:t xml:space="preserve"> </w:t>
      </w:r>
      <w:bookmarkStart w:id="0" w:name="_Hlk493607625"/>
      <w:r w:rsidRPr="003B2C53">
        <w:t>для потреб нафтогазової галузі</w:t>
      </w:r>
      <w:bookmarkEnd w:id="0"/>
    </w:p>
    <w:p w14:paraId="78352C30" w14:textId="77777777" w:rsidR="006377AB" w:rsidRDefault="006377AB" w:rsidP="006377AB">
      <w:pPr>
        <w:jc w:val="center"/>
      </w:pPr>
    </w:p>
    <w:p w14:paraId="2AED1DFB" w14:textId="77777777" w:rsidR="006377AB" w:rsidRPr="00234E26" w:rsidRDefault="006377AB" w:rsidP="006377AB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05"/>
        <w:gridCol w:w="8910"/>
      </w:tblGrid>
      <w:tr w:rsidR="00B02C54" w:rsidRPr="00DE548A" w14:paraId="1D1C59E0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4C33B" w14:textId="77777777" w:rsidR="00B02C54" w:rsidRPr="00DE548A" w:rsidRDefault="00B02C54">
            <w:pPr>
              <w:jc w:val="center"/>
              <w:rPr>
                <w:b/>
                <w:sz w:val="20"/>
                <w:szCs w:val="20"/>
              </w:rPr>
            </w:pPr>
            <w:r w:rsidRPr="00DE548A">
              <w:rPr>
                <w:b/>
                <w:sz w:val="20"/>
                <w:szCs w:val="20"/>
              </w:rPr>
              <w:t>Проблемне питання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29934" w14:textId="77777777" w:rsidR="00B02C54" w:rsidRPr="00DE548A" w:rsidRDefault="00B02C54">
            <w:pPr>
              <w:jc w:val="center"/>
              <w:rPr>
                <w:b/>
                <w:sz w:val="20"/>
                <w:szCs w:val="20"/>
              </w:rPr>
            </w:pPr>
            <w:r w:rsidRPr="00DE548A">
              <w:rPr>
                <w:b/>
                <w:sz w:val="20"/>
                <w:szCs w:val="20"/>
              </w:rPr>
              <w:t>Пропозиція щодо вирішення</w:t>
            </w:r>
          </w:p>
        </w:tc>
      </w:tr>
      <w:tr w:rsidR="00B02C54" w:rsidRPr="00DE548A" w14:paraId="780296A9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62CC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>Помилки на бланку спеціального дозволу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2CC65" w14:textId="77777777" w:rsidR="00B02C54" w:rsidRDefault="00B02C54" w:rsidP="00234E26">
            <w:pPr>
              <w:jc w:val="both"/>
              <w:rPr>
                <w:sz w:val="20"/>
                <w:szCs w:val="20"/>
              </w:rPr>
            </w:pPr>
            <w:proofErr w:type="spellStart"/>
            <w:r w:rsidRPr="00DE548A">
              <w:rPr>
                <w:sz w:val="20"/>
                <w:szCs w:val="20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</w:rPr>
              <w:t xml:space="preserve"> не має нести відповідальність за помилки, що зроблені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(пп.6, п. 7 Постанови №615 від 30.05.2011). Пункт 7 Постанови стосується порядку внесення змін до спеціального дозволу. Вважаємо, що </w:t>
            </w:r>
            <w:proofErr w:type="spellStart"/>
            <w:r w:rsidRPr="00DE548A">
              <w:rPr>
                <w:sz w:val="20"/>
                <w:szCs w:val="20"/>
              </w:rPr>
              <w:t>пп</w:t>
            </w:r>
            <w:proofErr w:type="spellEnd"/>
            <w:r w:rsidRPr="00DE548A">
              <w:rPr>
                <w:sz w:val="20"/>
                <w:szCs w:val="20"/>
              </w:rPr>
              <w:t xml:space="preserve">. 6.п.7 не повинен розглядатися в цій якості і має бути висвітлений окремим пунктом Постанови і вирішуватись в робочому порядку. </w:t>
            </w:r>
          </w:p>
          <w:p w14:paraId="54D7DB3D" w14:textId="28203CA2" w:rsidR="002C2A80" w:rsidRPr="00DE548A" w:rsidRDefault="002C2A80" w:rsidP="00234E26">
            <w:pPr>
              <w:jc w:val="both"/>
              <w:rPr>
                <w:sz w:val="20"/>
                <w:szCs w:val="20"/>
              </w:rPr>
            </w:pPr>
          </w:p>
        </w:tc>
      </w:tr>
      <w:tr w:rsidR="00B02C54" w:rsidRPr="00DE548A" w14:paraId="2C188524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99DD8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Процедура прийняття рішень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складна та непрозора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946A2" w14:textId="77777777" w:rsidR="00B02C54" w:rsidRPr="00DE548A" w:rsidRDefault="00B02C54" w:rsidP="00234E26">
            <w:pPr>
              <w:jc w:val="both"/>
              <w:rPr>
                <w:sz w:val="20"/>
                <w:szCs w:val="20"/>
              </w:rPr>
            </w:pP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приймає рішення на основі висновків своїх структурних підрозділів та підприємств за результатами розгляду відповідних пакетів документів наданих </w:t>
            </w:r>
            <w:proofErr w:type="spellStart"/>
            <w:r w:rsidRPr="00DE548A">
              <w:rPr>
                <w:sz w:val="20"/>
                <w:szCs w:val="20"/>
              </w:rPr>
              <w:t>надрокористувачем</w:t>
            </w:r>
            <w:proofErr w:type="spellEnd"/>
            <w:r w:rsidRPr="00DE548A">
              <w:rPr>
                <w:sz w:val="20"/>
                <w:szCs w:val="20"/>
              </w:rPr>
              <w:t xml:space="preserve">.  Листування між підрозділами та підприємствами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проходить в письмовому вигляді. Якщо врахувати, що стандартне  рішення потребує висновків та погоджень як мінімум від 7-8 підрозділів та підприємств і 3-4 дні потрібно для надіслання листів поштою, то мінімальні витрати часу складають від 3 до 4 тижнів. І це за умов, що питання розглядається терміново і не потрібні погодження від інших міністерств.</w:t>
            </w:r>
          </w:p>
          <w:p w14:paraId="2B21CA0C" w14:textId="77777777" w:rsidR="00B02C54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Процедура має бути спрощена у четвертому кварталі 2017 р.. Обіг внутрішніх документів (віз)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має бути переведений в електронну форму з використанням електронного підпису відповідальних осіб. </w:t>
            </w:r>
          </w:p>
          <w:p w14:paraId="06775C31" w14:textId="07282BB7" w:rsidR="002C2A80" w:rsidRPr="00DE548A" w:rsidRDefault="002C2A80" w:rsidP="00234E26">
            <w:pPr>
              <w:jc w:val="both"/>
              <w:rPr>
                <w:sz w:val="20"/>
                <w:szCs w:val="20"/>
              </w:rPr>
            </w:pPr>
          </w:p>
        </w:tc>
      </w:tr>
      <w:tr w:rsidR="00B02C54" w:rsidRPr="00DE548A" w14:paraId="12C2DF6E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52465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Немає зворотного зв’язку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з </w:t>
            </w:r>
            <w:proofErr w:type="spellStart"/>
            <w:r w:rsidRPr="00DE548A">
              <w:rPr>
                <w:sz w:val="20"/>
                <w:szCs w:val="20"/>
              </w:rPr>
              <w:t>надрокористувачем</w:t>
            </w:r>
            <w:proofErr w:type="spellEnd"/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FD7F" w14:textId="77777777" w:rsidR="00B02C54" w:rsidRPr="00DE548A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Повсякденна практика, коли відповіді на запити </w:t>
            </w:r>
            <w:proofErr w:type="spellStart"/>
            <w:r w:rsidRPr="00DE548A">
              <w:rPr>
                <w:sz w:val="20"/>
                <w:szCs w:val="20"/>
              </w:rPr>
              <w:t>надрокористувачу</w:t>
            </w:r>
            <w:proofErr w:type="spellEnd"/>
            <w:r w:rsidRPr="00DE548A">
              <w:rPr>
                <w:sz w:val="20"/>
                <w:szCs w:val="20"/>
              </w:rPr>
              <w:t xml:space="preserve"> не надаються. Якщо буде встановлена електронна система обігу внутрішніх документів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, то при виникненні незначних питань, відповідний фахівець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, що має свій електронний підпис, міг би вирішувати їх з офіційним представником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  <w:r w:rsidRPr="00DE548A">
              <w:rPr>
                <w:sz w:val="20"/>
                <w:szCs w:val="20"/>
              </w:rPr>
              <w:t xml:space="preserve"> в робочому порядку. Відповідно, представник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  <w:r w:rsidRPr="00DE548A">
              <w:rPr>
                <w:sz w:val="20"/>
                <w:szCs w:val="20"/>
              </w:rPr>
              <w:t xml:space="preserve"> також має свій електронний підпис, відомий і погоджений з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>.</w:t>
            </w:r>
          </w:p>
          <w:p w14:paraId="1FCE940F" w14:textId="77777777" w:rsidR="00B02C54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Таким чином, питання, які можуть бути вирішені в робочому порядку (друкарські помилки, недостатня інформація, неналежним чином оформлені документи та ін.) можуть погоджуватись безпосередньо з представниками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і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  <w:r w:rsidRPr="00DE548A">
              <w:rPr>
                <w:sz w:val="20"/>
                <w:szCs w:val="20"/>
              </w:rPr>
              <w:t xml:space="preserve"> в електронному вигляді. Така практика суттєво скоротить число відмов, невирішених та спірних питань, тощо.   </w:t>
            </w:r>
          </w:p>
          <w:p w14:paraId="76E6E3ED" w14:textId="4A50FB89" w:rsidR="002C2A80" w:rsidRPr="00DE548A" w:rsidRDefault="002C2A80" w:rsidP="00234E26">
            <w:pPr>
              <w:jc w:val="both"/>
              <w:rPr>
                <w:sz w:val="20"/>
                <w:szCs w:val="20"/>
              </w:rPr>
            </w:pPr>
          </w:p>
        </w:tc>
      </w:tr>
      <w:tr w:rsidR="00B02C54" w:rsidRPr="00DE548A" w14:paraId="19C8C577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7B5E0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>Питання чинного законодавства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92A90" w14:textId="77777777" w:rsidR="00B02C54" w:rsidRPr="00DE548A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Державний геологічний контроль не має права звинувачувати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  <w:r w:rsidRPr="00DE548A">
              <w:rPr>
                <w:sz w:val="20"/>
                <w:szCs w:val="20"/>
              </w:rPr>
              <w:t xml:space="preserve"> в недоліках, помилках або порушеннях, якщо </w:t>
            </w:r>
            <w:proofErr w:type="spellStart"/>
            <w:r w:rsidRPr="00DE548A">
              <w:rPr>
                <w:sz w:val="20"/>
                <w:szCs w:val="20"/>
              </w:rPr>
              <w:t>надрокористувачу</w:t>
            </w:r>
            <w:proofErr w:type="spellEnd"/>
            <w:r w:rsidRPr="00DE548A">
              <w:rPr>
                <w:sz w:val="20"/>
                <w:szCs w:val="20"/>
              </w:rPr>
              <w:t xml:space="preserve"> не було надано відповіді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на його запит про вирішення чи порядок розгляду відповідного питання згідно чинного законодавства України.</w:t>
            </w:r>
          </w:p>
          <w:p w14:paraId="10D24A55" w14:textId="65BC02ED" w:rsidR="00B02C54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З 2011 року невід’ємною частиною спеціального дозволу є Угода про умови користування надрами. Досвід показує, що для родовищ загальнодержавного значення (наприклад, залізні руди) Угода є типовою. Крім того, Угода включає в себе «Характеристику ділянки надр» та «Програму робіт». Ці </w:t>
            </w:r>
            <w:r w:rsidRPr="00DE548A">
              <w:rPr>
                <w:sz w:val="20"/>
                <w:szCs w:val="20"/>
              </w:rPr>
              <w:lastRenderedPageBreak/>
              <w:t>два документи є практикою дублювання. Наприклад, «Характеристика…» надається</w:t>
            </w:r>
            <w:r w:rsidR="00E5380C">
              <w:t xml:space="preserve"> </w:t>
            </w:r>
            <w:r w:rsidR="00E5380C" w:rsidRPr="00E5380C">
              <w:rPr>
                <w:sz w:val="20"/>
                <w:szCs w:val="20"/>
              </w:rPr>
              <w:t>ДНВП «</w:t>
            </w:r>
            <w:proofErr w:type="spellStart"/>
            <w:r w:rsidR="00E5380C" w:rsidRPr="00E5380C">
              <w:rPr>
                <w:sz w:val="20"/>
                <w:szCs w:val="20"/>
              </w:rPr>
              <w:t>Геоінформ</w:t>
            </w:r>
            <w:proofErr w:type="spellEnd"/>
            <w:r w:rsidR="00E5380C" w:rsidRPr="00E5380C">
              <w:rPr>
                <w:sz w:val="20"/>
                <w:szCs w:val="20"/>
              </w:rPr>
              <w:t xml:space="preserve"> України» </w:t>
            </w:r>
            <w:r w:rsidR="00E5380C" w:rsidRPr="00E5380C">
              <w:rPr>
                <w:sz w:val="20"/>
                <w:szCs w:val="20"/>
                <w:lang w:val="ru-RU"/>
              </w:rPr>
              <w:t>(</w:t>
            </w:r>
            <w:proofErr w:type="spellStart"/>
            <w:r w:rsidR="00E5380C" w:rsidRPr="00E5380C">
              <w:rPr>
                <w:sz w:val="20"/>
                <w:szCs w:val="20"/>
              </w:rPr>
              <w:t>Геоінформ</w:t>
            </w:r>
            <w:proofErr w:type="spellEnd"/>
            <w:r w:rsidR="00E5380C" w:rsidRPr="00E5380C">
              <w:rPr>
                <w:sz w:val="20"/>
                <w:szCs w:val="20"/>
                <w:lang w:val="ru-RU"/>
              </w:rPr>
              <w:t xml:space="preserve">) </w:t>
            </w:r>
            <w:r w:rsidRPr="00DE548A">
              <w:rPr>
                <w:sz w:val="20"/>
                <w:szCs w:val="20"/>
              </w:rPr>
              <w:t xml:space="preserve">під час видачі спеціального дозволу або на аукціон. «Програма робі», у випадку видобування, періодично розглядається, коригується та затверджується Державною гірничою інспекцією. У випадку геологічного вивчення, «Програма» є складовою частиною Договору на виконання робіт з підрядною організацією. «Угода» запроваджена Постановою КМУ №615 від 20.05.2011. Всі необхідні умови безпосередньо вказуються на бланку спецдозволу. Тому, для родовищ загальнодержавного значення, «Угода» має бути відмінена. </w:t>
            </w:r>
            <w:proofErr w:type="spellStart"/>
            <w:r w:rsidRPr="00DE548A">
              <w:rPr>
                <w:sz w:val="20"/>
                <w:szCs w:val="20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</w:rPr>
              <w:t xml:space="preserve"> сам несе відповідальність за свої дії.</w:t>
            </w:r>
          </w:p>
          <w:p w14:paraId="0E52CE80" w14:textId="5312BC65" w:rsidR="002C2A80" w:rsidRPr="00DE548A" w:rsidRDefault="002C2A80" w:rsidP="00234E26">
            <w:pPr>
              <w:jc w:val="both"/>
              <w:rPr>
                <w:sz w:val="20"/>
                <w:szCs w:val="20"/>
              </w:rPr>
            </w:pPr>
          </w:p>
        </w:tc>
      </w:tr>
      <w:tr w:rsidR="00B02C54" w:rsidRPr="00DE548A" w14:paraId="048F8639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9067B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2528DD">
              <w:rPr>
                <w:sz w:val="20"/>
                <w:szCs w:val="20"/>
              </w:rPr>
              <w:lastRenderedPageBreak/>
              <w:t xml:space="preserve">Введення </w:t>
            </w:r>
            <w:proofErr w:type="spellStart"/>
            <w:r w:rsidRPr="002528DD">
              <w:rPr>
                <w:sz w:val="20"/>
                <w:szCs w:val="20"/>
              </w:rPr>
              <w:t>Держгеонадра</w:t>
            </w:r>
            <w:proofErr w:type="spellEnd"/>
            <w:r w:rsidRPr="002528DD">
              <w:rPr>
                <w:sz w:val="20"/>
                <w:szCs w:val="20"/>
              </w:rPr>
              <w:t xml:space="preserve"> в дію протоколів ДКЗ України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DD507" w14:textId="77777777" w:rsidR="00B02C54" w:rsidRDefault="00B02C54" w:rsidP="00234E26">
            <w:pPr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Дана процедура була прийнята наказом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у 2012 році.  Протоколи ДКЗ </w:t>
            </w:r>
            <w:proofErr w:type="spellStart"/>
            <w:r w:rsidRPr="00DE548A">
              <w:rPr>
                <w:sz w:val="20"/>
                <w:szCs w:val="20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не розглядаються, фахівцями не перевіряються і таке інше. Вважаємо за доцільне відмінити відповідний наказ </w:t>
            </w:r>
            <w:proofErr w:type="spellStart"/>
            <w:r w:rsidRPr="00DE548A">
              <w:rPr>
                <w:sz w:val="20"/>
                <w:szCs w:val="20"/>
              </w:rPr>
              <w:t>Держгеонадр</w:t>
            </w:r>
            <w:proofErr w:type="spellEnd"/>
            <w:r w:rsidRPr="00DE548A">
              <w:rPr>
                <w:sz w:val="20"/>
                <w:szCs w:val="20"/>
              </w:rPr>
              <w:t>.</w:t>
            </w:r>
          </w:p>
          <w:p w14:paraId="538A87FB" w14:textId="6E7A57F9" w:rsidR="002C2A80" w:rsidRPr="00DE548A" w:rsidRDefault="002C2A80" w:rsidP="00234E26">
            <w:pPr>
              <w:jc w:val="both"/>
              <w:rPr>
                <w:sz w:val="20"/>
                <w:szCs w:val="20"/>
              </w:rPr>
            </w:pPr>
          </w:p>
        </w:tc>
      </w:tr>
      <w:tr w:rsidR="00B02C54" w:rsidRPr="00DE548A" w14:paraId="67438597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13B77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Відсутність можливості у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  <w:r w:rsidRPr="00DE548A">
              <w:rPr>
                <w:sz w:val="20"/>
                <w:szCs w:val="20"/>
              </w:rPr>
              <w:t xml:space="preserve"> відслідковувати стадію розгляду пакету документів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30113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Створення онлайн-вікна для контролю за </w:t>
            </w:r>
            <w:r w:rsidRPr="00DE548A">
              <w:rPr>
                <w:sz w:val="20"/>
                <w:szCs w:val="20"/>
                <w:u w:val="single"/>
                <w:lang w:val="uk-UA"/>
              </w:rPr>
              <w:t xml:space="preserve">всіма «процедурними» рухами заяв </w:t>
            </w:r>
            <w:proofErr w:type="spellStart"/>
            <w:r w:rsidRPr="00DE548A">
              <w:rPr>
                <w:sz w:val="20"/>
                <w:szCs w:val="20"/>
                <w:u w:val="single"/>
                <w:lang w:val="uk-UA"/>
              </w:rPr>
              <w:t>надрокористувачів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(наприклад, шляхом вдосконалення наявного вікна на сайті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Геоінформ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>).</w:t>
            </w:r>
          </w:p>
          <w:p w14:paraId="5DBCFC42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2B474E75" w14:textId="77777777" w:rsidR="00B02C54" w:rsidRDefault="00B02C54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має отримувати інформацію за номером заяви щодо направлення документів на всі погодження, включення заяви на розгляд до порядку денного Комісії, призупинення розгляду заяви тощо. Крім того, в онлайн-вікні має одразу надаватись контактна інформація виконавця, з яким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мав би можливість зв’язатись.</w:t>
            </w:r>
          </w:p>
          <w:p w14:paraId="7923A37A" w14:textId="6A326B32" w:rsidR="002C2A80" w:rsidRPr="00DE548A" w:rsidRDefault="002C2A80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2C54" w:rsidRPr="00DE548A" w14:paraId="1FCC940B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B1C3A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Прийняття рішення Комісією </w:t>
            </w:r>
            <w:proofErr w:type="spellStart"/>
            <w:r w:rsidRPr="00DE548A">
              <w:rPr>
                <w:sz w:val="20"/>
                <w:szCs w:val="20"/>
              </w:rPr>
              <w:t>Держгеонадр</w:t>
            </w:r>
            <w:proofErr w:type="spellEnd"/>
            <w:r w:rsidRPr="00DE548A">
              <w:rPr>
                <w:sz w:val="20"/>
                <w:szCs w:val="20"/>
              </w:rPr>
              <w:t xml:space="preserve"> з питань </w:t>
            </w:r>
            <w:proofErr w:type="spellStart"/>
            <w:r w:rsidRPr="00DE548A">
              <w:rPr>
                <w:sz w:val="20"/>
                <w:szCs w:val="20"/>
              </w:rPr>
              <w:t>надрокористування</w:t>
            </w:r>
            <w:proofErr w:type="spellEnd"/>
            <w:r w:rsidRPr="00DE548A">
              <w:rPr>
                <w:sz w:val="20"/>
                <w:szCs w:val="20"/>
              </w:rPr>
              <w:t xml:space="preserve"> без </w:t>
            </w:r>
            <w:proofErr w:type="spellStart"/>
            <w:r w:rsidRPr="00DE548A">
              <w:rPr>
                <w:sz w:val="20"/>
                <w:szCs w:val="20"/>
              </w:rPr>
              <w:t>заслухання</w:t>
            </w:r>
            <w:proofErr w:type="spellEnd"/>
            <w:r w:rsidRPr="00DE548A">
              <w:rPr>
                <w:sz w:val="20"/>
                <w:szCs w:val="20"/>
              </w:rPr>
              <w:t xml:space="preserve"> пояснень/позиції </w:t>
            </w:r>
            <w:proofErr w:type="spellStart"/>
            <w:r w:rsidRPr="00DE548A">
              <w:rPr>
                <w:sz w:val="20"/>
                <w:szCs w:val="20"/>
              </w:rPr>
              <w:t>надрокористувача</w:t>
            </w:r>
            <w:proofErr w:type="spellEnd"/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6C9A5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Надання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надрокористувачам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можливості бути присутнім при вирішенні питання щодо його спеціального дозволу (внесення змін, продовження строку дії тощо) та надавати власні пояснення/коментарі у випадку виникнення потреби.</w:t>
            </w:r>
          </w:p>
          <w:p w14:paraId="736279FB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4730F170" w14:textId="77777777" w:rsidR="00B02C54" w:rsidRDefault="00B02C54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Про проведення відповідного засідання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мав би можливість дізнатись з онлайн-вікна.</w:t>
            </w:r>
          </w:p>
          <w:p w14:paraId="133628EC" w14:textId="6999AA8E" w:rsidR="002C2A80" w:rsidRPr="00DE548A" w:rsidRDefault="002C2A80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2C54" w:rsidRPr="00DE548A" w14:paraId="2218DD16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52BD0" w14:textId="77777777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Повернення заяви та всього пакету документів </w:t>
            </w:r>
            <w:proofErr w:type="spellStart"/>
            <w:r w:rsidRPr="00DE548A">
              <w:rPr>
                <w:sz w:val="20"/>
                <w:szCs w:val="20"/>
              </w:rPr>
              <w:t>надрокористувачу</w:t>
            </w:r>
            <w:proofErr w:type="spellEnd"/>
            <w:r w:rsidRPr="00DE548A">
              <w:rPr>
                <w:sz w:val="20"/>
                <w:szCs w:val="20"/>
              </w:rPr>
              <w:t xml:space="preserve"> з формальних причин (зауваження до оформлення певного документу або необхідність подання додаткового документу/інформації)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ECBAA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Замість повернення всього пакету документів доцільно передбачити можливість тимчасового зупинення розгляду пакету документів до усунення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надрокористувачем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відповідного недоліку.</w:t>
            </w:r>
          </w:p>
          <w:p w14:paraId="70681165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2FE0F003" w14:textId="77777777" w:rsidR="00B02C54" w:rsidRDefault="00B02C54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Про тимчасове зупинення розгляду </w:t>
            </w:r>
            <w:proofErr w:type="spellStart"/>
            <w:r w:rsidRPr="00DE548A">
              <w:rPr>
                <w:sz w:val="20"/>
                <w:szCs w:val="20"/>
                <w:lang w:val="uk-UA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мав би можливість дізнатись з онлайн-вікна, в якому було б видно підставу зупинення та контакти виконавця, з яким можна було б зв’язатись для вирішення питання.</w:t>
            </w:r>
          </w:p>
          <w:p w14:paraId="66067DE6" w14:textId="3BAB2616" w:rsidR="002C2A80" w:rsidRPr="00DE548A" w:rsidRDefault="002C2A80" w:rsidP="00680401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2C54" w:rsidRPr="00DE548A" w14:paraId="68566216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FA8D" w14:textId="77777777" w:rsidR="00B02C54" w:rsidRPr="002528DD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2528DD">
              <w:rPr>
                <w:sz w:val="20"/>
                <w:szCs w:val="20"/>
              </w:rPr>
              <w:t>Недотримання строків розгляду пакетів документів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BD575" w14:textId="77777777" w:rsidR="00B02C54" w:rsidRPr="00DE548A" w:rsidRDefault="00B02C54" w:rsidP="00234E2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68" w:hanging="268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У випадку ненадання Мінприроди (чи іншим погоджувальним органом) відповіді протягом 30 днів – вважати, що надання (продовження строку дії) ними погоджено та продовжувати процедуру розгляду.</w:t>
            </w:r>
          </w:p>
          <w:p w14:paraId="5D88A200" w14:textId="77777777" w:rsidR="00B02C54" w:rsidRPr="00DE548A" w:rsidRDefault="00B02C54" w:rsidP="00234E26">
            <w:pPr>
              <w:pStyle w:val="NormalWeb"/>
              <w:spacing w:before="0" w:beforeAutospacing="0" w:after="0" w:afterAutospacing="0" w:line="256" w:lineRule="auto"/>
              <w:ind w:left="268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1E5C27B1" w14:textId="77777777" w:rsidR="00B02C54" w:rsidRDefault="00B02C54" w:rsidP="006804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6" w:lineRule="auto"/>
              <w:ind w:left="268" w:hanging="268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Як варіант, розглянути можливість заміни комісійного розгляду пакетів на розгляд заяви виключно призначеним виконавцем.</w:t>
            </w:r>
          </w:p>
          <w:p w14:paraId="04AFD3A0" w14:textId="442B2AC6" w:rsidR="002C2A80" w:rsidRPr="00DE548A" w:rsidRDefault="002C2A80" w:rsidP="002C2A80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2C54" w:rsidRPr="00DE548A" w14:paraId="5DFC6ABC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EA02C" w14:textId="1818BCDA" w:rsidR="00B02C54" w:rsidRPr="00D339E4" w:rsidRDefault="00B02C54" w:rsidP="00C6695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504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339E4">
              <w:rPr>
                <w:sz w:val="20"/>
                <w:szCs w:val="20"/>
              </w:rPr>
              <w:lastRenderedPageBreak/>
              <w:t xml:space="preserve">Деякі аспекти виконання </w:t>
            </w:r>
            <w:proofErr w:type="spellStart"/>
            <w:r w:rsidRPr="00D339E4">
              <w:rPr>
                <w:sz w:val="20"/>
                <w:szCs w:val="20"/>
              </w:rPr>
              <w:t>Держгеонадра</w:t>
            </w:r>
            <w:proofErr w:type="spellEnd"/>
            <w:r w:rsidRPr="00D339E4">
              <w:rPr>
                <w:sz w:val="20"/>
                <w:szCs w:val="20"/>
              </w:rPr>
              <w:t xml:space="preserve"> своїх обов'язків, зокрема: терміни введення в дію протоколу ДКЗ не визначені законодавчо. По факту процедура введення в дію займає від 6 до 10 місяців.</w:t>
            </w:r>
          </w:p>
          <w:p w14:paraId="168B971C" w14:textId="4714C8F8" w:rsidR="002C2A80" w:rsidRPr="002528DD" w:rsidRDefault="002C2A80" w:rsidP="00D70109">
            <w:pPr>
              <w:tabs>
                <w:tab w:val="left" w:pos="342"/>
                <w:tab w:val="left" w:pos="50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0C4D9" w14:textId="77777777" w:rsidR="00B02C54" w:rsidRPr="00DE548A" w:rsidRDefault="00B02C54" w:rsidP="00D70109">
            <w:pPr>
              <w:pStyle w:val="NormalWeb"/>
              <w:spacing w:before="0" w:beforeAutospacing="0" w:after="0" w:afterAutospacing="0" w:line="256" w:lineRule="auto"/>
              <w:ind w:left="268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Визначити офіційно термін процедури і забезпечити його виконання.</w:t>
            </w:r>
          </w:p>
        </w:tc>
      </w:tr>
      <w:tr w:rsidR="00B02C54" w:rsidRPr="00DE548A" w14:paraId="792AD971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91F6F" w14:textId="77777777" w:rsidR="00B02C54" w:rsidRDefault="00B02C54" w:rsidP="00CA65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>Процедура ухвалення рішення та внесення змін до спеціального дозволу на користування надрами: згідно п.18 Постанови КМУ № 615 термін видачі нового Спеціального дозволу складає 30 днів з моменту подання документів. По факту термін ухвалення рішення складає 3-4 місяці і стільки ж часу витрачається на оформлення і виписку бланка Спеціального дозволу на користування надрами</w:t>
            </w:r>
            <w:r w:rsidR="002C2A80">
              <w:rPr>
                <w:sz w:val="20"/>
                <w:szCs w:val="20"/>
              </w:rPr>
              <w:t>.</w:t>
            </w:r>
          </w:p>
          <w:p w14:paraId="4B263A32" w14:textId="0DCB0DB2" w:rsidR="002C2A80" w:rsidRPr="00DE548A" w:rsidRDefault="002C2A80" w:rsidP="002C2A80">
            <w:pPr>
              <w:pStyle w:val="ListParagraph"/>
              <w:tabs>
                <w:tab w:val="left" w:pos="342"/>
              </w:tabs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37CE3" w14:textId="77777777" w:rsidR="00B02C54" w:rsidRPr="00DE548A" w:rsidRDefault="00B02C54" w:rsidP="00CA6555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Належне виконання Державною службою геології та надр покладених на неї обов'язків у встановлені терміни.</w:t>
            </w:r>
          </w:p>
        </w:tc>
      </w:tr>
      <w:tr w:rsidR="00B02C54" w:rsidRPr="00DE548A" w14:paraId="2C4EFA1E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F9CF4" w14:textId="77777777" w:rsidR="00B02C54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Згідно з типовою Угодою про умови користування надрами, </w:t>
            </w:r>
            <w:proofErr w:type="spellStart"/>
            <w:r w:rsidRPr="00DE548A">
              <w:rPr>
                <w:sz w:val="20"/>
                <w:szCs w:val="20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</w:rPr>
              <w:t xml:space="preserve"> зобов'язаний впродовж трьох місяців після виконання переоцінки запасів </w:t>
            </w:r>
            <w:proofErr w:type="spellStart"/>
            <w:r w:rsidRPr="00DE548A">
              <w:rPr>
                <w:sz w:val="20"/>
                <w:szCs w:val="20"/>
              </w:rPr>
              <w:t>внести</w:t>
            </w:r>
            <w:proofErr w:type="spellEnd"/>
            <w:r w:rsidRPr="00DE548A">
              <w:rPr>
                <w:sz w:val="20"/>
                <w:szCs w:val="20"/>
              </w:rPr>
              <w:t xml:space="preserve"> зміни в спеціальний дозвіл на користування надрами. Проте, такі дії входять до компетенції </w:t>
            </w:r>
            <w:proofErr w:type="spellStart"/>
            <w:r w:rsidRPr="00DE548A">
              <w:rPr>
                <w:sz w:val="20"/>
                <w:szCs w:val="20"/>
                <w:lang w:eastAsia="ru-RU"/>
              </w:rPr>
              <w:t>Держгеонадр</w:t>
            </w:r>
            <w:proofErr w:type="spellEnd"/>
            <w:r w:rsidRPr="00DE548A">
              <w:rPr>
                <w:sz w:val="20"/>
                <w:szCs w:val="20"/>
              </w:rPr>
              <w:t xml:space="preserve">. </w:t>
            </w:r>
            <w:proofErr w:type="spellStart"/>
            <w:r w:rsidRPr="00DE548A">
              <w:rPr>
                <w:sz w:val="20"/>
                <w:szCs w:val="20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</w:rPr>
              <w:t xml:space="preserve"> повинен тільки надати пакет документів в </w:t>
            </w:r>
            <w:proofErr w:type="spellStart"/>
            <w:r w:rsidRPr="00DE548A">
              <w:rPr>
                <w:sz w:val="20"/>
                <w:szCs w:val="20"/>
                <w:lang w:eastAsia="ru-RU"/>
              </w:rPr>
              <w:t>Держгеонадра</w:t>
            </w:r>
            <w:proofErr w:type="spellEnd"/>
            <w:r w:rsidRPr="00DE548A">
              <w:rPr>
                <w:sz w:val="20"/>
                <w:szCs w:val="20"/>
              </w:rPr>
              <w:t xml:space="preserve"> згідно з постановою КМУ № 615.</w:t>
            </w:r>
          </w:p>
          <w:p w14:paraId="11D108CB" w14:textId="4197C0E3" w:rsidR="002C2A80" w:rsidRPr="00DE548A" w:rsidRDefault="002C2A80" w:rsidP="002C2A80">
            <w:pPr>
              <w:pStyle w:val="ListParagraph"/>
              <w:tabs>
                <w:tab w:val="left" w:pos="342"/>
              </w:tabs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B2173" w14:textId="77777777" w:rsidR="00B02C54" w:rsidRPr="00DE548A" w:rsidRDefault="00B02C54" w:rsidP="00CA6555">
            <w:pPr>
              <w:pStyle w:val="NormalWeb"/>
              <w:spacing w:before="0" w:beforeAutospacing="0" w:after="0" w:afterAutospacing="0" w:line="256" w:lineRule="auto"/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E548A">
              <w:rPr>
                <w:sz w:val="20"/>
                <w:szCs w:val="20"/>
                <w:lang w:val="uk-UA"/>
              </w:rPr>
              <w:t>Внести</w:t>
            </w:r>
            <w:proofErr w:type="spellEnd"/>
            <w:r w:rsidRPr="00DE548A">
              <w:rPr>
                <w:sz w:val="20"/>
                <w:szCs w:val="20"/>
                <w:lang w:val="uk-UA"/>
              </w:rPr>
              <w:t xml:space="preserve"> зміни до типової Угоди про умови користування надрами.</w:t>
            </w:r>
          </w:p>
        </w:tc>
      </w:tr>
      <w:tr w:rsidR="00B02C54" w:rsidRPr="00DE548A" w14:paraId="18B2B9C6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49F79" w14:textId="52F3E940" w:rsidR="002C2A80" w:rsidRDefault="00B02C54" w:rsidP="00CA655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>Не</w:t>
            </w:r>
            <w:r w:rsidR="00E5380C" w:rsidRPr="00E5380C">
              <w:rPr>
                <w:sz w:val="20"/>
                <w:szCs w:val="20"/>
                <w:lang w:val="ru-RU"/>
              </w:rPr>
              <w:t xml:space="preserve"> </w:t>
            </w:r>
            <w:r w:rsidRPr="00DE548A">
              <w:rPr>
                <w:sz w:val="20"/>
                <w:szCs w:val="20"/>
              </w:rPr>
              <w:t>врегульовано питання щодо необхідності  сплачувати за збільшення запасів корисних копалин, оскільки жодним нормативним документом не встановлено процедуру збільшення балансових запасів корисних копалин, за рахунок позабалансових, або з невизначеним промисловим значенням</w:t>
            </w:r>
            <w:r w:rsidR="002C2A80">
              <w:rPr>
                <w:sz w:val="20"/>
                <w:szCs w:val="20"/>
              </w:rPr>
              <w:t>.</w:t>
            </w:r>
          </w:p>
          <w:p w14:paraId="1E998EAF" w14:textId="7EF5FC15" w:rsidR="00B02C54" w:rsidRPr="00DE548A" w:rsidRDefault="00B02C54" w:rsidP="002C2A80">
            <w:pPr>
              <w:pStyle w:val="ListParagraph"/>
              <w:tabs>
                <w:tab w:val="left" w:pos="342"/>
              </w:tabs>
              <w:ind w:left="72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9689" w14:textId="62602A07" w:rsidR="00B02C54" w:rsidRPr="00DE548A" w:rsidRDefault="008D56F2" w:rsidP="003062AC">
            <w:pPr>
              <w:pStyle w:val="NormalWeb"/>
              <w:spacing w:before="0" w:beforeAutospacing="0" w:after="0" w:afterAutospacing="0" w:line="256" w:lineRule="auto"/>
              <w:ind w:left="66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Відмінити практику стягування плати за приріст запасів, як таку, що не стимулює інвестиції у </w:t>
            </w:r>
            <w:proofErr w:type="spellStart"/>
            <w:r>
              <w:rPr>
                <w:sz w:val="20"/>
                <w:szCs w:val="20"/>
                <w:lang w:val="uk-UA"/>
              </w:rPr>
              <w:t>дорозвідку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запасів </w:t>
            </w:r>
          </w:p>
        </w:tc>
      </w:tr>
      <w:tr w:rsidR="00B02C54" w:rsidRPr="00DE548A" w14:paraId="752FB5A1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96793" w14:textId="4CF72054" w:rsidR="00B02C54" w:rsidRPr="00DE548A" w:rsidRDefault="00B02C54" w:rsidP="00F06041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В результаті переоцінки запасів родовищ </w:t>
            </w:r>
            <w:proofErr w:type="spellStart"/>
            <w:r w:rsidRPr="00DE548A">
              <w:rPr>
                <w:sz w:val="20"/>
                <w:szCs w:val="20"/>
                <w:lang w:val="ru-RU"/>
              </w:rPr>
              <w:t>корисних</w:t>
            </w:r>
            <w:proofErr w:type="spellEnd"/>
            <w:r w:rsidRPr="00DE548A">
              <w:rPr>
                <w:sz w:val="20"/>
                <w:szCs w:val="20"/>
                <w:lang w:val="ru-RU"/>
              </w:rPr>
              <w:t xml:space="preserve"> </w:t>
            </w:r>
            <w:r w:rsidRPr="00DE548A">
              <w:rPr>
                <w:sz w:val="20"/>
                <w:szCs w:val="20"/>
              </w:rPr>
              <w:t>копалин можуть виникати наступні ситуації:</w:t>
            </w:r>
          </w:p>
          <w:p w14:paraId="3FA00B69" w14:textId="77777777" w:rsidR="00B02C54" w:rsidRPr="00DE548A" w:rsidRDefault="00B02C54" w:rsidP="00044FD9">
            <w:pPr>
              <w:pStyle w:val="ListParagraph"/>
              <w:tabs>
                <w:tab w:val="left" w:pos="342"/>
              </w:tabs>
              <w:ind w:left="72"/>
              <w:jc w:val="both"/>
              <w:rPr>
                <w:sz w:val="20"/>
                <w:szCs w:val="20"/>
              </w:rPr>
            </w:pPr>
          </w:p>
          <w:p w14:paraId="2C674340" w14:textId="59FF9589" w:rsidR="00B02C54" w:rsidRPr="00DE548A" w:rsidRDefault="00B02C54" w:rsidP="0015644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414"/>
              </w:tabs>
              <w:ind w:left="54" w:firstLine="9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 При підрахунку запасів спостерігається незначний приріст або зниження балансових запасів, які входять в похибку підрахунку балансових запасів;</w:t>
            </w:r>
          </w:p>
          <w:p w14:paraId="108BC7B8" w14:textId="77777777" w:rsidR="00B02C54" w:rsidRPr="00DE548A" w:rsidRDefault="00B02C54" w:rsidP="0015644C">
            <w:pPr>
              <w:pStyle w:val="ListParagraph"/>
              <w:tabs>
                <w:tab w:val="left" w:pos="342"/>
                <w:tab w:val="left" w:pos="414"/>
              </w:tabs>
              <w:ind w:left="144"/>
              <w:jc w:val="both"/>
              <w:rPr>
                <w:sz w:val="20"/>
                <w:szCs w:val="20"/>
              </w:rPr>
            </w:pPr>
          </w:p>
          <w:p w14:paraId="36ABD6A4" w14:textId="77777777" w:rsidR="00B02C54" w:rsidRDefault="00B02C54" w:rsidP="0015644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  <w:tab w:val="left" w:pos="414"/>
              </w:tabs>
              <w:ind w:left="54" w:firstLine="9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 Зміна структури балансових запасів, при зміні проектних контурів розробки родовищ, за рахунок залучення до видобутку запасів з невизначеним промисловим значенням і переводу частини балансових запасів в категорію позабалансових (або з невизначеним промисловим значенням).</w:t>
            </w:r>
          </w:p>
          <w:p w14:paraId="5D798CAC" w14:textId="1F7A2DB9" w:rsidR="002C2A80" w:rsidRPr="002C2A80" w:rsidRDefault="002C2A80" w:rsidP="002C2A80">
            <w:pPr>
              <w:tabs>
                <w:tab w:val="left" w:pos="342"/>
                <w:tab w:val="left" w:pos="41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6907B" w14:textId="77777777" w:rsidR="00B02C54" w:rsidRPr="00DE548A" w:rsidRDefault="00B02C54" w:rsidP="003062AC">
            <w:pPr>
              <w:pStyle w:val="NormalWeb"/>
              <w:spacing w:before="0" w:beforeAutospacing="0" w:after="0" w:afterAutospacing="0" w:line="256" w:lineRule="auto"/>
              <w:ind w:left="66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Не стягувати плату за приріст у </w:t>
            </w:r>
            <w:r w:rsidRPr="00DE548A">
              <w:rPr>
                <w:i/>
                <w:sz w:val="20"/>
                <w:szCs w:val="20"/>
                <w:lang w:val="uk-UA"/>
              </w:rPr>
              <w:t>випадку 1</w:t>
            </w:r>
            <w:r w:rsidRPr="00DE548A">
              <w:rPr>
                <w:sz w:val="20"/>
                <w:szCs w:val="20"/>
                <w:lang w:val="uk-UA"/>
              </w:rPr>
              <w:t>.</w:t>
            </w:r>
          </w:p>
          <w:p w14:paraId="4BB18B09" w14:textId="77777777" w:rsidR="00B02C54" w:rsidRPr="00DE548A" w:rsidRDefault="00B02C54" w:rsidP="003062AC">
            <w:pPr>
              <w:pStyle w:val="NormalWeb"/>
              <w:spacing w:before="0" w:beforeAutospacing="0" w:after="0" w:afterAutospacing="0" w:line="256" w:lineRule="auto"/>
              <w:ind w:left="66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 xml:space="preserve">У </w:t>
            </w:r>
            <w:r w:rsidRPr="00DE548A">
              <w:rPr>
                <w:i/>
                <w:sz w:val="20"/>
                <w:szCs w:val="20"/>
                <w:lang w:val="uk-UA"/>
              </w:rPr>
              <w:t>випадку 2</w:t>
            </w:r>
            <w:r w:rsidRPr="00DE548A">
              <w:rPr>
                <w:sz w:val="20"/>
                <w:szCs w:val="20"/>
                <w:lang w:val="uk-UA"/>
              </w:rPr>
              <w:t xml:space="preserve"> кількість приросту запасів рахувати як різницю між приростом і зменшенням запасів та описати методичний підхід до розрахунку.</w:t>
            </w:r>
          </w:p>
        </w:tc>
      </w:tr>
      <w:tr w:rsidR="00B02C54" w:rsidRPr="00DE548A" w14:paraId="143BEFCB" w14:textId="77777777" w:rsidTr="00A34199"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051A3" w14:textId="15F39CF5" w:rsidR="00B02C54" w:rsidRDefault="00B02C54" w:rsidP="008D56F2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lastRenderedPageBreak/>
              <w:t>На сьогодні, згідно з постановою КМУ № 615, при продовженні терміну дії спеціального дозволу на користування надрами стягується плата у розмірі 20% первинної вартості родовища в</w:t>
            </w:r>
            <w:r w:rsidR="00E5380C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E548A">
              <w:rPr>
                <w:sz w:val="20"/>
                <w:szCs w:val="20"/>
              </w:rPr>
              <w:t xml:space="preserve">цілому. Родовища Криворізького залізорудного басейну забезпечені запасами на термін 100 і більше років. Згідно з діючою методикою розрахунку плати за подовження терміну дії спеціального дозволу, в облік беруться усі запаси по родовищу, що призводить до </w:t>
            </w:r>
            <w:r w:rsidR="008D56F2">
              <w:rPr>
                <w:sz w:val="20"/>
                <w:szCs w:val="20"/>
              </w:rPr>
              <w:t>повторного стягнення</w:t>
            </w:r>
            <w:r w:rsidR="008D56F2" w:rsidRPr="00DE548A">
              <w:rPr>
                <w:sz w:val="20"/>
                <w:szCs w:val="20"/>
              </w:rPr>
              <w:t xml:space="preserve"> </w:t>
            </w:r>
            <w:r w:rsidRPr="00DE548A">
              <w:rPr>
                <w:sz w:val="20"/>
                <w:szCs w:val="20"/>
              </w:rPr>
              <w:t xml:space="preserve">платежів за затверджені запаси. </w:t>
            </w:r>
          </w:p>
          <w:p w14:paraId="3C9781CB" w14:textId="2D38CBD4" w:rsidR="002C2A80" w:rsidRPr="00DE548A" w:rsidRDefault="002C2A80" w:rsidP="002C2A80">
            <w:pPr>
              <w:pStyle w:val="ListParagraph"/>
              <w:tabs>
                <w:tab w:val="left" w:pos="342"/>
              </w:tabs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B2F8D" w14:textId="5AAB916B" w:rsidR="00B02C54" w:rsidRPr="00DE548A" w:rsidRDefault="00B02C54" w:rsidP="003062AC">
            <w:pPr>
              <w:pStyle w:val="NormalWeb"/>
              <w:spacing w:before="0" w:beforeAutospacing="0" w:after="0" w:afterAutospacing="0" w:line="256" w:lineRule="auto"/>
              <w:ind w:left="156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Розраховувати платежі, виходячи з розрахункових об'ємів видобутку (термін дії спеціального дозволу на користування надрами складає 20 років) або зробити процедуру продовження терміну дії спеціального дозволу на користування надрами безкоштовною.</w:t>
            </w:r>
          </w:p>
        </w:tc>
      </w:tr>
      <w:tr w:rsidR="00B02C54" w:rsidRPr="00DE548A" w14:paraId="233058B0" w14:textId="77777777" w:rsidTr="00A34199">
        <w:trPr>
          <w:trHeight w:val="3149"/>
        </w:trPr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E4B9B" w14:textId="12857A3C" w:rsidR="00B02C54" w:rsidRPr="00DE548A" w:rsidRDefault="00B02C54" w:rsidP="00234E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72" w:firstLine="0"/>
              <w:jc w:val="both"/>
              <w:rPr>
                <w:sz w:val="20"/>
                <w:szCs w:val="20"/>
              </w:rPr>
            </w:pPr>
            <w:r w:rsidRPr="00DE548A">
              <w:rPr>
                <w:sz w:val="20"/>
                <w:szCs w:val="20"/>
              </w:rPr>
              <w:t xml:space="preserve">Згідно чинного екологічного законодавства породи розкриву, </w:t>
            </w:r>
            <w:proofErr w:type="spellStart"/>
            <w:r w:rsidRPr="00DE548A">
              <w:rPr>
                <w:sz w:val="20"/>
                <w:szCs w:val="20"/>
              </w:rPr>
              <w:t>заскладовані</w:t>
            </w:r>
            <w:proofErr w:type="spellEnd"/>
            <w:r w:rsidRPr="00DE548A">
              <w:rPr>
                <w:sz w:val="20"/>
                <w:szCs w:val="20"/>
              </w:rPr>
              <w:t xml:space="preserve"> у відвали, класифікуються як промислові відходи та повинні бути максимально утилізованими. В більшості випадків їх можливо використовувати в якості будівельних матеріалів, на які тимчасово виникає незначний попит.  Для виконання цих вимог </w:t>
            </w:r>
            <w:proofErr w:type="spellStart"/>
            <w:r w:rsidRPr="00DE548A">
              <w:rPr>
                <w:sz w:val="20"/>
                <w:szCs w:val="20"/>
              </w:rPr>
              <w:t>надрокористувач</w:t>
            </w:r>
            <w:proofErr w:type="spellEnd"/>
            <w:r w:rsidRPr="00DE548A">
              <w:rPr>
                <w:sz w:val="20"/>
                <w:szCs w:val="20"/>
              </w:rPr>
              <w:t xml:space="preserve"> повинен вживати заходів по переробці порід розкриву та передачі їх третім особам. Згідно законодавства про надра гірські породи, навіть </w:t>
            </w:r>
            <w:proofErr w:type="spellStart"/>
            <w:r w:rsidRPr="00DE548A">
              <w:rPr>
                <w:sz w:val="20"/>
                <w:szCs w:val="20"/>
              </w:rPr>
              <w:t>заскладовані</w:t>
            </w:r>
            <w:proofErr w:type="spellEnd"/>
            <w:r w:rsidRPr="00DE548A">
              <w:rPr>
                <w:sz w:val="20"/>
                <w:szCs w:val="20"/>
              </w:rPr>
              <w:t xml:space="preserve"> у відвали</w:t>
            </w:r>
            <w:r w:rsidRPr="00DE548A">
              <w:rPr>
                <w:sz w:val="20"/>
                <w:szCs w:val="20"/>
                <w:lang w:val="ru-RU"/>
              </w:rPr>
              <w:t>,</w:t>
            </w:r>
            <w:r w:rsidRPr="00DE548A">
              <w:rPr>
                <w:sz w:val="20"/>
                <w:szCs w:val="20"/>
              </w:rPr>
              <w:t xml:space="preserve"> вважаються надрами. Для розпорядження надрами потрібен спеціальний дозвіл на користування надрами, який отримується за умов виконання </w:t>
            </w:r>
            <w:r w:rsidR="000C2471" w:rsidRPr="00DE548A">
              <w:rPr>
                <w:sz w:val="20"/>
                <w:szCs w:val="20"/>
              </w:rPr>
              <w:t>геолого економічної</w:t>
            </w:r>
            <w:r w:rsidRPr="00DE548A">
              <w:rPr>
                <w:sz w:val="20"/>
                <w:szCs w:val="20"/>
              </w:rPr>
              <w:t xml:space="preserve"> оцінки та затвердження запасів корисних копалин. Поводження з відходами (розкривними породами)  для підприємств є збитковим, а отримання спеціального дозволу на користування надрами призводить до значних додаткових витрат (1-100 млн. грн.). Для затвердження запасів корисних копалин потрібен позитивний економічний ефект від їх реалізації, а з розкривними породами він виходить від’ємний. За таких умов отримання спеціальних дозволів на користування розкривними породами неможливе. З наведеного вище простежується неузгодження вимог законодавства про надра та екологічного</w:t>
            </w:r>
            <w:r w:rsidR="00E5380C" w:rsidRPr="00E5380C">
              <w:rPr>
                <w:sz w:val="20"/>
                <w:szCs w:val="20"/>
                <w:lang w:val="ru-RU"/>
              </w:rPr>
              <w:t xml:space="preserve"> </w:t>
            </w:r>
            <w:r w:rsidR="00E5380C">
              <w:rPr>
                <w:sz w:val="20"/>
                <w:szCs w:val="20"/>
              </w:rPr>
              <w:t>законодавства</w:t>
            </w:r>
            <w:r w:rsidRPr="00DE548A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76FFF" w14:textId="0129496C" w:rsidR="00B02C54" w:rsidRPr="00DE548A" w:rsidRDefault="00B02C54" w:rsidP="003062AC">
            <w:pPr>
              <w:pStyle w:val="NormalWeb"/>
              <w:spacing w:before="0" w:beforeAutospacing="0" w:after="0" w:afterAutospacing="0" w:line="256" w:lineRule="auto"/>
              <w:ind w:left="156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DE548A">
              <w:rPr>
                <w:sz w:val="20"/>
                <w:szCs w:val="20"/>
                <w:lang w:val="uk-UA"/>
              </w:rPr>
              <w:t>Узгодити вимоги екологічного законодавства та законодавства  про надра та дозволити розпоряджатися розкривними породами як з відходами, згідно екологічного законодавства.</w:t>
            </w:r>
          </w:p>
        </w:tc>
      </w:tr>
    </w:tbl>
    <w:p w14:paraId="77EA52C9" w14:textId="77777777" w:rsidR="00480086" w:rsidRPr="00DE548A" w:rsidRDefault="00480086" w:rsidP="00480086">
      <w:pPr>
        <w:rPr>
          <w:rFonts w:asciiTheme="minorHAnsi" w:hAnsiTheme="minorHAnsi" w:cstheme="minorBidi"/>
          <w:sz w:val="20"/>
          <w:szCs w:val="20"/>
        </w:rPr>
      </w:pPr>
    </w:p>
    <w:sectPr w:rsidR="00480086" w:rsidRPr="00DE548A" w:rsidSect="00B02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60" w:right="728" w:bottom="567" w:left="180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B78D" w14:textId="77777777" w:rsidR="00F34DDF" w:rsidRDefault="00F34DDF">
      <w:r>
        <w:separator/>
      </w:r>
    </w:p>
  </w:endnote>
  <w:endnote w:type="continuationSeparator" w:id="0">
    <w:p w14:paraId="20B16112" w14:textId="77777777" w:rsidR="00F34DDF" w:rsidRDefault="00F3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FAE7" w14:textId="77777777" w:rsidR="00670540" w:rsidRDefault="0067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50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4ACEB" w14:textId="32363514" w:rsidR="002C2A80" w:rsidRDefault="002C2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F26499" w14:textId="77777777" w:rsidR="00B57472" w:rsidRPr="005F4AD6" w:rsidRDefault="009D161C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1604" w14:textId="77777777" w:rsidR="00670540" w:rsidRDefault="0067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6147" w14:textId="77777777" w:rsidR="00F34DDF" w:rsidRDefault="00F34DDF">
      <w:r>
        <w:separator/>
      </w:r>
    </w:p>
  </w:footnote>
  <w:footnote w:type="continuationSeparator" w:id="0">
    <w:p w14:paraId="7C1F24C6" w14:textId="77777777" w:rsidR="00F34DDF" w:rsidRDefault="00F3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D58C" w14:textId="77777777" w:rsidR="00670540" w:rsidRDefault="0067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538836"/>
      <w:docPartObj>
        <w:docPartGallery w:val="Watermarks"/>
        <w:docPartUnique/>
      </w:docPartObj>
    </w:sdtPr>
    <w:sdtEndPr/>
    <w:sdtContent>
      <w:p w14:paraId="11048033" w14:textId="351698EB" w:rsidR="00670540" w:rsidRDefault="009D161C">
        <w:pPr>
          <w:pStyle w:val="Header"/>
        </w:pPr>
        <w:r>
          <w:rPr>
            <w:noProof/>
          </w:rPr>
          <w:pict w14:anchorId="783E90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AA53" w14:textId="77777777" w:rsidR="00670540" w:rsidRDefault="0067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6031"/>
    <w:multiLevelType w:val="hybridMultilevel"/>
    <w:tmpl w:val="D980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1967"/>
    <w:multiLevelType w:val="hybridMultilevel"/>
    <w:tmpl w:val="4D4A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BE8"/>
    <w:multiLevelType w:val="hybridMultilevel"/>
    <w:tmpl w:val="DE18C8FA"/>
    <w:lvl w:ilvl="0" w:tplc="0409000F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AB"/>
    <w:rsid w:val="00044FD9"/>
    <w:rsid w:val="00093F7A"/>
    <w:rsid w:val="000B3103"/>
    <w:rsid w:val="000C2471"/>
    <w:rsid w:val="000D6D7A"/>
    <w:rsid w:val="0015644C"/>
    <w:rsid w:val="00234E26"/>
    <w:rsid w:val="002528DD"/>
    <w:rsid w:val="002C2A80"/>
    <w:rsid w:val="003062AC"/>
    <w:rsid w:val="00310B64"/>
    <w:rsid w:val="003254D6"/>
    <w:rsid w:val="00351366"/>
    <w:rsid w:val="003A1683"/>
    <w:rsid w:val="003A204F"/>
    <w:rsid w:val="003B2C53"/>
    <w:rsid w:val="003F7413"/>
    <w:rsid w:val="00412312"/>
    <w:rsid w:val="004303E1"/>
    <w:rsid w:val="00480086"/>
    <w:rsid w:val="00512DF7"/>
    <w:rsid w:val="006377AB"/>
    <w:rsid w:val="00651D9E"/>
    <w:rsid w:val="00660AD8"/>
    <w:rsid w:val="00670540"/>
    <w:rsid w:val="00680401"/>
    <w:rsid w:val="007908F5"/>
    <w:rsid w:val="00893414"/>
    <w:rsid w:val="008D56F2"/>
    <w:rsid w:val="00925B87"/>
    <w:rsid w:val="00954508"/>
    <w:rsid w:val="009D161C"/>
    <w:rsid w:val="009D4121"/>
    <w:rsid w:val="009F18D6"/>
    <w:rsid w:val="00A34199"/>
    <w:rsid w:val="00A81638"/>
    <w:rsid w:val="00A81CC0"/>
    <w:rsid w:val="00AC5DA3"/>
    <w:rsid w:val="00B02C54"/>
    <w:rsid w:val="00B613AC"/>
    <w:rsid w:val="00B94993"/>
    <w:rsid w:val="00BB54CF"/>
    <w:rsid w:val="00CA6555"/>
    <w:rsid w:val="00D339E4"/>
    <w:rsid w:val="00D70109"/>
    <w:rsid w:val="00DE548A"/>
    <w:rsid w:val="00DF1674"/>
    <w:rsid w:val="00DF4CB9"/>
    <w:rsid w:val="00E30A12"/>
    <w:rsid w:val="00E5380C"/>
    <w:rsid w:val="00EB7D3C"/>
    <w:rsid w:val="00F06041"/>
    <w:rsid w:val="00F26817"/>
    <w:rsid w:val="00F34DDF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341705"/>
  <w15:chartTrackingRefBased/>
  <w15:docId w15:val="{B0F2E5A9-3225-46BB-8C01-E9A28EF8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7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377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6377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6377AB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59"/>
    <w:rsid w:val="0048008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4E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4E26"/>
    <w:pPr>
      <w:spacing w:before="100" w:beforeAutospacing="1" w:after="100" w:afterAutospacing="1"/>
    </w:pPr>
    <w:rPr>
      <w:rFonts w:eastAsiaTheme="minorHAnsi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5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44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44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4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12</cp:revision>
  <dcterms:created xsi:type="dcterms:W3CDTF">2017-09-20T08:01:00Z</dcterms:created>
  <dcterms:modified xsi:type="dcterms:W3CDTF">2017-09-20T08:55:00Z</dcterms:modified>
</cp:coreProperties>
</file>