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250"/>
        <w:gridCol w:w="4500"/>
        <w:gridCol w:w="4860"/>
        <w:gridCol w:w="3420"/>
      </w:tblGrid>
      <w:tr w:rsidR="004258F1" w:rsidTr="008A1E08">
        <w:tc>
          <w:tcPr>
            <w:tcW w:w="15457" w:type="dxa"/>
            <w:gridSpan w:val="5"/>
            <w:shd w:val="clear" w:color="auto" w:fill="auto"/>
          </w:tcPr>
          <w:p w:rsidR="004258F1" w:rsidRPr="004258F1" w:rsidRDefault="004258F1" w:rsidP="004258F1">
            <w:pPr>
              <w:jc w:val="center"/>
            </w:pPr>
            <w:r w:rsidRPr="004258F1">
              <w:t>Пропозиції щодо концепції впровадження конкурентних механізмів ціноутворення</w:t>
            </w:r>
          </w:p>
          <w:p w:rsidR="004258F1" w:rsidRPr="004258F1" w:rsidRDefault="004258F1" w:rsidP="0068129F">
            <w:pPr>
              <w:jc w:val="center"/>
            </w:pPr>
            <w:r w:rsidRPr="004258F1">
              <w:t>на електроенергію з ВДЕ</w:t>
            </w:r>
          </w:p>
          <w:p w:rsidR="004258F1" w:rsidRPr="00945168" w:rsidRDefault="004258F1" w:rsidP="0068129F">
            <w:pPr>
              <w:jc w:val="center"/>
            </w:pPr>
          </w:p>
        </w:tc>
      </w:tr>
      <w:tr w:rsidR="00095CDB" w:rsidTr="004258F1">
        <w:tc>
          <w:tcPr>
            <w:tcW w:w="427" w:type="dxa"/>
            <w:shd w:val="clear" w:color="auto" w:fill="auto"/>
          </w:tcPr>
          <w:p w:rsidR="00095CDB" w:rsidRDefault="00095CDB" w:rsidP="0068129F"/>
        </w:tc>
        <w:tc>
          <w:tcPr>
            <w:tcW w:w="2250" w:type="dxa"/>
            <w:shd w:val="clear" w:color="auto" w:fill="auto"/>
          </w:tcPr>
          <w:p w:rsidR="00095CDB" w:rsidRPr="004258F1" w:rsidRDefault="00095CDB" w:rsidP="0068129F">
            <w:pPr>
              <w:jc w:val="center"/>
              <w:rPr>
                <w:b/>
                <w:sz w:val="22"/>
                <w:szCs w:val="22"/>
              </w:rPr>
            </w:pPr>
            <w:r w:rsidRPr="004258F1">
              <w:rPr>
                <w:b/>
                <w:sz w:val="22"/>
                <w:szCs w:val="22"/>
              </w:rPr>
              <w:t>Теза концепції</w:t>
            </w:r>
          </w:p>
        </w:tc>
        <w:tc>
          <w:tcPr>
            <w:tcW w:w="4500" w:type="dxa"/>
            <w:shd w:val="clear" w:color="auto" w:fill="auto"/>
          </w:tcPr>
          <w:p w:rsidR="00095CDB" w:rsidRPr="004258F1" w:rsidRDefault="00095CDB" w:rsidP="0068129F">
            <w:pPr>
              <w:jc w:val="center"/>
              <w:rPr>
                <w:b/>
                <w:sz w:val="22"/>
                <w:szCs w:val="22"/>
                <w:lang w:val="ru-RU"/>
              </w:rPr>
            </w:pPr>
            <w:r w:rsidRPr="004258F1">
              <w:rPr>
                <w:b/>
                <w:sz w:val="22"/>
                <w:szCs w:val="22"/>
              </w:rPr>
              <w:t>Позиція</w:t>
            </w:r>
            <w:r w:rsidR="004258F1" w:rsidRPr="004258F1">
              <w:rPr>
                <w:b/>
                <w:sz w:val="22"/>
                <w:szCs w:val="22"/>
                <w:lang w:val="ru-RU"/>
              </w:rPr>
              <w:t xml:space="preserve"> 1 </w:t>
            </w:r>
            <w:r w:rsidR="004258F1" w:rsidRPr="004258F1">
              <w:rPr>
                <w:b/>
                <w:sz w:val="22"/>
                <w:szCs w:val="22"/>
              </w:rPr>
              <w:t>(к</w:t>
            </w:r>
            <w:r w:rsidRPr="004258F1">
              <w:rPr>
                <w:b/>
                <w:sz w:val="22"/>
                <w:szCs w:val="22"/>
              </w:rPr>
              <w:t>оментар</w:t>
            </w:r>
            <w:r w:rsidR="004258F1" w:rsidRPr="004258F1">
              <w:rPr>
                <w:b/>
                <w:sz w:val="22"/>
                <w:szCs w:val="22"/>
              </w:rPr>
              <w:t>)</w:t>
            </w:r>
            <w:r w:rsidRPr="004258F1">
              <w:rPr>
                <w:b/>
                <w:sz w:val="22"/>
                <w:szCs w:val="22"/>
              </w:rPr>
              <w:t xml:space="preserve"> компанії - члена Палати</w:t>
            </w:r>
          </w:p>
        </w:tc>
        <w:tc>
          <w:tcPr>
            <w:tcW w:w="4860" w:type="dxa"/>
            <w:shd w:val="clear" w:color="auto" w:fill="auto"/>
          </w:tcPr>
          <w:p w:rsidR="00095CDB" w:rsidRPr="004258F1" w:rsidRDefault="004258F1" w:rsidP="0068129F">
            <w:pPr>
              <w:jc w:val="center"/>
              <w:rPr>
                <w:b/>
                <w:sz w:val="22"/>
                <w:szCs w:val="22"/>
                <w:lang w:val="ru-RU"/>
              </w:rPr>
            </w:pPr>
            <w:r w:rsidRPr="004258F1">
              <w:rPr>
                <w:b/>
                <w:sz w:val="22"/>
                <w:szCs w:val="22"/>
              </w:rPr>
              <w:t>Позиція</w:t>
            </w:r>
            <w:r w:rsidRPr="004258F1">
              <w:rPr>
                <w:b/>
                <w:sz w:val="22"/>
                <w:szCs w:val="22"/>
                <w:lang w:val="ru-RU"/>
              </w:rPr>
              <w:t xml:space="preserve"> </w:t>
            </w:r>
            <w:r w:rsidRPr="004258F1">
              <w:rPr>
                <w:b/>
                <w:sz w:val="22"/>
                <w:szCs w:val="22"/>
                <w:lang w:val="ru-RU"/>
              </w:rPr>
              <w:t>2</w:t>
            </w:r>
            <w:r w:rsidRPr="004258F1">
              <w:rPr>
                <w:b/>
                <w:sz w:val="22"/>
                <w:szCs w:val="22"/>
                <w:lang w:val="ru-RU"/>
              </w:rPr>
              <w:t xml:space="preserve"> </w:t>
            </w:r>
            <w:r w:rsidRPr="004258F1">
              <w:rPr>
                <w:b/>
                <w:sz w:val="22"/>
                <w:szCs w:val="22"/>
              </w:rPr>
              <w:t xml:space="preserve">(коментар) </w:t>
            </w:r>
            <w:r w:rsidR="00095CDB" w:rsidRPr="004258F1">
              <w:rPr>
                <w:b/>
                <w:sz w:val="22"/>
                <w:szCs w:val="22"/>
              </w:rPr>
              <w:t>компанії - члена Палати</w:t>
            </w:r>
          </w:p>
        </w:tc>
        <w:tc>
          <w:tcPr>
            <w:tcW w:w="3420" w:type="dxa"/>
          </w:tcPr>
          <w:p w:rsidR="00095CDB" w:rsidRPr="004258F1" w:rsidRDefault="004258F1" w:rsidP="0068129F">
            <w:pPr>
              <w:jc w:val="center"/>
              <w:rPr>
                <w:b/>
                <w:sz w:val="22"/>
                <w:szCs w:val="22"/>
              </w:rPr>
            </w:pPr>
            <w:r w:rsidRPr="004258F1">
              <w:rPr>
                <w:b/>
                <w:sz w:val="22"/>
                <w:szCs w:val="22"/>
              </w:rPr>
              <w:t>Позиція</w:t>
            </w:r>
            <w:r w:rsidRPr="004258F1">
              <w:rPr>
                <w:b/>
                <w:sz w:val="22"/>
                <w:szCs w:val="22"/>
                <w:lang w:val="ru-RU"/>
              </w:rPr>
              <w:t xml:space="preserve"> </w:t>
            </w:r>
            <w:r w:rsidRPr="004258F1">
              <w:rPr>
                <w:b/>
                <w:sz w:val="22"/>
                <w:szCs w:val="22"/>
                <w:lang w:val="ru-RU"/>
              </w:rPr>
              <w:t>3</w:t>
            </w:r>
            <w:r w:rsidRPr="004258F1">
              <w:rPr>
                <w:b/>
                <w:sz w:val="22"/>
                <w:szCs w:val="22"/>
                <w:lang w:val="ru-RU"/>
              </w:rPr>
              <w:t xml:space="preserve"> </w:t>
            </w:r>
            <w:r w:rsidRPr="004258F1">
              <w:rPr>
                <w:b/>
                <w:sz w:val="22"/>
                <w:szCs w:val="22"/>
              </w:rPr>
              <w:t>(коментар) компанії - члена Палати</w:t>
            </w:r>
          </w:p>
        </w:tc>
      </w:tr>
      <w:tr w:rsidR="00095CDB" w:rsidRPr="004258F1" w:rsidTr="004258F1">
        <w:tc>
          <w:tcPr>
            <w:tcW w:w="427" w:type="dxa"/>
            <w:shd w:val="clear" w:color="auto" w:fill="auto"/>
          </w:tcPr>
          <w:p w:rsidR="00095CDB" w:rsidRPr="004258F1" w:rsidRDefault="00095CDB" w:rsidP="00095CDB">
            <w:pPr>
              <w:numPr>
                <w:ilvl w:val="0"/>
                <w:numId w:val="7"/>
              </w:numPr>
              <w:ind w:hanging="738"/>
              <w:jc w:val="both"/>
              <w:rPr>
                <w:sz w:val="20"/>
                <w:szCs w:val="20"/>
              </w:rPr>
            </w:pPr>
          </w:p>
        </w:tc>
        <w:tc>
          <w:tcPr>
            <w:tcW w:w="2250" w:type="dxa"/>
            <w:shd w:val="clear" w:color="auto" w:fill="auto"/>
          </w:tcPr>
          <w:p w:rsidR="00095CDB" w:rsidRPr="004258F1" w:rsidRDefault="00095CDB" w:rsidP="0068129F">
            <w:pPr>
              <w:rPr>
                <w:sz w:val="20"/>
                <w:szCs w:val="20"/>
              </w:rPr>
            </w:pPr>
            <w:r w:rsidRPr="004258F1">
              <w:rPr>
                <w:sz w:val="20"/>
                <w:szCs w:val="20"/>
              </w:rPr>
              <w:t>Закон не буде змінюватись ретроспективно.</w:t>
            </w:r>
          </w:p>
        </w:tc>
        <w:tc>
          <w:tcPr>
            <w:tcW w:w="4500" w:type="dxa"/>
            <w:shd w:val="clear" w:color="auto" w:fill="auto"/>
          </w:tcPr>
          <w:p w:rsidR="00095CDB" w:rsidRPr="004258F1" w:rsidRDefault="00095CDB" w:rsidP="0068129F">
            <w:pPr>
              <w:jc w:val="both"/>
              <w:rPr>
                <w:sz w:val="20"/>
                <w:szCs w:val="20"/>
              </w:rPr>
            </w:pPr>
            <w:r w:rsidRPr="004258F1">
              <w:rPr>
                <w:sz w:val="20"/>
                <w:szCs w:val="20"/>
              </w:rPr>
              <w:t xml:space="preserve">Погоджуємось. </w:t>
            </w:r>
          </w:p>
          <w:p w:rsidR="00095CDB" w:rsidRPr="004258F1" w:rsidRDefault="00095CDB" w:rsidP="0068129F">
            <w:pPr>
              <w:jc w:val="both"/>
              <w:rPr>
                <w:sz w:val="20"/>
                <w:szCs w:val="20"/>
              </w:rPr>
            </w:pPr>
            <w:r w:rsidRPr="004258F1">
              <w:rPr>
                <w:sz w:val="20"/>
                <w:szCs w:val="20"/>
              </w:rPr>
              <w:t>Проте, варто враховувати, що наразі в компаній є проекти на ринку, над реалізацією яких вони працюють і куди вони вклали капітал відповідно до правил, чинних на даний момент. Поточним проектам слід дати розумно обґрунтований час на завершення їхньої реалізації відповідно до діючих на сьогодні правил для того, щоб:</w:t>
            </w:r>
          </w:p>
          <w:p w:rsidR="00095CDB" w:rsidRPr="004258F1" w:rsidRDefault="00095CDB" w:rsidP="00095CDB">
            <w:pPr>
              <w:numPr>
                <w:ilvl w:val="0"/>
                <w:numId w:val="1"/>
              </w:numPr>
              <w:ind w:left="252" w:hanging="252"/>
              <w:jc w:val="both"/>
              <w:rPr>
                <w:sz w:val="20"/>
                <w:szCs w:val="20"/>
              </w:rPr>
            </w:pPr>
            <w:r w:rsidRPr="004258F1">
              <w:rPr>
                <w:sz w:val="20"/>
                <w:szCs w:val="20"/>
              </w:rPr>
              <w:t xml:space="preserve">запобігти ситуації внесення </w:t>
            </w:r>
            <w:proofErr w:type="spellStart"/>
            <w:r w:rsidRPr="004258F1">
              <w:rPr>
                <w:sz w:val="20"/>
                <w:szCs w:val="20"/>
              </w:rPr>
              <w:t>необгрунтованих</w:t>
            </w:r>
            <w:proofErr w:type="spellEnd"/>
            <w:r w:rsidRPr="004258F1">
              <w:rPr>
                <w:sz w:val="20"/>
                <w:szCs w:val="20"/>
              </w:rPr>
              <w:t xml:space="preserve"> та невиправданих змін до правил;</w:t>
            </w:r>
          </w:p>
          <w:p w:rsidR="00095CDB" w:rsidRPr="004258F1" w:rsidRDefault="00095CDB" w:rsidP="00095CDB">
            <w:pPr>
              <w:numPr>
                <w:ilvl w:val="0"/>
                <w:numId w:val="1"/>
              </w:numPr>
              <w:ind w:left="252" w:hanging="252"/>
              <w:jc w:val="both"/>
              <w:rPr>
                <w:sz w:val="20"/>
                <w:szCs w:val="20"/>
              </w:rPr>
            </w:pPr>
            <w:r w:rsidRPr="004258F1">
              <w:rPr>
                <w:sz w:val="20"/>
                <w:szCs w:val="20"/>
              </w:rPr>
              <w:t>запобігти погіршенню національному інвестиційному клімату.</w:t>
            </w:r>
          </w:p>
          <w:p w:rsidR="00095CDB" w:rsidRPr="004258F1" w:rsidRDefault="00095CDB" w:rsidP="00095CDB">
            <w:pPr>
              <w:jc w:val="both"/>
              <w:rPr>
                <w:sz w:val="20"/>
                <w:szCs w:val="20"/>
              </w:rPr>
            </w:pPr>
          </w:p>
          <w:p w:rsidR="00095CDB" w:rsidRPr="004258F1" w:rsidRDefault="00095CDB" w:rsidP="00095CDB">
            <w:pPr>
              <w:jc w:val="both"/>
              <w:rPr>
                <w:sz w:val="20"/>
                <w:szCs w:val="20"/>
              </w:rPr>
            </w:pPr>
            <w:r w:rsidRPr="004258F1">
              <w:rPr>
                <w:sz w:val="20"/>
                <w:szCs w:val="20"/>
              </w:rPr>
              <w:t>Мінімальний перехідний період повинен становити 2 роки для сонячної та 3 роки для вітрової енергетики.</w:t>
            </w:r>
          </w:p>
        </w:tc>
        <w:tc>
          <w:tcPr>
            <w:tcW w:w="4860" w:type="dxa"/>
            <w:shd w:val="clear" w:color="auto" w:fill="auto"/>
          </w:tcPr>
          <w:p w:rsidR="00095CDB" w:rsidRPr="004258F1" w:rsidRDefault="004258F1" w:rsidP="0068129F">
            <w:pPr>
              <w:rPr>
                <w:sz w:val="20"/>
                <w:szCs w:val="20"/>
              </w:rPr>
            </w:pPr>
            <w:r w:rsidRPr="004258F1">
              <w:rPr>
                <w:sz w:val="20"/>
                <w:szCs w:val="20"/>
              </w:rPr>
              <w:t>Погоджуємось з позицією 1.</w:t>
            </w:r>
          </w:p>
        </w:tc>
        <w:tc>
          <w:tcPr>
            <w:tcW w:w="3420" w:type="dxa"/>
          </w:tcPr>
          <w:p w:rsidR="00095CDB" w:rsidRPr="004258F1" w:rsidRDefault="009B6221" w:rsidP="0068129F">
            <w:pPr>
              <w:rPr>
                <w:sz w:val="20"/>
                <w:szCs w:val="20"/>
              </w:rPr>
            </w:pPr>
            <w:r w:rsidRPr="004258F1">
              <w:rPr>
                <w:sz w:val="20"/>
                <w:szCs w:val="20"/>
              </w:rPr>
              <w:t>Погоджуємось з позицією 1.</w:t>
            </w:r>
          </w:p>
        </w:tc>
      </w:tr>
      <w:tr w:rsidR="00095CDB" w:rsidRPr="004258F1" w:rsidTr="004258F1">
        <w:tc>
          <w:tcPr>
            <w:tcW w:w="427" w:type="dxa"/>
            <w:shd w:val="clear" w:color="auto" w:fill="auto"/>
          </w:tcPr>
          <w:p w:rsidR="00095CDB" w:rsidRPr="004258F1" w:rsidRDefault="00095CDB" w:rsidP="00095CDB">
            <w:pPr>
              <w:numPr>
                <w:ilvl w:val="0"/>
                <w:numId w:val="7"/>
              </w:numPr>
              <w:ind w:hanging="738"/>
              <w:jc w:val="both"/>
              <w:rPr>
                <w:sz w:val="20"/>
                <w:szCs w:val="20"/>
              </w:rPr>
            </w:pPr>
          </w:p>
        </w:tc>
        <w:tc>
          <w:tcPr>
            <w:tcW w:w="2250" w:type="dxa"/>
            <w:shd w:val="clear" w:color="auto" w:fill="auto"/>
          </w:tcPr>
          <w:p w:rsidR="00095CDB" w:rsidRPr="004258F1" w:rsidRDefault="00095CDB" w:rsidP="0068129F">
            <w:pPr>
              <w:rPr>
                <w:sz w:val="20"/>
                <w:szCs w:val="20"/>
              </w:rPr>
            </w:pPr>
            <w:r w:rsidRPr="004258F1">
              <w:rPr>
                <w:sz w:val="20"/>
                <w:szCs w:val="20"/>
              </w:rPr>
              <w:t>Дата впровадження 01.01.2019 року.</w:t>
            </w:r>
          </w:p>
        </w:tc>
        <w:tc>
          <w:tcPr>
            <w:tcW w:w="4500" w:type="dxa"/>
            <w:shd w:val="clear" w:color="auto" w:fill="auto"/>
          </w:tcPr>
          <w:p w:rsidR="00095CDB" w:rsidRPr="004258F1" w:rsidRDefault="00095CDB" w:rsidP="0068129F">
            <w:pPr>
              <w:rPr>
                <w:sz w:val="20"/>
                <w:szCs w:val="20"/>
                <w:lang w:val="ru-RU"/>
              </w:rPr>
            </w:pPr>
            <w:r w:rsidRPr="004258F1">
              <w:rPr>
                <w:sz w:val="20"/>
                <w:szCs w:val="20"/>
              </w:rPr>
              <w:t xml:space="preserve">У концепції ВДЕ пропонується, щоб законодавство вступило в силу через 12 місяців після прийняття законодавства про аукціони. Експерти компаній-членів вважають, що прийняттю первинного законодавства повинен передувати продуманий та </w:t>
            </w:r>
            <w:proofErr w:type="spellStart"/>
            <w:r w:rsidRPr="004258F1">
              <w:rPr>
                <w:sz w:val="20"/>
                <w:szCs w:val="20"/>
              </w:rPr>
              <w:t>обгрунтований</w:t>
            </w:r>
            <w:proofErr w:type="spellEnd"/>
            <w:r w:rsidRPr="004258F1">
              <w:rPr>
                <w:sz w:val="20"/>
                <w:szCs w:val="20"/>
              </w:rPr>
              <w:t xml:space="preserve"> порядок розробки та затвердження підзаконних актів. Зокрема, Закон України «Про ринок електричної енергії України» передбачає перехідний період для реформування ринку електроенергетики.</w:t>
            </w:r>
          </w:p>
          <w:p w:rsidR="00095CDB" w:rsidRPr="004258F1" w:rsidRDefault="00095CDB" w:rsidP="0068129F">
            <w:pPr>
              <w:rPr>
                <w:sz w:val="20"/>
                <w:szCs w:val="20"/>
                <w:lang w:val="ru-RU"/>
              </w:rPr>
            </w:pPr>
            <w:r w:rsidRPr="004258F1">
              <w:rPr>
                <w:sz w:val="20"/>
                <w:szCs w:val="20"/>
                <w:lang w:val="ru-RU"/>
              </w:rPr>
              <w:t>Р</w:t>
            </w:r>
            <w:proofErr w:type="spellStart"/>
            <w:r w:rsidRPr="004258F1">
              <w:rPr>
                <w:sz w:val="20"/>
                <w:szCs w:val="20"/>
              </w:rPr>
              <w:t>аціональний</w:t>
            </w:r>
            <w:proofErr w:type="spellEnd"/>
            <w:r w:rsidRPr="004258F1">
              <w:rPr>
                <w:sz w:val="20"/>
                <w:szCs w:val="20"/>
              </w:rPr>
              <w:t xml:space="preserve"> графік переходу до впровадження системи аукціонів, яка є одним з основних чинників кардинальних змін для ринку, </w:t>
            </w:r>
            <w:r w:rsidRPr="004258F1">
              <w:rPr>
                <w:sz w:val="20"/>
                <w:szCs w:val="20"/>
                <w:lang w:val="ru-RU"/>
              </w:rPr>
              <w:t xml:space="preserve">повинен </w:t>
            </w:r>
            <w:proofErr w:type="spellStart"/>
            <w:r w:rsidRPr="004258F1">
              <w:rPr>
                <w:sz w:val="20"/>
                <w:szCs w:val="20"/>
                <w:lang w:val="ru-RU"/>
              </w:rPr>
              <w:lastRenderedPageBreak/>
              <w:t>розглядатися</w:t>
            </w:r>
            <w:proofErr w:type="spellEnd"/>
            <w:r w:rsidRPr="004258F1">
              <w:rPr>
                <w:sz w:val="20"/>
                <w:szCs w:val="20"/>
                <w:lang w:val="ru-RU"/>
              </w:rPr>
              <w:t xml:space="preserve"> </w:t>
            </w:r>
            <w:r w:rsidRPr="004258F1">
              <w:rPr>
                <w:sz w:val="20"/>
                <w:szCs w:val="20"/>
              </w:rPr>
              <w:t>безпосередньо після внесення структурних змін законодавством з питань реформування ринку електроенергетики</w:t>
            </w:r>
            <w:r w:rsidRPr="004258F1">
              <w:rPr>
                <w:sz w:val="20"/>
                <w:szCs w:val="20"/>
                <w:lang w:val="ru-RU"/>
              </w:rPr>
              <w:t>.</w:t>
            </w:r>
          </w:p>
          <w:p w:rsidR="00095CDB" w:rsidRPr="004258F1" w:rsidRDefault="00095CDB" w:rsidP="0068129F">
            <w:pPr>
              <w:rPr>
                <w:sz w:val="20"/>
                <w:szCs w:val="20"/>
              </w:rPr>
            </w:pPr>
            <w:r w:rsidRPr="004258F1">
              <w:rPr>
                <w:sz w:val="20"/>
                <w:szCs w:val="20"/>
              </w:rPr>
              <w:t>Графік переходу дозволить</w:t>
            </w:r>
            <w:r w:rsidRPr="004258F1">
              <w:rPr>
                <w:sz w:val="20"/>
                <w:szCs w:val="20"/>
                <w:lang w:val="ru-RU"/>
              </w:rPr>
              <w:t>:</w:t>
            </w:r>
            <w:r w:rsidRPr="004258F1">
              <w:rPr>
                <w:sz w:val="20"/>
                <w:szCs w:val="20"/>
              </w:rPr>
              <w:t xml:space="preserve"> запровадити всі необхідні зміни на рівні підзаконних актів</w:t>
            </w:r>
            <w:r w:rsidRPr="004258F1">
              <w:rPr>
                <w:sz w:val="20"/>
                <w:szCs w:val="20"/>
                <w:lang w:val="ru-RU"/>
              </w:rPr>
              <w:t xml:space="preserve">; </w:t>
            </w:r>
            <w:r w:rsidRPr="004258F1">
              <w:rPr>
                <w:sz w:val="20"/>
                <w:szCs w:val="20"/>
              </w:rPr>
              <w:t>частково впровадити нове законодавство з питань реформування ринку електроенергетики до початку аукціонів</w:t>
            </w:r>
            <w:r w:rsidRPr="004258F1">
              <w:rPr>
                <w:sz w:val="20"/>
                <w:szCs w:val="20"/>
                <w:lang w:val="ru-RU"/>
              </w:rPr>
              <w:t xml:space="preserve">; </w:t>
            </w:r>
            <w:r w:rsidRPr="004258F1">
              <w:rPr>
                <w:sz w:val="20"/>
                <w:szCs w:val="20"/>
              </w:rPr>
              <w:t>встигнути</w:t>
            </w:r>
            <w:r w:rsidRPr="004258F1">
              <w:rPr>
                <w:sz w:val="20"/>
                <w:szCs w:val="20"/>
                <w:lang w:val="ru-RU"/>
              </w:rPr>
              <w:t xml:space="preserve"> </w:t>
            </w:r>
            <w:proofErr w:type="spellStart"/>
            <w:r w:rsidRPr="004258F1">
              <w:rPr>
                <w:sz w:val="20"/>
                <w:szCs w:val="20"/>
              </w:rPr>
              <w:t>енергопередавальній</w:t>
            </w:r>
            <w:proofErr w:type="spellEnd"/>
            <w:r w:rsidRPr="004258F1">
              <w:rPr>
                <w:sz w:val="20"/>
                <w:szCs w:val="20"/>
              </w:rPr>
              <w:t xml:space="preserve"> організації розробити план приєднання до енергосистеми для об'єктів сонячної і вітрової енергетики, щоб вони були повністю готові до початку аукціонів. </w:t>
            </w:r>
          </w:p>
          <w:p w:rsidR="004B0C8B" w:rsidRPr="004258F1" w:rsidRDefault="004B0C8B" w:rsidP="004B0C8B">
            <w:pPr>
              <w:numPr>
                <w:ilvl w:val="0"/>
                <w:numId w:val="2"/>
              </w:numPr>
              <w:tabs>
                <w:tab w:val="left" w:pos="252"/>
              </w:tabs>
              <w:ind w:left="0" w:hanging="18"/>
              <w:rPr>
                <w:sz w:val="20"/>
                <w:szCs w:val="20"/>
              </w:rPr>
            </w:pPr>
            <w:r w:rsidRPr="004258F1">
              <w:rPr>
                <w:sz w:val="20"/>
                <w:szCs w:val="20"/>
              </w:rPr>
              <w:t xml:space="preserve">Після прийняття законодавства стосовно аукціонів запровадити випробувальний період тривалістю 12 місяців, протягом якого аукціони будуть добровільними та проводитимуться раз на квартал. </w:t>
            </w:r>
          </w:p>
          <w:p w:rsidR="004B0C8B" w:rsidRPr="004258F1" w:rsidRDefault="004B0C8B" w:rsidP="004B0C8B">
            <w:pPr>
              <w:numPr>
                <w:ilvl w:val="0"/>
                <w:numId w:val="2"/>
              </w:numPr>
              <w:tabs>
                <w:tab w:val="left" w:pos="252"/>
              </w:tabs>
              <w:ind w:left="0" w:hanging="18"/>
              <w:rPr>
                <w:sz w:val="20"/>
                <w:szCs w:val="20"/>
              </w:rPr>
            </w:pPr>
            <w:r w:rsidRPr="004258F1">
              <w:rPr>
                <w:sz w:val="20"/>
                <w:szCs w:val="20"/>
              </w:rPr>
              <w:t xml:space="preserve">Протягом цього часу провести тестування  обох «продуктів» аукціонів – «єдиного вікна» та «варіантів приєднання до енергосистеми». </w:t>
            </w:r>
          </w:p>
          <w:p w:rsidR="004B0C8B" w:rsidRPr="004258F1" w:rsidRDefault="004B0C8B" w:rsidP="004B0C8B">
            <w:pPr>
              <w:numPr>
                <w:ilvl w:val="0"/>
                <w:numId w:val="2"/>
              </w:numPr>
              <w:tabs>
                <w:tab w:val="left" w:pos="252"/>
              </w:tabs>
              <w:ind w:left="0" w:hanging="18"/>
              <w:rPr>
                <w:sz w:val="20"/>
                <w:szCs w:val="20"/>
              </w:rPr>
            </w:pPr>
            <w:r w:rsidRPr="004258F1">
              <w:rPr>
                <w:sz w:val="20"/>
                <w:szCs w:val="20"/>
              </w:rPr>
              <w:t xml:space="preserve">Оптимізація процесу аукціонів може бути впроваджена на підставі практичних результатів, досягнутих під час проведення добровільних аукціонів.  </w:t>
            </w:r>
          </w:p>
          <w:p w:rsidR="004B0C8B" w:rsidRPr="004258F1" w:rsidRDefault="004B0C8B" w:rsidP="004B0C8B">
            <w:pPr>
              <w:rPr>
                <w:sz w:val="20"/>
                <w:szCs w:val="20"/>
              </w:rPr>
            </w:pPr>
            <w:r w:rsidRPr="004258F1">
              <w:rPr>
                <w:sz w:val="20"/>
                <w:szCs w:val="20"/>
              </w:rPr>
              <w:t>На 3-й рік проведення аукціонів мають стати обов'язковими аукціони для сонячної енергетики, на 4-й рік - для вітрової.</w:t>
            </w:r>
          </w:p>
        </w:tc>
        <w:tc>
          <w:tcPr>
            <w:tcW w:w="4860" w:type="dxa"/>
            <w:shd w:val="clear" w:color="auto" w:fill="auto"/>
          </w:tcPr>
          <w:p w:rsidR="004258F1" w:rsidRDefault="004258F1" w:rsidP="004258F1">
            <w:pPr>
              <w:rPr>
                <w:sz w:val="20"/>
                <w:szCs w:val="20"/>
              </w:rPr>
            </w:pPr>
            <w:r w:rsidRPr="004258F1">
              <w:rPr>
                <w:sz w:val="20"/>
                <w:szCs w:val="20"/>
              </w:rPr>
              <w:lastRenderedPageBreak/>
              <w:t xml:space="preserve">Тут слід дати визначення терміну «дата впровадження». Пропонуємо </w:t>
            </w:r>
            <w:r w:rsidRPr="004258F1">
              <w:rPr>
                <w:b/>
                <w:bCs/>
                <w:sz w:val="20"/>
                <w:szCs w:val="20"/>
              </w:rPr>
              <w:t>«</w:t>
            </w:r>
            <w:r w:rsidRPr="004258F1">
              <w:rPr>
                <w:b/>
                <w:bCs/>
                <w:sz w:val="20"/>
                <w:szCs w:val="20"/>
                <w:u w:val="single"/>
              </w:rPr>
              <w:t>датою впровадження</w:t>
            </w:r>
            <w:r w:rsidRPr="004258F1">
              <w:rPr>
                <w:b/>
                <w:bCs/>
                <w:sz w:val="20"/>
                <w:szCs w:val="20"/>
              </w:rPr>
              <w:t>» (в цілях даного листа) вважати дату проведення перших аукціонів. У такому тлумаченні ми можемо погодитись, що така дата може наступити не раніше 9-12 місяців після прийняття змін до існуючого законодавства</w:t>
            </w:r>
            <w:r w:rsidRPr="004258F1">
              <w:rPr>
                <w:sz w:val="20"/>
                <w:szCs w:val="20"/>
              </w:rPr>
              <w:t>, що будуть встановлювати новий механізм підтримко ВДЕ (аукціони).</w:t>
            </w:r>
          </w:p>
          <w:p w:rsidR="004258F1" w:rsidRPr="004258F1" w:rsidRDefault="004258F1" w:rsidP="004258F1">
            <w:pPr>
              <w:rPr>
                <w:sz w:val="20"/>
                <w:szCs w:val="20"/>
                <w:lang w:eastAsia="en-US"/>
              </w:rPr>
            </w:pPr>
          </w:p>
          <w:p w:rsidR="004258F1" w:rsidRPr="004258F1" w:rsidRDefault="004258F1" w:rsidP="004258F1">
            <w:pPr>
              <w:rPr>
                <w:rFonts w:ascii="Calibri" w:hAnsi="Calibri" w:cs="Calibri"/>
                <w:color w:val="1F497D"/>
                <w:sz w:val="20"/>
                <w:szCs w:val="20"/>
              </w:rPr>
            </w:pPr>
            <w:r>
              <w:rPr>
                <w:sz w:val="20"/>
                <w:szCs w:val="20"/>
              </w:rPr>
              <w:t>П</w:t>
            </w:r>
            <w:r w:rsidRPr="004258F1">
              <w:rPr>
                <w:sz w:val="20"/>
                <w:szCs w:val="20"/>
              </w:rPr>
              <w:t>ідтримуємо перехідний період і проведення тестових аукціонів.</w:t>
            </w:r>
          </w:p>
          <w:p w:rsidR="004258F1" w:rsidRPr="004258F1" w:rsidRDefault="004258F1" w:rsidP="004258F1">
            <w:pPr>
              <w:rPr>
                <w:sz w:val="20"/>
                <w:szCs w:val="20"/>
              </w:rPr>
            </w:pPr>
            <w:r w:rsidRPr="004258F1">
              <w:rPr>
                <w:sz w:val="20"/>
                <w:szCs w:val="20"/>
              </w:rPr>
              <w:t xml:space="preserve">В той же час вважаємо за необхідне подальшу дискусію щодо термінів паралельного існування </w:t>
            </w:r>
            <w:r w:rsidRPr="004258F1">
              <w:rPr>
                <w:sz w:val="20"/>
                <w:szCs w:val="20"/>
              </w:rPr>
              <w:lastRenderedPageBreak/>
              <w:t xml:space="preserve">зелених тарифів та системи аукціонів. </w:t>
            </w:r>
            <w:r>
              <w:rPr>
                <w:sz w:val="20"/>
                <w:szCs w:val="20"/>
              </w:rPr>
              <w:t>Варто</w:t>
            </w:r>
            <w:r w:rsidRPr="004258F1">
              <w:rPr>
                <w:sz w:val="20"/>
                <w:szCs w:val="20"/>
              </w:rPr>
              <w:t xml:space="preserve"> чітко визначити дату («</w:t>
            </w:r>
            <w:r w:rsidRPr="004258F1">
              <w:rPr>
                <w:sz w:val="20"/>
                <w:szCs w:val="20"/>
                <w:u w:val="single"/>
              </w:rPr>
              <w:t>дату припинення</w:t>
            </w:r>
            <w:r w:rsidRPr="004258F1">
              <w:rPr>
                <w:sz w:val="20"/>
                <w:szCs w:val="20"/>
              </w:rPr>
              <w:t xml:space="preserve">»), до настання якої проекти, що будуть вводитися в експлуатацію, отримають зелений тариф. </w:t>
            </w:r>
          </w:p>
          <w:p w:rsidR="004258F1" w:rsidRPr="004258F1" w:rsidRDefault="004258F1" w:rsidP="004258F1">
            <w:pPr>
              <w:rPr>
                <w:sz w:val="20"/>
                <w:szCs w:val="20"/>
              </w:rPr>
            </w:pPr>
            <w:r w:rsidRPr="004258F1">
              <w:rPr>
                <w:sz w:val="20"/>
                <w:szCs w:val="20"/>
              </w:rPr>
              <w:t xml:space="preserve">Запропонована Комітетом ВРУ концепція передбачає, що проекти, які будуть мати підписаний </w:t>
            </w:r>
            <w:proofErr w:type="spellStart"/>
            <w:r w:rsidRPr="004258F1">
              <w:rPr>
                <w:sz w:val="20"/>
                <w:szCs w:val="20"/>
              </w:rPr>
              <w:t>prePPA</w:t>
            </w:r>
            <w:proofErr w:type="spellEnd"/>
            <w:r w:rsidRPr="004258F1">
              <w:rPr>
                <w:sz w:val="20"/>
                <w:szCs w:val="20"/>
              </w:rPr>
              <w:t xml:space="preserve"> до 01.01.2019, будуть мати змогу будувати ВЕС та СЕС протягом 3х років і отримувати зелені тарифи. Тобто, «дата припинення» в такому разі – 31.12.2021.</w:t>
            </w:r>
          </w:p>
          <w:p w:rsidR="004258F1" w:rsidRPr="004258F1" w:rsidRDefault="004258F1" w:rsidP="004258F1">
            <w:pPr>
              <w:rPr>
                <w:sz w:val="20"/>
                <w:szCs w:val="20"/>
              </w:rPr>
            </w:pPr>
            <w:r w:rsidRPr="004258F1">
              <w:rPr>
                <w:sz w:val="20"/>
                <w:szCs w:val="20"/>
              </w:rPr>
              <w:t>Така концепція має низку недоліків:</w:t>
            </w:r>
          </w:p>
          <w:p w:rsidR="004258F1" w:rsidRPr="004258F1" w:rsidRDefault="004258F1" w:rsidP="004258F1">
            <w:pPr>
              <w:numPr>
                <w:ilvl w:val="0"/>
                <w:numId w:val="8"/>
              </w:numPr>
              <w:rPr>
                <w:sz w:val="20"/>
                <w:szCs w:val="20"/>
              </w:rPr>
            </w:pPr>
            <w:r w:rsidRPr="004258F1">
              <w:rPr>
                <w:sz w:val="20"/>
                <w:szCs w:val="20"/>
              </w:rPr>
              <w:t xml:space="preserve">Не визначені умови для підписання </w:t>
            </w:r>
            <w:proofErr w:type="spellStart"/>
            <w:r w:rsidRPr="004258F1">
              <w:rPr>
                <w:sz w:val="20"/>
                <w:szCs w:val="20"/>
              </w:rPr>
              <w:t>prePPA</w:t>
            </w:r>
            <w:proofErr w:type="spellEnd"/>
            <w:r w:rsidRPr="004258F1">
              <w:rPr>
                <w:sz w:val="20"/>
                <w:szCs w:val="20"/>
              </w:rPr>
              <w:t xml:space="preserve"> (ТУ, земля, дозвіл на будівництво</w:t>
            </w:r>
            <w:r>
              <w:rPr>
                <w:sz w:val="20"/>
                <w:szCs w:val="20"/>
              </w:rPr>
              <w:t xml:space="preserve"> тощо</w:t>
            </w:r>
            <w:r w:rsidRPr="004258F1">
              <w:rPr>
                <w:sz w:val="20"/>
                <w:szCs w:val="20"/>
              </w:rPr>
              <w:t>), що може породити нечесну конкуренцію у суб’єктів, що мають вплив на такі умови</w:t>
            </w:r>
          </w:p>
          <w:p w:rsidR="004258F1" w:rsidRPr="004258F1" w:rsidRDefault="004258F1" w:rsidP="004258F1">
            <w:pPr>
              <w:numPr>
                <w:ilvl w:val="0"/>
                <w:numId w:val="8"/>
              </w:numPr>
              <w:rPr>
                <w:sz w:val="20"/>
                <w:szCs w:val="20"/>
              </w:rPr>
            </w:pPr>
            <w:r w:rsidRPr="004258F1">
              <w:rPr>
                <w:sz w:val="20"/>
                <w:szCs w:val="20"/>
              </w:rPr>
              <w:t xml:space="preserve">Якщо умови підписання </w:t>
            </w:r>
            <w:proofErr w:type="spellStart"/>
            <w:r w:rsidRPr="004258F1">
              <w:rPr>
                <w:sz w:val="20"/>
                <w:szCs w:val="20"/>
              </w:rPr>
              <w:t>prePPA</w:t>
            </w:r>
            <w:proofErr w:type="spellEnd"/>
            <w:r w:rsidRPr="004258F1">
              <w:rPr>
                <w:sz w:val="20"/>
                <w:szCs w:val="20"/>
              </w:rPr>
              <w:t xml:space="preserve"> будуть легко виконати, то можна очікувати ситуацію, підписання </w:t>
            </w:r>
            <w:proofErr w:type="spellStart"/>
            <w:r w:rsidRPr="004258F1">
              <w:rPr>
                <w:sz w:val="20"/>
                <w:szCs w:val="20"/>
              </w:rPr>
              <w:t>prePPA</w:t>
            </w:r>
            <w:proofErr w:type="spellEnd"/>
            <w:r w:rsidRPr="004258F1">
              <w:rPr>
                <w:sz w:val="20"/>
                <w:szCs w:val="20"/>
              </w:rPr>
              <w:t xml:space="preserve"> на обсяги, що об’єктивно ніколи не будуть введені в експлуатацію, але формально можуть заблокувати подальше визначення </w:t>
            </w:r>
            <w:proofErr w:type="spellStart"/>
            <w:r w:rsidRPr="004258F1">
              <w:rPr>
                <w:sz w:val="20"/>
                <w:szCs w:val="20"/>
              </w:rPr>
              <w:t>потужностей</w:t>
            </w:r>
            <w:proofErr w:type="spellEnd"/>
            <w:r w:rsidRPr="004258F1">
              <w:rPr>
                <w:sz w:val="20"/>
                <w:szCs w:val="20"/>
              </w:rPr>
              <w:t xml:space="preserve"> для аукціонів. Системний оператор вже заявив, що видав ТУ на 7ГВт </w:t>
            </w:r>
            <w:proofErr w:type="spellStart"/>
            <w:r w:rsidRPr="004258F1">
              <w:rPr>
                <w:sz w:val="20"/>
                <w:szCs w:val="20"/>
              </w:rPr>
              <w:t>потужностей</w:t>
            </w:r>
            <w:proofErr w:type="spellEnd"/>
            <w:r w:rsidRPr="004258F1">
              <w:rPr>
                <w:sz w:val="20"/>
                <w:szCs w:val="20"/>
              </w:rPr>
              <w:t xml:space="preserve">, що не будуть забезпечені резервами. Якщо </w:t>
            </w:r>
            <w:proofErr w:type="spellStart"/>
            <w:r w:rsidRPr="004258F1">
              <w:rPr>
                <w:sz w:val="20"/>
                <w:szCs w:val="20"/>
              </w:rPr>
              <w:t>prePPA</w:t>
            </w:r>
            <w:proofErr w:type="spellEnd"/>
            <w:r w:rsidRPr="004258F1">
              <w:rPr>
                <w:sz w:val="20"/>
                <w:szCs w:val="20"/>
              </w:rPr>
              <w:t xml:space="preserve"> будуть підписані на весь цей обсяг, то аукціони проводитись не будуть до 31.12.2021 через системні обмеження</w:t>
            </w:r>
          </w:p>
          <w:p w:rsidR="004258F1" w:rsidRPr="004258F1" w:rsidRDefault="004258F1" w:rsidP="004258F1">
            <w:pPr>
              <w:numPr>
                <w:ilvl w:val="0"/>
                <w:numId w:val="8"/>
              </w:numPr>
              <w:rPr>
                <w:sz w:val="20"/>
                <w:szCs w:val="20"/>
              </w:rPr>
            </w:pPr>
            <w:r w:rsidRPr="004258F1">
              <w:rPr>
                <w:sz w:val="20"/>
                <w:szCs w:val="20"/>
              </w:rPr>
              <w:t xml:space="preserve">У результаті п.1 и 2 буде створено спекулятивний «ринок» проектів з </w:t>
            </w:r>
            <w:proofErr w:type="spellStart"/>
            <w:r w:rsidRPr="004258F1">
              <w:rPr>
                <w:sz w:val="20"/>
                <w:szCs w:val="20"/>
              </w:rPr>
              <w:t>prePPA</w:t>
            </w:r>
            <w:proofErr w:type="spellEnd"/>
            <w:r w:rsidRPr="004258F1">
              <w:rPr>
                <w:sz w:val="20"/>
                <w:szCs w:val="20"/>
              </w:rPr>
              <w:t xml:space="preserve"> та подальшу дискредитацію ВДЕ</w:t>
            </w:r>
          </w:p>
          <w:p w:rsidR="009B6221" w:rsidRDefault="009B6221" w:rsidP="004258F1">
            <w:pPr>
              <w:rPr>
                <w:b/>
                <w:bCs/>
                <w:sz w:val="20"/>
                <w:szCs w:val="20"/>
              </w:rPr>
            </w:pPr>
            <w:r w:rsidRPr="009B6221">
              <w:rPr>
                <w:b/>
                <w:bCs/>
                <w:sz w:val="20"/>
                <w:szCs w:val="20"/>
              </w:rPr>
              <w:t>Потрібне додаткове обговорення</w:t>
            </w:r>
            <w:r>
              <w:rPr>
                <w:b/>
                <w:bCs/>
                <w:sz w:val="20"/>
                <w:szCs w:val="20"/>
              </w:rPr>
              <w:t>.</w:t>
            </w:r>
          </w:p>
          <w:p w:rsidR="004258F1" w:rsidRPr="004258F1" w:rsidRDefault="004258F1" w:rsidP="004258F1">
            <w:pPr>
              <w:rPr>
                <w:sz w:val="20"/>
                <w:szCs w:val="20"/>
              </w:rPr>
            </w:pPr>
            <w:r w:rsidRPr="004258F1">
              <w:rPr>
                <w:b/>
                <w:bCs/>
                <w:sz w:val="20"/>
                <w:szCs w:val="20"/>
              </w:rPr>
              <w:t xml:space="preserve">При </w:t>
            </w:r>
            <w:r w:rsidRPr="004258F1">
              <w:rPr>
                <w:b/>
                <w:bCs/>
                <w:sz w:val="20"/>
                <w:szCs w:val="20"/>
              </w:rPr>
              <w:t>визначенн</w:t>
            </w:r>
            <w:r w:rsidRPr="004258F1">
              <w:rPr>
                <w:b/>
                <w:bCs/>
                <w:sz w:val="20"/>
                <w:szCs w:val="20"/>
              </w:rPr>
              <w:t>і</w:t>
            </w:r>
            <w:r w:rsidRPr="004258F1">
              <w:rPr>
                <w:b/>
                <w:bCs/>
                <w:sz w:val="20"/>
                <w:szCs w:val="20"/>
              </w:rPr>
              <w:t xml:space="preserve"> «дати припинення»</w:t>
            </w:r>
            <w:r w:rsidRPr="004258F1">
              <w:rPr>
                <w:sz w:val="20"/>
                <w:szCs w:val="20"/>
              </w:rPr>
              <w:t xml:space="preserve">, визначальним має стати факт введення в експлуатацію об'єкта до такої дати, а не передумова підписання </w:t>
            </w:r>
            <w:proofErr w:type="spellStart"/>
            <w:r w:rsidRPr="004258F1">
              <w:rPr>
                <w:sz w:val="20"/>
                <w:szCs w:val="20"/>
              </w:rPr>
              <w:t>prePPA</w:t>
            </w:r>
            <w:proofErr w:type="spellEnd"/>
            <w:r w:rsidRPr="004258F1">
              <w:rPr>
                <w:sz w:val="20"/>
                <w:szCs w:val="20"/>
              </w:rPr>
              <w:t>.</w:t>
            </w:r>
          </w:p>
          <w:p w:rsidR="00095CDB" w:rsidRPr="004258F1" w:rsidRDefault="00095CDB" w:rsidP="004B0C8B">
            <w:pPr>
              <w:tabs>
                <w:tab w:val="left" w:pos="252"/>
              </w:tabs>
              <w:rPr>
                <w:sz w:val="20"/>
                <w:szCs w:val="20"/>
              </w:rPr>
            </w:pPr>
          </w:p>
        </w:tc>
        <w:tc>
          <w:tcPr>
            <w:tcW w:w="3420" w:type="dxa"/>
          </w:tcPr>
          <w:p w:rsidR="00095CDB" w:rsidRPr="004258F1" w:rsidRDefault="009B6221" w:rsidP="004B0C8B">
            <w:pPr>
              <w:tabs>
                <w:tab w:val="left" w:pos="252"/>
              </w:tabs>
              <w:rPr>
                <w:sz w:val="20"/>
                <w:szCs w:val="20"/>
              </w:rPr>
            </w:pPr>
            <w:r>
              <w:rPr>
                <w:sz w:val="20"/>
                <w:szCs w:val="20"/>
              </w:rPr>
              <w:lastRenderedPageBreak/>
              <w:t>Підтримуємо,</w:t>
            </w:r>
            <w:r w:rsidRPr="009B6221">
              <w:rPr>
                <w:sz w:val="20"/>
                <w:szCs w:val="20"/>
              </w:rPr>
              <w:t xml:space="preserve"> щоб аукціони як і будь-які інші зміни не впроваджувалися раніше 2020 року. В 2019 році може бути проведено тестовий аукціон, наприклад для Чорнобильського проекту</w:t>
            </w:r>
            <w:r w:rsidR="00887B2B">
              <w:rPr>
                <w:sz w:val="20"/>
                <w:szCs w:val="20"/>
              </w:rPr>
              <w:t>.</w:t>
            </w:r>
          </w:p>
        </w:tc>
      </w:tr>
      <w:tr w:rsidR="00095CDB" w:rsidRPr="004258F1" w:rsidTr="004258F1">
        <w:trPr>
          <w:trHeight w:val="80"/>
        </w:trPr>
        <w:tc>
          <w:tcPr>
            <w:tcW w:w="427" w:type="dxa"/>
            <w:shd w:val="clear" w:color="auto" w:fill="auto"/>
          </w:tcPr>
          <w:p w:rsidR="00095CDB" w:rsidRPr="004258F1" w:rsidRDefault="00095CDB" w:rsidP="00095CDB">
            <w:pPr>
              <w:numPr>
                <w:ilvl w:val="0"/>
                <w:numId w:val="7"/>
              </w:numPr>
              <w:ind w:hanging="738"/>
              <w:jc w:val="both"/>
              <w:rPr>
                <w:sz w:val="20"/>
                <w:szCs w:val="20"/>
              </w:rPr>
            </w:pPr>
          </w:p>
        </w:tc>
        <w:tc>
          <w:tcPr>
            <w:tcW w:w="2250" w:type="dxa"/>
            <w:shd w:val="clear" w:color="auto" w:fill="auto"/>
            <w:vAlign w:val="bottom"/>
          </w:tcPr>
          <w:p w:rsidR="00095CDB" w:rsidRPr="004258F1" w:rsidRDefault="00095CDB" w:rsidP="0068129F">
            <w:pPr>
              <w:rPr>
                <w:sz w:val="20"/>
                <w:szCs w:val="20"/>
              </w:rPr>
            </w:pPr>
            <w:r w:rsidRPr="004258F1">
              <w:rPr>
                <w:sz w:val="20"/>
                <w:szCs w:val="20"/>
              </w:rPr>
              <w:t>Відповідальність за небаланси – повна, з моменту існування ліквідного внутрішньодобового ринку. Внутрішньодобовий ринок вважається ліквідним через 1 рік з моменту початку його функціонування.</w:t>
            </w: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Default="00095CDB" w:rsidP="0068129F">
            <w:pPr>
              <w:rPr>
                <w:sz w:val="20"/>
                <w:szCs w:val="20"/>
              </w:rPr>
            </w:pPr>
          </w:p>
          <w:p w:rsidR="009B6221" w:rsidRDefault="009B6221" w:rsidP="0068129F">
            <w:pPr>
              <w:rPr>
                <w:sz w:val="20"/>
                <w:szCs w:val="20"/>
              </w:rPr>
            </w:pPr>
          </w:p>
          <w:p w:rsidR="009B6221" w:rsidRDefault="009B6221" w:rsidP="0068129F">
            <w:pPr>
              <w:rPr>
                <w:sz w:val="20"/>
                <w:szCs w:val="20"/>
              </w:rPr>
            </w:pPr>
          </w:p>
          <w:p w:rsidR="009B6221" w:rsidRDefault="009B6221" w:rsidP="0068129F">
            <w:pPr>
              <w:rPr>
                <w:sz w:val="20"/>
                <w:szCs w:val="20"/>
              </w:rPr>
            </w:pPr>
          </w:p>
          <w:p w:rsidR="009B6221" w:rsidRPr="004258F1" w:rsidRDefault="009B6221"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tc>
        <w:tc>
          <w:tcPr>
            <w:tcW w:w="4500" w:type="dxa"/>
            <w:shd w:val="clear" w:color="auto" w:fill="auto"/>
            <w:vAlign w:val="bottom"/>
          </w:tcPr>
          <w:p w:rsidR="00095CDB" w:rsidRPr="004258F1" w:rsidRDefault="00095CDB" w:rsidP="0068129F">
            <w:pPr>
              <w:rPr>
                <w:sz w:val="20"/>
                <w:szCs w:val="20"/>
                <w:lang w:val="ru-RU"/>
              </w:rPr>
            </w:pPr>
            <w:r w:rsidRPr="004258F1">
              <w:rPr>
                <w:sz w:val="20"/>
                <w:szCs w:val="20"/>
              </w:rPr>
              <w:t>Не помічено змін у порівнянні з існуючим законодавчо встановленим графіком компенсації витрат на балансування</w:t>
            </w:r>
            <w:r w:rsidR="004B0C8B" w:rsidRPr="004258F1">
              <w:rPr>
                <w:sz w:val="20"/>
                <w:szCs w:val="20"/>
                <w:lang w:val="ru-RU"/>
              </w:rPr>
              <w:t>.</w:t>
            </w:r>
          </w:p>
          <w:p w:rsidR="004B0C8B" w:rsidRPr="004258F1" w:rsidRDefault="004B0C8B" w:rsidP="004B0C8B">
            <w:pPr>
              <w:rPr>
                <w:sz w:val="20"/>
                <w:szCs w:val="20"/>
              </w:rPr>
            </w:pPr>
            <w:r w:rsidRPr="004258F1">
              <w:rPr>
                <w:sz w:val="20"/>
                <w:szCs w:val="20"/>
              </w:rPr>
              <w:t>Графік компенсації витрат на балансування визначений у положеннях Закону України «Про ринок електричної енергії».</w:t>
            </w:r>
          </w:p>
          <w:p w:rsidR="004B0C8B" w:rsidRPr="004258F1" w:rsidRDefault="004B0C8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tc>
        <w:tc>
          <w:tcPr>
            <w:tcW w:w="4860" w:type="dxa"/>
            <w:shd w:val="clear" w:color="auto" w:fill="auto"/>
          </w:tcPr>
          <w:p w:rsidR="00095CDB" w:rsidRPr="009B6221" w:rsidRDefault="009B6221" w:rsidP="004B0C8B">
            <w:pPr>
              <w:rPr>
                <w:sz w:val="20"/>
                <w:szCs w:val="20"/>
              </w:rPr>
            </w:pPr>
            <w:r w:rsidRPr="009B6221">
              <w:rPr>
                <w:sz w:val="20"/>
                <w:szCs w:val="20"/>
              </w:rPr>
              <w:t xml:space="preserve">Запропонована Комітетом редакція відрізняється від положень діючого Закону (поетапне підвищення відповідальності, 100% відповідальність – з 2025). </w:t>
            </w:r>
            <w:r w:rsidRPr="009B6221">
              <w:rPr>
                <w:b/>
                <w:bCs/>
                <w:sz w:val="20"/>
                <w:szCs w:val="20"/>
              </w:rPr>
              <w:t>Пропонуємо зберегти  встановлений графік компенсації витрат.</w:t>
            </w:r>
          </w:p>
        </w:tc>
        <w:tc>
          <w:tcPr>
            <w:tcW w:w="3420" w:type="dxa"/>
          </w:tcPr>
          <w:p w:rsidR="00095CDB" w:rsidRPr="004258F1" w:rsidRDefault="00887B2B" w:rsidP="0068129F">
            <w:pPr>
              <w:rPr>
                <w:sz w:val="20"/>
                <w:szCs w:val="20"/>
              </w:rPr>
            </w:pPr>
            <w:r w:rsidRPr="004258F1">
              <w:rPr>
                <w:sz w:val="20"/>
                <w:szCs w:val="20"/>
              </w:rPr>
              <w:t>Погоджуємось з позицією</w:t>
            </w:r>
            <w:r>
              <w:rPr>
                <w:sz w:val="20"/>
                <w:szCs w:val="20"/>
              </w:rPr>
              <w:t xml:space="preserve"> 2.</w:t>
            </w:r>
          </w:p>
        </w:tc>
      </w:tr>
      <w:tr w:rsidR="00095CDB" w:rsidRPr="004258F1" w:rsidTr="004258F1">
        <w:tc>
          <w:tcPr>
            <w:tcW w:w="427" w:type="dxa"/>
            <w:shd w:val="clear" w:color="auto" w:fill="auto"/>
          </w:tcPr>
          <w:p w:rsidR="00095CDB" w:rsidRPr="004258F1" w:rsidRDefault="00095CDB" w:rsidP="00095CDB">
            <w:pPr>
              <w:numPr>
                <w:ilvl w:val="0"/>
                <w:numId w:val="7"/>
              </w:numPr>
              <w:ind w:hanging="738"/>
              <w:jc w:val="both"/>
              <w:rPr>
                <w:sz w:val="20"/>
                <w:szCs w:val="20"/>
              </w:rPr>
            </w:pPr>
          </w:p>
        </w:tc>
        <w:tc>
          <w:tcPr>
            <w:tcW w:w="2250" w:type="dxa"/>
            <w:shd w:val="clear" w:color="auto" w:fill="auto"/>
          </w:tcPr>
          <w:p w:rsidR="00095CDB" w:rsidRPr="004258F1" w:rsidRDefault="00095CDB" w:rsidP="0068129F">
            <w:pPr>
              <w:rPr>
                <w:sz w:val="20"/>
                <w:szCs w:val="20"/>
              </w:rPr>
            </w:pPr>
            <w:r w:rsidRPr="004258F1">
              <w:rPr>
                <w:sz w:val="20"/>
                <w:szCs w:val="20"/>
              </w:rPr>
              <w:t>Зниження «зеленого» тарифу – сонце – мінус 30%, вітер – мінус 10%. З 01.01.2019 року</w:t>
            </w:r>
          </w:p>
        </w:tc>
        <w:tc>
          <w:tcPr>
            <w:tcW w:w="4500" w:type="dxa"/>
            <w:shd w:val="clear" w:color="auto" w:fill="auto"/>
          </w:tcPr>
          <w:p w:rsidR="00095CDB" w:rsidRPr="004258F1" w:rsidRDefault="00095CDB" w:rsidP="00B57E20">
            <w:pPr>
              <w:numPr>
                <w:ilvl w:val="0"/>
                <w:numId w:val="4"/>
              </w:numPr>
              <w:tabs>
                <w:tab w:val="left" w:pos="336"/>
              </w:tabs>
              <w:ind w:left="138" w:firstLine="0"/>
              <w:rPr>
                <w:sz w:val="20"/>
                <w:szCs w:val="20"/>
              </w:rPr>
            </w:pPr>
            <w:r w:rsidRPr="004258F1">
              <w:rPr>
                <w:sz w:val="20"/>
                <w:szCs w:val="20"/>
              </w:rPr>
              <w:t xml:space="preserve">В контексті вітрової енергетики – експерти -компаній членів не погоджуються з цією пропозицією, оскільки вітрова енергетика доволі наближена до міжнародного стандарту. В Україні верхню межу «зеленого» тарифу планується скоротити на 10% у 2020 р., в 2025 р. - ще на 10%. Розмір «зеленого» тарифу в Україні наразі потребує певних «преміальних» </w:t>
            </w:r>
            <w:r w:rsidRPr="004258F1">
              <w:rPr>
                <w:sz w:val="20"/>
                <w:szCs w:val="20"/>
              </w:rPr>
              <w:lastRenderedPageBreak/>
              <w:t xml:space="preserve">у порівнянні з ринками ЄС з урахуванням ризиків країни. </w:t>
            </w:r>
          </w:p>
          <w:p w:rsidR="00095CDB" w:rsidRPr="004258F1" w:rsidRDefault="00095CDB" w:rsidP="0068129F">
            <w:pPr>
              <w:tabs>
                <w:tab w:val="left" w:pos="336"/>
              </w:tabs>
              <w:ind w:left="66"/>
              <w:rPr>
                <w:sz w:val="20"/>
                <w:szCs w:val="20"/>
              </w:rPr>
            </w:pPr>
            <w:r w:rsidRPr="004258F1">
              <w:rPr>
                <w:sz w:val="20"/>
                <w:szCs w:val="20"/>
              </w:rPr>
              <w:t xml:space="preserve">Аукціони мають дозволити ринку забезпечувати ринкове ціноутворення на раціональних засадах. </w:t>
            </w:r>
          </w:p>
          <w:p w:rsidR="00095CDB" w:rsidRPr="004258F1" w:rsidRDefault="00095CDB" w:rsidP="00B57E20">
            <w:pPr>
              <w:numPr>
                <w:ilvl w:val="0"/>
                <w:numId w:val="4"/>
              </w:numPr>
              <w:tabs>
                <w:tab w:val="left" w:pos="336"/>
              </w:tabs>
              <w:ind w:left="138" w:firstLine="0"/>
              <w:rPr>
                <w:sz w:val="20"/>
                <w:szCs w:val="20"/>
              </w:rPr>
            </w:pPr>
            <w:r w:rsidRPr="004258F1">
              <w:rPr>
                <w:sz w:val="20"/>
                <w:szCs w:val="20"/>
              </w:rPr>
              <w:t xml:space="preserve">В контексті сонячної енергетики – експерти - компаній членів погоджуються з цією пропозицією «Зелений» тариф для сонячної енергетики слід знизити, оскільки наразі він не відповідає міжнародній практиці. Потрібно встановити розумно обґрунтовану надбавку в порівнянні з ринками ЄС у зв'язку з тим, що характеристики ризику в Україні відрізняються від країн ЄС, і вартість капіталу в Україні вища. В той же час вихідною точкою для дискусії про надбавку на ризик має бути ціноутворення, яке існує на сьогоднішній день у сонячній енергетиці ЄС. </w:t>
            </w:r>
          </w:p>
          <w:p w:rsidR="00B57E20" w:rsidRPr="004258F1" w:rsidRDefault="00B57E20" w:rsidP="00B57E20">
            <w:pPr>
              <w:tabs>
                <w:tab w:val="left" w:pos="336"/>
              </w:tabs>
              <w:rPr>
                <w:sz w:val="20"/>
                <w:szCs w:val="20"/>
              </w:rPr>
            </w:pPr>
          </w:p>
          <w:p w:rsidR="00B57E20" w:rsidRPr="004258F1" w:rsidRDefault="00B57E20" w:rsidP="00B57E20">
            <w:pPr>
              <w:numPr>
                <w:ilvl w:val="0"/>
                <w:numId w:val="3"/>
              </w:numPr>
              <w:tabs>
                <w:tab w:val="left" w:pos="246"/>
                <w:tab w:val="left" w:pos="720"/>
              </w:tabs>
              <w:ind w:left="0" w:hanging="24"/>
              <w:rPr>
                <w:sz w:val="20"/>
                <w:szCs w:val="20"/>
              </w:rPr>
            </w:pPr>
            <w:r w:rsidRPr="004258F1">
              <w:rPr>
                <w:sz w:val="20"/>
                <w:szCs w:val="20"/>
              </w:rPr>
              <w:t>До запровадження зниження РЗТ для сонячної енергетики потрібно встановити перехідний період як мінімум на два роки, що дозволить проектам, які реалізуються на сьогодні, мати справедливий графік переходу. Як результат, такі проекти матимуть практичну можливість завершення створення генеруючих активів, розпочате до прийняття законодавства з питань аукціонів.</w:t>
            </w:r>
          </w:p>
          <w:p w:rsidR="00B57E20" w:rsidRPr="004258F1" w:rsidRDefault="00B57E20" w:rsidP="00B57E20">
            <w:pPr>
              <w:numPr>
                <w:ilvl w:val="0"/>
                <w:numId w:val="3"/>
              </w:numPr>
              <w:tabs>
                <w:tab w:val="left" w:pos="246"/>
                <w:tab w:val="left" w:pos="720"/>
              </w:tabs>
              <w:ind w:left="0" w:hanging="24"/>
              <w:rPr>
                <w:sz w:val="20"/>
                <w:szCs w:val="20"/>
              </w:rPr>
            </w:pPr>
            <w:r w:rsidRPr="004258F1">
              <w:rPr>
                <w:sz w:val="20"/>
                <w:szCs w:val="20"/>
              </w:rPr>
              <w:t xml:space="preserve">При запровадженні зниження РЗТ, до ціни, обраної за результатами аукціону, потрібно додати щорічне індексування інфляції, оскільки на сьогодні українська система ЗРТ ще не пропонувала щорічного індексування інфляції.  Для збереження прозорої та простої системи індексування інфляції можна використовувати середній показник інфляції валюти </w:t>
            </w:r>
            <w:proofErr w:type="spellStart"/>
            <w:r w:rsidRPr="004258F1">
              <w:rPr>
                <w:sz w:val="20"/>
                <w:szCs w:val="20"/>
              </w:rPr>
              <w:t>єврозони</w:t>
            </w:r>
            <w:proofErr w:type="spellEnd"/>
            <w:r w:rsidRPr="004258F1">
              <w:rPr>
                <w:sz w:val="20"/>
                <w:szCs w:val="20"/>
              </w:rPr>
              <w:t>.</w:t>
            </w:r>
          </w:p>
          <w:p w:rsidR="00B57E20" w:rsidRPr="004258F1" w:rsidRDefault="00B57E20" w:rsidP="00B57E20">
            <w:pPr>
              <w:tabs>
                <w:tab w:val="left" w:pos="336"/>
              </w:tabs>
              <w:rPr>
                <w:sz w:val="20"/>
                <w:szCs w:val="20"/>
              </w:rPr>
            </w:pPr>
            <w:r w:rsidRPr="004258F1">
              <w:rPr>
                <w:sz w:val="20"/>
                <w:szCs w:val="20"/>
              </w:rPr>
              <w:lastRenderedPageBreak/>
              <w:t>Індексування інфляції має коригуватися щорічно протягом усього 15-річного строку дії аукціонного ДКПЕ, починаючи з 13-го місяця з моменту початку комерційної експлуатації вітрового або сонячного парку</w:t>
            </w:r>
          </w:p>
          <w:p w:rsidR="00095CDB" w:rsidRPr="004258F1" w:rsidRDefault="00095CDB" w:rsidP="0068129F">
            <w:pPr>
              <w:rPr>
                <w:sz w:val="20"/>
                <w:szCs w:val="20"/>
              </w:rPr>
            </w:pPr>
          </w:p>
          <w:p w:rsidR="00095CDB" w:rsidRPr="004258F1" w:rsidRDefault="00095CDB" w:rsidP="0068129F">
            <w:pPr>
              <w:rPr>
                <w:sz w:val="20"/>
                <w:szCs w:val="20"/>
              </w:rPr>
            </w:pPr>
          </w:p>
        </w:tc>
        <w:tc>
          <w:tcPr>
            <w:tcW w:w="4860" w:type="dxa"/>
            <w:shd w:val="clear" w:color="auto" w:fill="auto"/>
          </w:tcPr>
          <w:p w:rsidR="00095CDB" w:rsidRPr="009B6221" w:rsidRDefault="009B6221" w:rsidP="00B57E20">
            <w:pPr>
              <w:tabs>
                <w:tab w:val="left" w:pos="246"/>
                <w:tab w:val="left" w:pos="720"/>
              </w:tabs>
              <w:rPr>
                <w:sz w:val="20"/>
                <w:szCs w:val="20"/>
              </w:rPr>
            </w:pPr>
            <w:r>
              <w:rPr>
                <w:sz w:val="20"/>
                <w:szCs w:val="20"/>
              </w:rPr>
              <w:lastRenderedPageBreak/>
              <w:t>Н</w:t>
            </w:r>
            <w:r w:rsidRPr="009B6221">
              <w:rPr>
                <w:sz w:val="20"/>
                <w:szCs w:val="20"/>
              </w:rPr>
              <w:t xml:space="preserve">е можемо погодитись з запропонованою редакцією </w:t>
            </w:r>
            <w:proofErr w:type="spellStart"/>
            <w:r w:rsidRPr="009B6221">
              <w:rPr>
                <w:sz w:val="20"/>
                <w:szCs w:val="20"/>
              </w:rPr>
              <w:t>Комітета</w:t>
            </w:r>
            <w:proofErr w:type="spellEnd"/>
            <w:r w:rsidRPr="009B6221">
              <w:rPr>
                <w:sz w:val="20"/>
                <w:szCs w:val="20"/>
              </w:rPr>
              <w:t xml:space="preserve"> </w:t>
            </w:r>
            <w:r>
              <w:rPr>
                <w:sz w:val="20"/>
                <w:szCs w:val="20"/>
              </w:rPr>
              <w:t xml:space="preserve">ВРУ </w:t>
            </w:r>
            <w:r w:rsidRPr="009B6221">
              <w:rPr>
                <w:sz w:val="20"/>
                <w:szCs w:val="20"/>
              </w:rPr>
              <w:t xml:space="preserve">та </w:t>
            </w:r>
            <w:r>
              <w:rPr>
                <w:sz w:val="20"/>
                <w:szCs w:val="20"/>
              </w:rPr>
              <w:t>позицією 1</w:t>
            </w:r>
            <w:r w:rsidRPr="009B6221">
              <w:rPr>
                <w:sz w:val="20"/>
                <w:szCs w:val="20"/>
              </w:rPr>
              <w:t>. На наш погляд, запропоновані зміни (і Комітету</w:t>
            </w:r>
            <w:r>
              <w:rPr>
                <w:sz w:val="20"/>
                <w:szCs w:val="20"/>
              </w:rPr>
              <w:t xml:space="preserve"> ВРУ</w:t>
            </w:r>
            <w:r w:rsidRPr="009B6221">
              <w:rPr>
                <w:sz w:val="20"/>
                <w:szCs w:val="20"/>
              </w:rPr>
              <w:t xml:space="preserve">, і </w:t>
            </w:r>
            <w:r>
              <w:rPr>
                <w:sz w:val="20"/>
                <w:szCs w:val="20"/>
              </w:rPr>
              <w:t>в позиції 1</w:t>
            </w:r>
            <w:r w:rsidRPr="009B6221">
              <w:rPr>
                <w:sz w:val="20"/>
                <w:szCs w:val="20"/>
              </w:rPr>
              <w:t xml:space="preserve">) не мають достатніх підстав та аналітичної підтримки. </w:t>
            </w:r>
            <w:r w:rsidRPr="009B6221">
              <w:rPr>
                <w:b/>
                <w:bCs/>
                <w:sz w:val="20"/>
                <w:szCs w:val="20"/>
              </w:rPr>
              <w:t>Вважаємо, що зміна тарифів повинна відбуватись у відповідності до діючого законодавства (-10% з 2020, і -10% з 2025).</w:t>
            </w:r>
          </w:p>
        </w:tc>
        <w:tc>
          <w:tcPr>
            <w:tcW w:w="3420" w:type="dxa"/>
          </w:tcPr>
          <w:p w:rsidR="00095CDB" w:rsidRPr="004258F1" w:rsidRDefault="00887B2B" w:rsidP="009B6221">
            <w:pPr>
              <w:tabs>
                <w:tab w:val="left" w:pos="246"/>
                <w:tab w:val="left" w:pos="720"/>
              </w:tabs>
              <w:rPr>
                <w:sz w:val="20"/>
                <w:szCs w:val="20"/>
              </w:rPr>
            </w:pPr>
            <w:r w:rsidRPr="004258F1">
              <w:rPr>
                <w:sz w:val="20"/>
                <w:szCs w:val="20"/>
              </w:rPr>
              <w:t>Погоджуємось з позицією</w:t>
            </w:r>
            <w:r>
              <w:rPr>
                <w:sz w:val="20"/>
                <w:szCs w:val="20"/>
              </w:rPr>
              <w:t xml:space="preserve"> 2.</w:t>
            </w:r>
          </w:p>
        </w:tc>
      </w:tr>
      <w:tr w:rsidR="00095CDB" w:rsidRPr="004258F1" w:rsidTr="004258F1">
        <w:tc>
          <w:tcPr>
            <w:tcW w:w="427" w:type="dxa"/>
            <w:shd w:val="clear" w:color="auto" w:fill="auto"/>
          </w:tcPr>
          <w:p w:rsidR="00095CDB" w:rsidRPr="004258F1" w:rsidRDefault="00095CDB" w:rsidP="00095CDB">
            <w:pPr>
              <w:numPr>
                <w:ilvl w:val="0"/>
                <w:numId w:val="7"/>
              </w:numPr>
              <w:ind w:hanging="738"/>
              <w:jc w:val="both"/>
              <w:rPr>
                <w:sz w:val="20"/>
                <w:szCs w:val="20"/>
              </w:rPr>
            </w:pPr>
          </w:p>
        </w:tc>
        <w:tc>
          <w:tcPr>
            <w:tcW w:w="2250" w:type="dxa"/>
            <w:shd w:val="clear" w:color="auto" w:fill="auto"/>
          </w:tcPr>
          <w:p w:rsidR="00095CDB" w:rsidRPr="004258F1" w:rsidRDefault="00095CDB" w:rsidP="0068129F">
            <w:pPr>
              <w:rPr>
                <w:sz w:val="20"/>
                <w:szCs w:val="20"/>
              </w:rPr>
            </w:pPr>
            <w:r w:rsidRPr="004258F1">
              <w:rPr>
                <w:sz w:val="20"/>
                <w:szCs w:val="20"/>
              </w:rPr>
              <w:t>Участь у тендері гарантується банківською гарантією (20% вартості планового(середньостатистичного) річного відпуску е/е по цінні первинної пропозиції на аукціоні).</w:t>
            </w:r>
          </w:p>
          <w:p w:rsidR="00095CDB" w:rsidRPr="004258F1" w:rsidRDefault="00095CDB" w:rsidP="0068129F">
            <w:pPr>
              <w:rPr>
                <w:sz w:val="20"/>
                <w:szCs w:val="20"/>
              </w:rPr>
            </w:pPr>
          </w:p>
          <w:p w:rsidR="00095CDB" w:rsidRPr="004258F1" w:rsidRDefault="00095CDB" w:rsidP="0068129F">
            <w:pPr>
              <w:rPr>
                <w:sz w:val="20"/>
                <w:szCs w:val="20"/>
              </w:rPr>
            </w:pPr>
            <w:r w:rsidRPr="004258F1">
              <w:rPr>
                <w:sz w:val="20"/>
                <w:szCs w:val="20"/>
              </w:rPr>
              <w:t>Банківська гарантія повертається:</w:t>
            </w:r>
          </w:p>
          <w:p w:rsidR="00095CDB" w:rsidRPr="004258F1" w:rsidRDefault="00095CDB" w:rsidP="0068129F">
            <w:pPr>
              <w:rPr>
                <w:sz w:val="20"/>
                <w:szCs w:val="20"/>
              </w:rPr>
            </w:pPr>
          </w:p>
          <w:p w:rsidR="00095CDB" w:rsidRPr="004258F1" w:rsidRDefault="00095CDB" w:rsidP="0068129F">
            <w:pPr>
              <w:rPr>
                <w:sz w:val="20"/>
                <w:szCs w:val="20"/>
              </w:rPr>
            </w:pPr>
            <w:r w:rsidRPr="004258F1">
              <w:rPr>
                <w:sz w:val="20"/>
                <w:szCs w:val="20"/>
              </w:rPr>
              <w:t>У разі програшу на аукціоні</w:t>
            </w:r>
          </w:p>
          <w:p w:rsidR="00095CDB" w:rsidRPr="004258F1" w:rsidRDefault="00095CDB" w:rsidP="0068129F">
            <w:pPr>
              <w:rPr>
                <w:sz w:val="20"/>
                <w:szCs w:val="20"/>
              </w:rPr>
            </w:pPr>
          </w:p>
          <w:p w:rsidR="00095CDB" w:rsidRPr="004258F1" w:rsidRDefault="00095CDB" w:rsidP="0068129F">
            <w:pPr>
              <w:rPr>
                <w:sz w:val="20"/>
                <w:szCs w:val="20"/>
              </w:rPr>
            </w:pPr>
            <w:r w:rsidRPr="004258F1">
              <w:rPr>
                <w:sz w:val="20"/>
                <w:szCs w:val="20"/>
              </w:rPr>
              <w:t>Після підписання РРА.</w:t>
            </w:r>
          </w:p>
          <w:p w:rsidR="00095CDB" w:rsidRPr="004258F1" w:rsidRDefault="00095CDB" w:rsidP="0068129F">
            <w:pPr>
              <w:rPr>
                <w:sz w:val="20"/>
                <w:szCs w:val="20"/>
              </w:rPr>
            </w:pPr>
          </w:p>
          <w:p w:rsidR="00095CDB" w:rsidRPr="004258F1" w:rsidRDefault="00095CDB" w:rsidP="0068129F">
            <w:pPr>
              <w:rPr>
                <w:sz w:val="20"/>
                <w:szCs w:val="20"/>
              </w:rPr>
            </w:pPr>
            <w:r w:rsidRPr="004258F1">
              <w:rPr>
                <w:sz w:val="20"/>
                <w:szCs w:val="20"/>
              </w:rPr>
              <w:t>Допускається продовження дії гарантії на 1 рік з її п’ятикратним збільшенням.</w:t>
            </w:r>
          </w:p>
          <w:p w:rsidR="00095CDB" w:rsidRPr="004258F1" w:rsidRDefault="00095CDB" w:rsidP="0068129F">
            <w:pPr>
              <w:rPr>
                <w:sz w:val="20"/>
                <w:szCs w:val="20"/>
              </w:rPr>
            </w:pPr>
          </w:p>
          <w:p w:rsidR="00095CDB" w:rsidRPr="004258F1" w:rsidRDefault="00095CDB" w:rsidP="0068129F">
            <w:pPr>
              <w:rPr>
                <w:sz w:val="20"/>
                <w:szCs w:val="20"/>
                <w:highlight w:val="yellow"/>
              </w:rPr>
            </w:pPr>
            <w:r w:rsidRPr="004258F1">
              <w:rPr>
                <w:sz w:val="20"/>
                <w:szCs w:val="20"/>
              </w:rPr>
              <w:t xml:space="preserve">У випадку невиконання проекту – банківська гарантія не повертається (стягується в дохід </w:t>
            </w:r>
            <w:r w:rsidRPr="004258F1">
              <w:rPr>
                <w:sz w:val="20"/>
                <w:szCs w:val="20"/>
              </w:rPr>
              <w:lastRenderedPageBreak/>
              <w:t>гарантованого покупця)</w:t>
            </w:r>
          </w:p>
        </w:tc>
        <w:tc>
          <w:tcPr>
            <w:tcW w:w="4500" w:type="dxa"/>
            <w:shd w:val="clear" w:color="auto" w:fill="auto"/>
          </w:tcPr>
          <w:p w:rsidR="00095CDB" w:rsidRPr="004258F1" w:rsidRDefault="00095CDB" w:rsidP="0068129F">
            <w:pPr>
              <w:rPr>
                <w:sz w:val="20"/>
                <w:szCs w:val="20"/>
              </w:rPr>
            </w:pPr>
            <w:r w:rsidRPr="004258F1">
              <w:rPr>
                <w:sz w:val="20"/>
                <w:szCs w:val="20"/>
              </w:rPr>
              <w:lastRenderedPageBreak/>
              <w:t>Погоджуємось.</w:t>
            </w:r>
          </w:p>
          <w:p w:rsidR="00095CDB" w:rsidRPr="004258F1" w:rsidRDefault="00095CDB" w:rsidP="0068129F">
            <w:pPr>
              <w:rPr>
                <w:sz w:val="20"/>
                <w:szCs w:val="20"/>
              </w:rPr>
            </w:pPr>
            <w:r w:rsidRPr="004258F1">
              <w:rPr>
                <w:sz w:val="20"/>
                <w:szCs w:val="20"/>
              </w:rPr>
              <w:t>Проте, важливо узгодити простий та прозорий механізм розрахунку обсягу банківської гарантії.</w:t>
            </w:r>
          </w:p>
          <w:p w:rsidR="00B57E20" w:rsidRPr="004258F1" w:rsidRDefault="00B57E20" w:rsidP="0068129F">
            <w:pPr>
              <w:rPr>
                <w:sz w:val="20"/>
                <w:szCs w:val="20"/>
              </w:rPr>
            </w:pPr>
          </w:p>
          <w:p w:rsidR="00B57E20" w:rsidRPr="004258F1" w:rsidRDefault="00B57E20" w:rsidP="00B57E20">
            <w:pPr>
              <w:numPr>
                <w:ilvl w:val="0"/>
                <w:numId w:val="5"/>
              </w:numPr>
              <w:tabs>
                <w:tab w:val="left" w:pos="252"/>
              </w:tabs>
              <w:ind w:left="-18" w:firstLine="18"/>
              <w:rPr>
                <w:sz w:val="20"/>
                <w:szCs w:val="20"/>
              </w:rPr>
            </w:pPr>
            <w:r w:rsidRPr="004258F1">
              <w:rPr>
                <w:sz w:val="20"/>
                <w:szCs w:val="20"/>
              </w:rPr>
              <w:t>Пропонуємо встановити 10 тис. євро/МВт потужності вітроенергетичного об'єкта за результатами аукціону.</w:t>
            </w:r>
          </w:p>
          <w:p w:rsidR="00B57E20" w:rsidRPr="004258F1" w:rsidRDefault="00B57E20" w:rsidP="00B57E20">
            <w:pPr>
              <w:numPr>
                <w:ilvl w:val="0"/>
                <w:numId w:val="5"/>
              </w:numPr>
              <w:tabs>
                <w:tab w:val="left" w:pos="252"/>
              </w:tabs>
              <w:ind w:left="-18" w:firstLine="18"/>
              <w:rPr>
                <w:sz w:val="20"/>
                <w:szCs w:val="20"/>
              </w:rPr>
            </w:pPr>
            <w:r w:rsidRPr="004258F1">
              <w:rPr>
                <w:sz w:val="20"/>
                <w:szCs w:val="20"/>
              </w:rPr>
              <w:t>Пропонуємо дет</w:t>
            </w:r>
            <w:r w:rsidRPr="004258F1">
              <w:rPr>
                <w:sz w:val="20"/>
                <w:szCs w:val="20"/>
              </w:rPr>
              <w:t>ал</w:t>
            </w:r>
            <w:r w:rsidRPr="004258F1">
              <w:rPr>
                <w:sz w:val="20"/>
                <w:szCs w:val="20"/>
              </w:rPr>
              <w:t>ьніше обговорити розмір для потужності сонячної енергетики.</w:t>
            </w:r>
          </w:p>
        </w:tc>
        <w:tc>
          <w:tcPr>
            <w:tcW w:w="4860" w:type="dxa"/>
            <w:shd w:val="clear" w:color="auto" w:fill="auto"/>
          </w:tcPr>
          <w:p w:rsidR="00095CDB" w:rsidRPr="009B6221" w:rsidRDefault="009B6221" w:rsidP="00B57E20">
            <w:pPr>
              <w:tabs>
                <w:tab w:val="left" w:pos="252"/>
              </w:tabs>
              <w:rPr>
                <w:sz w:val="20"/>
                <w:szCs w:val="20"/>
              </w:rPr>
            </w:pPr>
            <w:r>
              <w:rPr>
                <w:sz w:val="20"/>
                <w:szCs w:val="20"/>
              </w:rPr>
              <w:t>П</w:t>
            </w:r>
            <w:r w:rsidRPr="009B6221">
              <w:rPr>
                <w:sz w:val="20"/>
                <w:szCs w:val="20"/>
              </w:rPr>
              <w:t>огоджуємося з тим, що учасник аукціон</w:t>
            </w:r>
            <w:r>
              <w:rPr>
                <w:sz w:val="20"/>
                <w:szCs w:val="20"/>
              </w:rPr>
              <w:t>у</w:t>
            </w:r>
            <w:r w:rsidRPr="009B6221">
              <w:rPr>
                <w:sz w:val="20"/>
                <w:szCs w:val="20"/>
              </w:rPr>
              <w:t xml:space="preserve"> повинен надати гарантії своєї спроможності до реалізації проектів. В той же час вважаємо, що визначення виду та суми гарантій повинно </w:t>
            </w:r>
            <w:proofErr w:type="spellStart"/>
            <w:r w:rsidRPr="009B6221">
              <w:rPr>
                <w:sz w:val="20"/>
                <w:szCs w:val="20"/>
              </w:rPr>
              <w:t>гнучко</w:t>
            </w:r>
            <w:proofErr w:type="spellEnd"/>
            <w:r w:rsidRPr="009B6221">
              <w:rPr>
                <w:sz w:val="20"/>
                <w:szCs w:val="20"/>
              </w:rPr>
              <w:t xml:space="preserve"> відображати фінансовий клімат. Тому</w:t>
            </w:r>
            <w:r>
              <w:rPr>
                <w:sz w:val="20"/>
                <w:szCs w:val="20"/>
              </w:rPr>
              <w:t>,</w:t>
            </w:r>
            <w:r w:rsidRPr="009B6221">
              <w:rPr>
                <w:sz w:val="20"/>
                <w:szCs w:val="20"/>
              </w:rPr>
              <w:t xml:space="preserve"> </w:t>
            </w:r>
            <w:r w:rsidRPr="009B6221">
              <w:rPr>
                <w:b/>
                <w:bCs/>
                <w:sz w:val="20"/>
                <w:szCs w:val="20"/>
              </w:rPr>
              <w:t>вважаємо за доцільне визначити на рівні закону лише принципи відповідальності (як учасника аукціону, так і його організатора), а конкретні величини та форми перенести у підзаконні акти</w:t>
            </w:r>
            <w:r w:rsidRPr="009B6221">
              <w:rPr>
                <w:sz w:val="20"/>
                <w:szCs w:val="20"/>
              </w:rPr>
              <w:t>. Така гнучкість дозволить опрацювати оптимальні форми гарантування та відповідальності за результатами тестових аукціонів у тому числі.</w:t>
            </w:r>
          </w:p>
        </w:tc>
        <w:tc>
          <w:tcPr>
            <w:tcW w:w="3420" w:type="dxa"/>
          </w:tcPr>
          <w:p w:rsidR="00887B2B" w:rsidRDefault="00887B2B" w:rsidP="00B57E20">
            <w:pPr>
              <w:tabs>
                <w:tab w:val="left" w:pos="252"/>
              </w:tabs>
              <w:rPr>
                <w:sz w:val="20"/>
                <w:szCs w:val="20"/>
              </w:rPr>
            </w:pPr>
            <w:r w:rsidRPr="004258F1">
              <w:rPr>
                <w:sz w:val="20"/>
                <w:szCs w:val="20"/>
              </w:rPr>
              <w:t>Погоджуємось з позицією</w:t>
            </w:r>
            <w:r>
              <w:rPr>
                <w:sz w:val="20"/>
                <w:szCs w:val="20"/>
              </w:rPr>
              <w:t xml:space="preserve"> 2.</w:t>
            </w:r>
          </w:p>
          <w:p w:rsidR="00095CDB" w:rsidRPr="004258F1" w:rsidRDefault="00887B2B" w:rsidP="00B57E20">
            <w:pPr>
              <w:tabs>
                <w:tab w:val="left" w:pos="252"/>
              </w:tabs>
              <w:rPr>
                <w:sz w:val="20"/>
                <w:szCs w:val="20"/>
              </w:rPr>
            </w:pPr>
            <w:r w:rsidRPr="00887B2B">
              <w:rPr>
                <w:sz w:val="20"/>
                <w:szCs w:val="20"/>
              </w:rPr>
              <w:t>Крім того</w:t>
            </w:r>
            <w:r>
              <w:rPr>
                <w:sz w:val="20"/>
                <w:szCs w:val="20"/>
              </w:rPr>
              <w:t>,</w:t>
            </w:r>
            <w:r w:rsidRPr="00887B2B">
              <w:rPr>
                <w:sz w:val="20"/>
                <w:szCs w:val="20"/>
              </w:rPr>
              <w:t xml:space="preserve"> має бути визначено хто і як буде визначати рівень банківської гарантії для того чи іншого проекту</w:t>
            </w:r>
            <w:r>
              <w:rPr>
                <w:sz w:val="20"/>
                <w:szCs w:val="20"/>
              </w:rPr>
              <w:t>.</w:t>
            </w:r>
          </w:p>
        </w:tc>
      </w:tr>
      <w:tr w:rsidR="00095CDB" w:rsidRPr="004258F1" w:rsidTr="004258F1">
        <w:tc>
          <w:tcPr>
            <w:tcW w:w="427" w:type="dxa"/>
            <w:shd w:val="clear" w:color="auto" w:fill="auto"/>
          </w:tcPr>
          <w:p w:rsidR="00095CDB" w:rsidRPr="004258F1" w:rsidRDefault="00095CDB" w:rsidP="00095CDB">
            <w:pPr>
              <w:numPr>
                <w:ilvl w:val="0"/>
                <w:numId w:val="7"/>
              </w:numPr>
              <w:ind w:hanging="738"/>
              <w:jc w:val="both"/>
              <w:rPr>
                <w:sz w:val="20"/>
                <w:szCs w:val="20"/>
              </w:rPr>
            </w:pPr>
          </w:p>
        </w:tc>
        <w:tc>
          <w:tcPr>
            <w:tcW w:w="2250" w:type="dxa"/>
            <w:shd w:val="clear" w:color="auto" w:fill="auto"/>
            <w:vAlign w:val="bottom"/>
          </w:tcPr>
          <w:p w:rsidR="00095CDB" w:rsidRPr="004258F1" w:rsidRDefault="00095CDB" w:rsidP="0068129F">
            <w:pPr>
              <w:rPr>
                <w:sz w:val="20"/>
                <w:szCs w:val="20"/>
              </w:rPr>
            </w:pPr>
            <w:r w:rsidRPr="004258F1">
              <w:rPr>
                <w:sz w:val="20"/>
                <w:szCs w:val="20"/>
              </w:rPr>
              <w:t>Підтримка буде надаватись у вигляді тарифу або контракту на різницю.</w:t>
            </w:r>
          </w:p>
          <w:p w:rsidR="00095CDB" w:rsidRPr="004258F1" w:rsidRDefault="00095CDB" w:rsidP="0068129F">
            <w:pPr>
              <w:rPr>
                <w:sz w:val="20"/>
                <w:szCs w:val="20"/>
              </w:rPr>
            </w:pPr>
          </w:p>
        </w:tc>
        <w:tc>
          <w:tcPr>
            <w:tcW w:w="4500" w:type="dxa"/>
            <w:shd w:val="clear" w:color="auto" w:fill="auto"/>
            <w:vAlign w:val="bottom"/>
          </w:tcPr>
          <w:p w:rsidR="00095CDB" w:rsidRPr="004258F1" w:rsidRDefault="00095CDB" w:rsidP="0068129F">
            <w:pPr>
              <w:rPr>
                <w:sz w:val="20"/>
                <w:szCs w:val="20"/>
              </w:rPr>
            </w:pPr>
            <w:r w:rsidRPr="004258F1">
              <w:rPr>
                <w:sz w:val="20"/>
                <w:szCs w:val="20"/>
              </w:rPr>
              <w:t xml:space="preserve">Погоджуємось </w:t>
            </w: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tc>
        <w:tc>
          <w:tcPr>
            <w:tcW w:w="4860" w:type="dxa"/>
            <w:shd w:val="clear" w:color="auto" w:fill="auto"/>
          </w:tcPr>
          <w:p w:rsidR="00095CDB" w:rsidRPr="004258F1" w:rsidRDefault="009B6221" w:rsidP="0068129F">
            <w:pPr>
              <w:rPr>
                <w:sz w:val="20"/>
                <w:szCs w:val="20"/>
              </w:rPr>
            </w:pPr>
            <w:r w:rsidRPr="009B6221">
              <w:rPr>
                <w:sz w:val="20"/>
                <w:szCs w:val="20"/>
              </w:rPr>
              <w:t>Погоджуємос</w:t>
            </w:r>
            <w:r>
              <w:rPr>
                <w:sz w:val="20"/>
                <w:szCs w:val="20"/>
              </w:rPr>
              <w:t xml:space="preserve">ь </w:t>
            </w:r>
            <w:r w:rsidRPr="009B6221">
              <w:rPr>
                <w:sz w:val="20"/>
                <w:szCs w:val="20"/>
              </w:rPr>
              <w:t>з позицією</w:t>
            </w:r>
            <w:r>
              <w:rPr>
                <w:sz w:val="20"/>
                <w:szCs w:val="20"/>
              </w:rPr>
              <w:t xml:space="preserve"> 1</w:t>
            </w:r>
          </w:p>
          <w:p w:rsidR="00095CDB" w:rsidRPr="004258F1" w:rsidRDefault="00095CDB" w:rsidP="0068129F">
            <w:pPr>
              <w:rPr>
                <w:sz w:val="20"/>
                <w:szCs w:val="20"/>
              </w:rPr>
            </w:pPr>
          </w:p>
          <w:p w:rsidR="00095CDB" w:rsidRPr="004258F1" w:rsidRDefault="00095CDB" w:rsidP="0068129F">
            <w:pPr>
              <w:rPr>
                <w:sz w:val="20"/>
                <w:szCs w:val="20"/>
              </w:rPr>
            </w:pPr>
          </w:p>
        </w:tc>
        <w:tc>
          <w:tcPr>
            <w:tcW w:w="3420" w:type="dxa"/>
          </w:tcPr>
          <w:p w:rsidR="00095CDB" w:rsidRPr="004258F1" w:rsidRDefault="00887B2B" w:rsidP="0068129F">
            <w:pPr>
              <w:rPr>
                <w:sz w:val="20"/>
                <w:szCs w:val="20"/>
              </w:rPr>
            </w:pPr>
            <w:r w:rsidRPr="009B6221">
              <w:rPr>
                <w:b/>
                <w:bCs/>
                <w:sz w:val="20"/>
                <w:szCs w:val="20"/>
              </w:rPr>
              <w:t>Потрібне додаткове обговорення.</w:t>
            </w:r>
            <w:r w:rsidRPr="009B6221">
              <w:rPr>
                <w:sz w:val="20"/>
                <w:szCs w:val="20"/>
              </w:rPr>
              <w:t xml:space="preserve"> </w:t>
            </w:r>
            <w:r>
              <w:rPr>
                <w:sz w:val="20"/>
                <w:szCs w:val="20"/>
              </w:rPr>
              <w:t xml:space="preserve">Потрібно </w:t>
            </w:r>
            <w:r w:rsidRPr="00887B2B">
              <w:rPr>
                <w:sz w:val="20"/>
                <w:szCs w:val="20"/>
              </w:rPr>
              <w:t>визначити як енергоринок чи гарантований покупець будуть рахувати різницю (контракт на різницю)</w:t>
            </w:r>
            <w:r>
              <w:rPr>
                <w:sz w:val="20"/>
                <w:szCs w:val="20"/>
              </w:rPr>
              <w:t>.</w:t>
            </w:r>
          </w:p>
        </w:tc>
      </w:tr>
      <w:tr w:rsidR="00095CDB" w:rsidRPr="004258F1" w:rsidTr="004258F1">
        <w:tc>
          <w:tcPr>
            <w:tcW w:w="427" w:type="dxa"/>
            <w:shd w:val="clear" w:color="auto" w:fill="auto"/>
          </w:tcPr>
          <w:p w:rsidR="00095CDB" w:rsidRPr="004258F1" w:rsidRDefault="00095CDB" w:rsidP="00095CDB">
            <w:pPr>
              <w:numPr>
                <w:ilvl w:val="0"/>
                <w:numId w:val="7"/>
              </w:numPr>
              <w:ind w:hanging="738"/>
              <w:jc w:val="both"/>
              <w:rPr>
                <w:sz w:val="20"/>
                <w:szCs w:val="20"/>
              </w:rPr>
            </w:pPr>
          </w:p>
        </w:tc>
        <w:tc>
          <w:tcPr>
            <w:tcW w:w="2250" w:type="dxa"/>
            <w:shd w:val="clear" w:color="auto" w:fill="auto"/>
            <w:vAlign w:val="bottom"/>
          </w:tcPr>
          <w:p w:rsidR="00095CDB" w:rsidRDefault="00095CDB" w:rsidP="0068129F">
            <w:pPr>
              <w:rPr>
                <w:sz w:val="20"/>
                <w:szCs w:val="20"/>
              </w:rPr>
            </w:pPr>
            <w:r w:rsidRPr="004258F1">
              <w:rPr>
                <w:sz w:val="20"/>
                <w:szCs w:val="20"/>
              </w:rPr>
              <w:t>В аукціонах обов’язково беруть участь всі об’єкти вітрової генерації більше 10 МВт, сонячної генерації – більше 5 МВт.</w:t>
            </w:r>
          </w:p>
          <w:p w:rsidR="009B6221" w:rsidRDefault="009B6221" w:rsidP="0068129F">
            <w:pPr>
              <w:rPr>
                <w:sz w:val="20"/>
                <w:szCs w:val="20"/>
              </w:rPr>
            </w:pPr>
          </w:p>
          <w:p w:rsidR="009B6221" w:rsidRDefault="009B6221" w:rsidP="0068129F">
            <w:pPr>
              <w:rPr>
                <w:sz w:val="20"/>
                <w:szCs w:val="20"/>
              </w:rPr>
            </w:pPr>
          </w:p>
          <w:p w:rsidR="009B6221" w:rsidRPr="004258F1" w:rsidRDefault="009B6221" w:rsidP="0068129F">
            <w:pPr>
              <w:rPr>
                <w:sz w:val="20"/>
                <w:szCs w:val="20"/>
              </w:rPr>
            </w:pPr>
          </w:p>
        </w:tc>
        <w:tc>
          <w:tcPr>
            <w:tcW w:w="4500" w:type="dxa"/>
            <w:shd w:val="clear" w:color="auto" w:fill="auto"/>
            <w:vAlign w:val="bottom"/>
          </w:tcPr>
          <w:p w:rsidR="00095CDB" w:rsidRPr="004258F1" w:rsidRDefault="00095CDB" w:rsidP="0068129F">
            <w:pPr>
              <w:rPr>
                <w:sz w:val="20"/>
                <w:szCs w:val="20"/>
              </w:rPr>
            </w:pPr>
            <w:r w:rsidRPr="004258F1">
              <w:rPr>
                <w:sz w:val="20"/>
                <w:szCs w:val="20"/>
              </w:rPr>
              <w:t xml:space="preserve">Погоджуємось </w:t>
            </w:r>
          </w:p>
          <w:p w:rsidR="00095CDB" w:rsidRPr="004258F1" w:rsidRDefault="00095CDB" w:rsidP="0068129F">
            <w:pPr>
              <w:rPr>
                <w:sz w:val="20"/>
                <w:szCs w:val="20"/>
              </w:rPr>
            </w:pPr>
          </w:p>
          <w:p w:rsidR="00095CDB" w:rsidRDefault="00095CDB" w:rsidP="0068129F">
            <w:pPr>
              <w:rPr>
                <w:sz w:val="20"/>
                <w:szCs w:val="20"/>
              </w:rPr>
            </w:pPr>
          </w:p>
          <w:p w:rsidR="009B6221" w:rsidRDefault="009B6221" w:rsidP="0068129F">
            <w:pPr>
              <w:rPr>
                <w:sz w:val="20"/>
                <w:szCs w:val="20"/>
              </w:rPr>
            </w:pPr>
          </w:p>
          <w:p w:rsidR="009B6221" w:rsidRPr="004258F1" w:rsidRDefault="009B6221"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p w:rsidR="00095CDB" w:rsidRPr="004258F1" w:rsidRDefault="00095CDB" w:rsidP="0068129F">
            <w:pPr>
              <w:rPr>
                <w:sz w:val="20"/>
                <w:szCs w:val="20"/>
              </w:rPr>
            </w:pPr>
          </w:p>
        </w:tc>
        <w:tc>
          <w:tcPr>
            <w:tcW w:w="4860" w:type="dxa"/>
            <w:shd w:val="clear" w:color="auto" w:fill="auto"/>
          </w:tcPr>
          <w:p w:rsidR="009B6221" w:rsidRPr="009B6221" w:rsidRDefault="009B6221" w:rsidP="009B6221">
            <w:pPr>
              <w:rPr>
                <w:sz w:val="20"/>
                <w:szCs w:val="20"/>
                <w:lang w:eastAsia="en-US"/>
              </w:rPr>
            </w:pPr>
            <w:r w:rsidRPr="009B6221">
              <w:rPr>
                <w:b/>
                <w:bCs/>
                <w:sz w:val="20"/>
                <w:szCs w:val="20"/>
              </w:rPr>
              <w:t>Потрібне додаткове обговорення.</w:t>
            </w:r>
            <w:r w:rsidRPr="009B6221">
              <w:rPr>
                <w:sz w:val="20"/>
                <w:szCs w:val="20"/>
              </w:rPr>
              <w:t xml:space="preserve"> Ключовий ризик - недобросовісна конкуренція у ситуації "високих" зелених тарифів і високої конкуренції на аукціонах. У такій ситуації проекти будуть "дробитися" на дрібні (до встановленої граничної величини).</w:t>
            </w:r>
          </w:p>
          <w:p w:rsidR="00095CDB" w:rsidRPr="004258F1" w:rsidRDefault="009B6221" w:rsidP="009B6221">
            <w:pPr>
              <w:rPr>
                <w:sz w:val="20"/>
                <w:szCs w:val="20"/>
              </w:rPr>
            </w:pPr>
            <w:r w:rsidRPr="009B6221">
              <w:rPr>
                <w:sz w:val="20"/>
                <w:szCs w:val="20"/>
              </w:rPr>
              <w:t xml:space="preserve">Тут особливо слід відзначити </w:t>
            </w:r>
            <w:r w:rsidRPr="009B6221">
              <w:rPr>
                <w:b/>
                <w:bCs/>
                <w:sz w:val="20"/>
                <w:szCs w:val="20"/>
              </w:rPr>
              <w:t>необхідність подовження системи «зелених» тарифів для проектів, величина яких менше за граничну.</w:t>
            </w:r>
            <w:r w:rsidRPr="009B6221">
              <w:rPr>
                <w:sz w:val="20"/>
                <w:szCs w:val="20"/>
              </w:rPr>
              <w:t xml:space="preserve"> Терміни такої підтримки та умови, повинні додатково обговорюватися</w:t>
            </w:r>
            <w:r w:rsidR="00F822D1">
              <w:rPr>
                <w:sz w:val="20"/>
                <w:szCs w:val="20"/>
              </w:rPr>
              <w:t>.</w:t>
            </w:r>
            <w:bookmarkStart w:id="0" w:name="_GoBack"/>
            <w:bookmarkEnd w:id="0"/>
          </w:p>
        </w:tc>
        <w:tc>
          <w:tcPr>
            <w:tcW w:w="3420" w:type="dxa"/>
          </w:tcPr>
          <w:p w:rsidR="00095CDB" w:rsidRPr="004258F1" w:rsidRDefault="0094409C" w:rsidP="0068129F">
            <w:pPr>
              <w:rPr>
                <w:sz w:val="20"/>
                <w:szCs w:val="20"/>
              </w:rPr>
            </w:pPr>
            <w:r w:rsidRPr="0094409C">
              <w:rPr>
                <w:sz w:val="20"/>
                <w:szCs w:val="20"/>
              </w:rPr>
              <w:t>Зазвичай в інших країнах аукціони проводяться починаючи з 50 МВт для сонця</w:t>
            </w:r>
            <w:r>
              <w:rPr>
                <w:sz w:val="20"/>
                <w:szCs w:val="20"/>
              </w:rPr>
              <w:t>.</w:t>
            </w:r>
          </w:p>
        </w:tc>
      </w:tr>
      <w:tr w:rsidR="00095CDB" w:rsidRPr="004258F1" w:rsidTr="004258F1">
        <w:tc>
          <w:tcPr>
            <w:tcW w:w="427" w:type="dxa"/>
            <w:shd w:val="clear" w:color="auto" w:fill="auto"/>
          </w:tcPr>
          <w:p w:rsidR="00095CDB" w:rsidRPr="0094409C" w:rsidRDefault="00095CDB" w:rsidP="00095CDB">
            <w:pPr>
              <w:numPr>
                <w:ilvl w:val="0"/>
                <w:numId w:val="7"/>
              </w:numPr>
              <w:ind w:hanging="738"/>
              <w:jc w:val="both"/>
              <w:rPr>
                <w:sz w:val="20"/>
                <w:szCs w:val="20"/>
                <w:lang w:val="ru-RU"/>
              </w:rPr>
            </w:pPr>
          </w:p>
        </w:tc>
        <w:tc>
          <w:tcPr>
            <w:tcW w:w="2250" w:type="dxa"/>
            <w:shd w:val="clear" w:color="auto" w:fill="auto"/>
            <w:vAlign w:val="bottom"/>
          </w:tcPr>
          <w:p w:rsidR="00095CDB" w:rsidRDefault="00095CDB" w:rsidP="0068129F">
            <w:pPr>
              <w:rPr>
                <w:sz w:val="20"/>
                <w:szCs w:val="20"/>
              </w:rPr>
            </w:pPr>
            <w:r w:rsidRPr="004258F1">
              <w:rPr>
                <w:sz w:val="20"/>
                <w:szCs w:val="20"/>
              </w:rPr>
              <w:t>Ціна не може бути більшою за «зелений» тариф на момент проведення аукціону (не на момент введення в експлуатацію).</w:t>
            </w:r>
          </w:p>
          <w:p w:rsidR="009B6221" w:rsidRDefault="009B6221" w:rsidP="0068129F">
            <w:pPr>
              <w:rPr>
                <w:color w:val="000000"/>
                <w:sz w:val="20"/>
                <w:szCs w:val="20"/>
                <w:lang w:val="ru-RU" w:eastAsia="en-US"/>
              </w:rPr>
            </w:pPr>
          </w:p>
          <w:p w:rsidR="009B6221" w:rsidRDefault="009B6221" w:rsidP="0068129F">
            <w:pPr>
              <w:rPr>
                <w:color w:val="000000"/>
                <w:sz w:val="20"/>
                <w:szCs w:val="20"/>
                <w:lang w:val="ru-RU" w:eastAsia="en-US"/>
              </w:rPr>
            </w:pPr>
          </w:p>
          <w:p w:rsidR="009B6221" w:rsidRDefault="009B6221" w:rsidP="0068129F">
            <w:pPr>
              <w:rPr>
                <w:color w:val="000000"/>
                <w:sz w:val="20"/>
                <w:szCs w:val="20"/>
                <w:lang w:val="ru-RU" w:eastAsia="en-US"/>
              </w:rPr>
            </w:pPr>
          </w:p>
          <w:p w:rsidR="009B6221" w:rsidRDefault="009B6221" w:rsidP="0068129F">
            <w:pPr>
              <w:rPr>
                <w:color w:val="000000"/>
                <w:sz w:val="20"/>
                <w:szCs w:val="20"/>
                <w:lang w:val="ru-RU" w:eastAsia="en-US"/>
              </w:rPr>
            </w:pPr>
          </w:p>
          <w:p w:rsidR="009B6221" w:rsidRDefault="009B6221" w:rsidP="0068129F">
            <w:pPr>
              <w:rPr>
                <w:color w:val="000000"/>
                <w:sz w:val="20"/>
                <w:szCs w:val="20"/>
                <w:lang w:val="ru-RU" w:eastAsia="en-US"/>
              </w:rPr>
            </w:pPr>
          </w:p>
          <w:p w:rsidR="009B6221" w:rsidRDefault="009B6221" w:rsidP="0068129F">
            <w:pPr>
              <w:rPr>
                <w:color w:val="000000"/>
                <w:sz w:val="20"/>
                <w:szCs w:val="20"/>
                <w:lang w:val="ru-RU" w:eastAsia="en-US"/>
              </w:rPr>
            </w:pPr>
          </w:p>
          <w:p w:rsidR="009B6221" w:rsidRDefault="009B6221" w:rsidP="0068129F">
            <w:pPr>
              <w:rPr>
                <w:color w:val="000000"/>
                <w:sz w:val="20"/>
                <w:szCs w:val="20"/>
                <w:lang w:val="ru-RU" w:eastAsia="en-US"/>
              </w:rPr>
            </w:pPr>
          </w:p>
          <w:p w:rsidR="009B6221" w:rsidRDefault="009B6221" w:rsidP="0068129F">
            <w:pPr>
              <w:rPr>
                <w:color w:val="000000"/>
                <w:sz w:val="20"/>
                <w:szCs w:val="20"/>
                <w:lang w:val="ru-RU" w:eastAsia="en-US"/>
              </w:rPr>
            </w:pPr>
          </w:p>
          <w:p w:rsidR="009B6221" w:rsidRPr="004258F1" w:rsidRDefault="009B6221" w:rsidP="0068129F">
            <w:pPr>
              <w:rPr>
                <w:color w:val="000000"/>
                <w:sz w:val="20"/>
                <w:szCs w:val="20"/>
                <w:lang w:val="ru-RU" w:eastAsia="en-US"/>
              </w:rPr>
            </w:pPr>
          </w:p>
        </w:tc>
        <w:tc>
          <w:tcPr>
            <w:tcW w:w="4500" w:type="dxa"/>
            <w:shd w:val="clear" w:color="auto" w:fill="auto"/>
            <w:vAlign w:val="bottom"/>
          </w:tcPr>
          <w:p w:rsidR="00095CDB" w:rsidRPr="004258F1" w:rsidRDefault="00095CDB" w:rsidP="0068129F">
            <w:pPr>
              <w:rPr>
                <w:sz w:val="20"/>
                <w:szCs w:val="20"/>
              </w:rPr>
            </w:pPr>
            <w:r w:rsidRPr="004258F1">
              <w:rPr>
                <w:sz w:val="20"/>
                <w:szCs w:val="20"/>
              </w:rPr>
              <w:t xml:space="preserve">Погоджуємось </w:t>
            </w: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Default="00095CDB"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tc>
        <w:tc>
          <w:tcPr>
            <w:tcW w:w="4860" w:type="dxa"/>
            <w:shd w:val="clear" w:color="auto" w:fill="auto"/>
          </w:tcPr>
          <w:p w:rsidR="009B6221" w:rsidRPr="009B6221" w:rsidRDefault="009B6221" w:rsidP="009B6221">
            <w:pPr>
              <w:rPr>
                <w:b/>
                <w:bCs/>
                <w:sz w:val="20"/>
                <w:szCs w:val="20"/>
                <w:lang w:eastAsia="en-US"/>
              </w:rPr>
            </w:pPr>
            <w:r w:rsidRPr="009B6221">
              <w:rPr>
                <w:b/>
                <w:bCs/>
                <w:sz w:val="20"/>
                <w:szCs w:val="20"/>
              </w:rPr>
              <w:t>Потрібне додаткове обговорення</w:t>
            </w:r>
          </w:p>
          <w:p w:rsidR="009B6221" w:rsidRPr="009B6221" w:rsidRDefault="009B6221" w:rsidP="009B6221">
            <w:pPr>
              <w:rPr>
                <w:sz w:val="20"/>
                <w:szCs w:val="20"/>
              </w:rPr>
            </w:pPr>
            <w:r w:rsidRPr="009B6221">
              <w:rPr>
                <w:sz w:val="20"/>
                <w:szCs w:val="20"/>
              </w:rPr>
              <w:t>По</w:t>
            </w:r>
            <w:r>
              <w:rPr>
                <w:sz w:val="20"/>
                <w:szCs w:val="20"/>
              </w:rPr>
              <w:t>-</w:t>
            </w:r>
            <w:r w:rsidRPr="009B6221">
              <w:rPr>
                <w:sz w:val="20"/>
                <w:szCs w:val="20"/>
              </w:rPr>
              <w:t>перше, якщо система «зелених» тарифів для великих проектів буде скасована (з «дати припинення»), то в такому разі максимальна гранична ціна аукціону повинна бути визначена окремо</w:t>
            </w:r>
            <w:r>
              <w:rPr>
                <w:sz w:val="20"/>
                <w:szCs w:val="20"/>
              </w:rPr>
              <w:t>.</w:t>
            </w:r>
          </w:p>
          <w:p w:rsidR="00095CDB" w:rsidRPr="009B6221" w:rsidRDefault="009B6221" w:rsidP="009B6221">
            <w:pPr>
              <w:rPr>
                <w:sz w:val="20"/>
                <w:szCs w:val="20"/>
              </w:rPr>
            </w:pPr>
            <w:r w:rsidRPr="009B6221">
              <w:rPr>
                <w:sz w:val="20"/>
                <w:szCs w:val="20"/>
              </w:rPr>
              <w:t>По</w:t>
            </w:r>
            <w:r>
              <w:rPr>
                <w:sz w:val="20"/>
                <w:szCs w:val="20"/>
              </w:rPr>
              <w:t>-</w:t>
            </w:r>
            <w:r w:rsidRPr="009B6221">
              <w:rPr>
                <w:sz w:val="20"/>
                <w:szCs w:val="20"/>
              </w:rPr>
              <w:t>друге, у разі запровадження географічного принципу визначення квот на проведення аукціонів (наприклад за областями), заявки у «північних» областях можуть перевищувати існуючі зелені тарифи. І рішення про акцептування таких заявок повинно прийматися у комплексі з питанням про необхідність регіонального «розподіленого» розвитку ВДЕ. У такому разі гранична ціна може бути публічно не визначена задля стимулювання учасників.</w:t>
            </w:r>
          </w:p>
        </w:tc>
        <w:tc>
          <w:tcPr>
            <w:tcW w:w="3420" w:type="dxa"/>
          </w:tcPr>
          <w:p w:rsidR="00095CDB" w:rsidRPr="0094409C" w:rsidRDefault="0094409C" w:rsidP="0068129F">
            <w:pPr>
              <w:rPr>
                <w:b/>
                <w:sz w:val="20"/>
                <w:szCs w:val="20"/>
              </w:rPr>
            </w:pPr>
            <w:r w:rsidRPr="0094409C">
              <w:rPr>
                <w:b/>
                <w:sz w:val="20"/>
                <w:szCs w:val="20"/>
              </w:rPr>
              <w:t>Потрібне додаткове обговорення</w:t>
            </w:r>
          </w:p>
        </w:tc>
      </w:tr>
      <w:tr w:rsidR="00095CDB" w:rsidRPr="004258F1" w:rsidTr="009B6221">
        <w:trPr>
          <w:trHeight w:val="4868"/>
        </w:trPr>
        <w:tc>
          <w:tcPr>
            <w:tcW w:w="427" w:type="dxa"/>
            <w:shd w:val="clear" w:color="auto" w:fill="auto"/>
          </w:tcPr>
          <w:p w:rsidR="00095CDB" w:rsidRPr="009B6221" w:rsidRDefault="00095CDB" w:rsidP="00095CDB">
            <w:pPr>
              <w:numPr>
                <w:ilvl w:val="0"/>
                <w:numId w:val="7"/>
              </w:numPr>
              <w:ind w:hanging="738"/>
              <w:jc w:val="both"/>
              <w:rPr>
                <w:sz w:val="20"/>
                <w:szCs w:val="20"/>
                <w:lang w:val="ru-RU"/>
              </w:rPr>
            </w:pPr>
            <w:r w:rsidRPr="009B6221">
              <w:rPr>
                <w:sz w:val="20"/>
                <w:szCs w:val="20"/>
                <w:lang w:val="ru-RU"/>
              </w:rPr>
              <w:lastRenderedPageBreak/>
              <w:t xml:space="preserve"> </w:t>
            </w:r>
          </w:p>
        </w:tc>
        <w:tc>
          <w:tcPr>
            <w:tcW w:w="2250" w:type="dxa"/>
            <w:shd w:val="clear" w:color="auto" w:fill="auto"/>
            <w:vAlign w:val="bottom"/>
          </w:tcPr>
          <w:p w:rsidR="00095CDB" w:rsidRPr="004258F1" w:rsidRDefault="00095CDB" w:rsidP="0068129F">
            <w:pPr>
              <w:rPr>
                <w:sz w:val="20"/>
                <w:szCs w:val="20"/>
              </w:rPr>
            </w:pPr>
            <w:r w:rsidRPr="004258F1">
              <w:rPr>
                <w:sz w:val="20"/>
                <w:szCs w:val="20"/>
              </w:rPr>
              <w:t>Термін дії підтримки – 15 років з моменту РРА, амортизація активів – 15 років.</w:t>
            </w: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p w:rsidR="00095CDB" w:rsidRPr="004258F1" w:rsidRDefault="00095CDB" w:rsidP="0068129F">
            <w:pPr>
              <w:rPr>
                <w:color w:val="000000"/>
                <w:sz w:val="20"/>
                <w:szCs w:val="20"/>
              </w:rPr>
            </w:pPr>
          </w:p>
        </w:tc>
        <w:tc>
          <w:tcPr>
            <w:tcW w:w="4500" w:type="dxa"/>
            <w:shd w:val="clear" w:color="auto" w:fill="auto"/>
            <w:vAlign w:val="bottom"/>
          </w:tcPr>
          <w:p w:rsidR="00095CDB" w:rsidRPr="004258F1" w:rsidRDefault="00095CDB" w:rsidP="0068129F">
            <w:pPr>
              <w:rPr>
                <w:color w:val="000000"/>
                <w:sz w:val="20"/>
                <w:szCs w:val="20"/>
              </w:rPr>
            </w:pPr>
            <w:r w:rsidRPr="004258F1">
              <w:rPr>
                <w:sz w:val="20"/>
                <w:szCs w:val="20"/>
              </w:rPr>
              <w:t>Погоджуємось щодо 15 років, проте з моменту укладення попереднього Договору про купівлю-продаж електричної енергії.</w:t>
            </w:r>
            <w:r w:rsidRPr="004258F1">
              <w:rPr>
                <w:color w:val="000000"/>
                <w:sz w:val="20"/>
                <w:szCs w:val="20"/>
              </w:rPr>
              <w:t xml:space="preserve"> </w:t>
            </w:r>
          </w:p>
          <w:p w:rsidR="00B57E20" w:rsidRPr="004258F1" w:rsidRDefault="00B57E20" w:rsidP="0068129F">
            <w:pPr>
              <w:rPr>
                <w:color w:val="000000"/>
                <w:sz w:val="20"/>
                <w:szCs w:val="20"/>
              </w:rPr>
            </w:pPr>
          </w:p>
          <w:p w:rsidR="00B57E20" w:rsidRPr="004258F1" w:rsidRDefault="00B57E20" w:rsidP="0068129F">
            <w:pPr>
              <w:rPr>
                <w:color w:val="000000"/>
                <w:sz w:val="20"/>
                <w:szCs w:val="20"/>
              </w:rPr>
            </w:pPr>
            <w:r w:rsidRPr="004258F1">
              <w:rPr>
                <w:sz w:val="20"/>
                <w:szCs w:val="20"/>
              </w:rPr>
              <w:t xml:space="preserve">Продукт </w:t>
            </w:r>
            <w:r w:rsidRPr="004258F1">
              <w:rPr>
                <w:sz w:val="20"/>
                <w:szCs w:val="20"/>
              </w:rPr>
              <w:t>аукціону пропонується як «варіант енергосистеми» із зазначенням максимальної пропускної здатності з'єднання, кВ, ПС енергосистеми та вартості приєднання. Інвестор, який переможе, матиме після цього два роки для об'єкта сонячної та три роки для об'єкта вітрової енергетики на виконання всіх вимог попереднього Договору про купівлю-продаж електричної енергії та на укладення попереднього Договору про купівлю-продаж електричної енергії. Вказаний термін може бути продовжений для виробника відповідної електричної енергії на строк до одного року, однак при цьому сума банківської гарантії повинна бути подвоєна. Для варіанту «єдиного вікна» попередній Договір про купівлю-продаж електричної енергії можна підписати відразу після перемоги в</w:t>
            </w:r>
            <w:r w:rsidRPr="004258F1">
              <w:rPr>
                <w:sz w:val="20"/>
                <w:szCs w:val="20"/>
              </w:rPr>
              <w:t xml:space="preserve"> аукціоні.</w:t>
            </w:r>
          </w:p>
          <w:p w:rsidR="00095CDB" w:rsidRDefault="00095CDB"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9B6221" w:rsidRDefault="009B6221" w:rsidP="0068129F">
            <w:pPr>
              <w:rPr>
                <w:color w:val="000000"/>
                <w:sz w:val="20"/>
                <w:szCs w:val="20"/>
              </w:rPr>
            </w:pPr>
          </w:p>
          <w:p w:rsidR="009B6221" w:rsidRPr="004258F1" w:rsidRDefault="009B6221" w:rsidP="0068129F">
            <w:pPr>
              <w:rPr>
                <w:color w:val="000000"/>
                <w:sz w:val="20"/>
                <w:szCs w:val="20"/>
              </w:rPr>
            </w:pPr>
          </w:p>
        </w:tc>
        <w:tc>
          <w:tcPr>
            <w:tcW w:w="4860" w:type="dxa"/>
            <w:shd w:val="clear" w:color="auto" w:fill="auto"/>
          </w:tcPr>
          <w:p w:rsidR="00095CDB" w:rsidRPr="004258F1" w:rsidRDefault="009B6221" w:rsidP="0068129F">
            <w:pPr>
              <w:jc w:val="both"/>
              <w:rPr>
                <w:sz w:val="20"/>
                <w:szCs w:val="20"/>
              </w:rPr>
            </w:pPr>
            <w:r w:rsidRPr="009B6221">
              <w:rPr>
                <w:sz w:val="20"/>
                <w:szCs w:val="20"/>
              </w:rPr>
              <w:t>Погоджуємося з позицією</w:t>
            </w:r>
            <w:r>
              <w:rPr>
                <w:sz w:val="20"/>
                <w:szCs w:val="20"/>
              </w:rPr>
              <w:t xml:space="preserve"> 1</w:t>
            </w:r>
          </w:p>
        </w:tc>
        <w:tc>
          <w:tcPr>
            <w:tcW w:w="3420" w:type="dxa"/>
          </w:tcPr>
          <w:p w:rsidR="00095CDB" w:rsidRPr="004258F1" w:rsidRDefault="0094409C" w:rsidP="0068129F">
            <w:pPr>
              <w:jc w:val="both"/>
              <w:rPr>
                <w:sz w:val="20"/>
                <w:szCs w:val="20"/>
              </w:rPr>
            </w:pPr>
            <w:r w:rsidRPr="0094409C">
              <w:rPr>
                <w:sz w:val="20"/>
                <w:szCs w:val="20"/>
              </w:rPr>
              <w:t>Зазвичай в інших країнах після аукціонів РРА становить не менше 20-25 років</w:t>
            </w:r>
            <w:r w:rsidR="00F822D1">
              <w:rPr>
                <w:sz w:val="20"/>
                <w:szCs w:val="20"/>
              </w:rPr>
              <w:t>.</w:t>
            </w:r>
          </w:p>
        </w:tc>
      </w:tr>
      <w:tr w:rsidR="00095CDB" w:rsidRPr="004258F1" w:rsidTr="004258F1">
        <w:trPr>
          <w:trHeight w:val="562"/>
        </w:trPr>
        <w:tc>
          <w:tcPr>
            <w:tcW w:w="12037" w:type="dxa"/>
            <w:gridSpan w:val="4"/>
            <w:shd w:val="clear" w:color="auto" w:fill="auto"/>
          </w:tcPr>
          <w:p w:rsidR="00095CDB" w:rsidRPr="004258F1" w:rsidRDefault="00095CDB" w:rsidP="0068129F">
            <w:pPr>
              <w:rPr>
                <w:b/>
                <w:sz w:val="20"/>
                <w:szCs w:val="20"/>
              </w:rPr>
            </w:pPr>
            <w:r w:rsidRPr="004258F1">
              <w:rPr>
                <w:b/>
                <w:sz w:val="20"/>
                <w:szCs w:val="20"/>
              </w:rPr>
              <w:lastRenderedPageBreak/>
              <w:t>Додаткові пропозиції</w:t>
            </w:r>
          </w:p>
        </w:tc>
        <w:tc>
          <w:tcPr>
            <w:tcW w:w="3420" w:type="dxa"/>
          </w:tcPr>
          <w:p w:rsidR="00095CDB" w:rsidRPr="004258F1" w:rsidRDefault="00095CDB" w:rsidP="0068129F">
            <w:pPr>
              <w:rPr>
                <w:b/>
                <w:sz w:val="20"/>
                <w:szCs w:val="20"/>
              </w:rPr>
            </w:pPr>
          </w:p>
        </w:tc>
      </w:tr>
      <w:tr w:rsidR="00095CDB" w:rsidRPr="004258F1" w:rsidTr="004258F1">
        <w:tc>
          <w:tcPr>
            <w:tcW w:w="427" w:type="dxa"/>
            <w:shd w:val="clear" w:color="auto" w:fill="auto"/>
          </w:tcPr>
          <w:p w:rsidR="00095CDB" w:rsidRPr="004258F1" w:rsidRDefault="00095CDB" w:rsidP="0068129F">
            <w:pPr>
              <w:rPr>
                <w:sz w:val="20"/>
                <w:szCs w:val="20"/>
              </w:rPr>
            </w:pPr>
            <w:r w:rsidRPr="004258F1">
              <w:rPr>
                <w:sz w:val="20"/>
                <w:szCs w:val="20"/>
              </w:rPr>
              <w:t>1.</w:t>
            </w:r>
          </w:p>
        </w:tc>
        <w:tc>
          <w:tcPr>
            <w:tcW w:w="2250" w:type="dxa"/>
            <w:shd w:val="clear" w:color="auto" w:fill="auto"/>
          </w:tcPr>
          <w:p w:rsidR="00095CDB" w:rsidRPr="004258F1" w:rsidRDefault="00095CDB" w:rsidP="0068129F">
            <w:pPr>
              <w:rPr>
                <w:sz w:val="20"/>
                <w:szCs w:val="20"/>
              </w:rPr>
            </w:pPr>
            <w:r w:rsidRPr="004258F1">
              <w:rPr>
                <w:sz w:val="20"/>
                <w:szCs w:val="20"/>
              </w:rPr>
              <w:t>Продукт аукціону</w:t>
            </w:r>
          </w:p>
          <w:p w:rsidR="00095CDB" w:rsidRPr="004258F1" w:rsidRDefault="00095CDB" w:rsidP="0068129F">
            <w:pPr>
              <w:rPr>
                <w:sz w:val="20"/>
                <w:szCs w:val="20"/>
              </w:rPr>
            </w:pPr>
          </w:p>
          <w:p w:rsidR="00095CDB" w:rsidRPr="004258F1" w:rsidRDefault="00095CDB" w:rsidP="0068129F">
            <w:pPr>
              <w:rPr>
                <w:sz w:val="20"/>
                <w:szCs w:val="20"/>
              </w:rPr>
            </w:pPr>
          </w:p>
        </w:tc>
        <w:tc>
          <w:tcPr>
            <w:tcW w:w="4500" w:type="dxa"/>
            <w:shd w:val="clear" w:color="auto" w:fill="auto"/>
          </w:tcPr>
          <w:p w:rsidR="00095CDB" w:rsidRPr="004258F1" w:rsidRDefault="00095CDB" w:rsidP="0068129F">
            <w:pPr>
              <w:rPr>
                <w:sz w:val="20"/>
                <w:szCs w:val="20"/>
              </w:rPr>
            </w:pPr>
            <w:r w:rsidRPr="004258F1">
              <w:rPr>
                <w:sz w:val="20"/>
                <w:szCs w:val="20"/>
              </w:rPr>
              <w:t xml:space="preserve">Вважаємо доцільним спробувати і «єдине вікно», і «варіант для приєднання до енергосистеми». </w:t>
            </w:r>
          </w:p>
          <w:p w:rsidR="00095CDB" w:rsidRPr="004258F1" w:rsidRDefault="00095CDB" w:rsidP="0068129F">
            <w:pPr>
              <w:rPr>
                <w:sz w:val="20"/>
                <w:szCs w:val="20"/>
              </w:rPr>
            </w:pPr>
            <w:r w:rsidRPr="004258F1">
              <w:rPr>
                <w:sz w:val="20"/>
                <w:szCs w:val="20"/>
              </w:rPr>
              <w:t xml:space="preserve">На думку експертів </w:t>
            </w:r>
            <w:proofErr w:type="spellStart"/>
            <w:r w:rsidRPr="004258F1">
              <w:rPr>
                <w:sz w:val="20"/>
                <w:szCs w:val="20"/>
              </w:rPr>
              <w:t>компаій</w:t>
            </w:r>
            <w:proofErr w:type="spellEnd"/>
            <w:r w:rsidRPr="004258F1">
              <w:rPr>
                <w:sz w:val="20"/>
                <w:szCs w:val="20"/>
              </w:rPr>
              <w:t xml:space="preserve">-членів Палати, система аукціону зазнає невдачі, якщо продуктом аукціону буде лише «єдине вікно». На жаль, на ринку бракує </w:t>
            </w:r>
            <w:proofErr w:type="spellStart"/>
            <w:r w:rsidRPr="004258F1">
              <w:rPr>
                <w:sz w:val="20"/>
                <w:szCs w:val="20"/>
              </w:rPr>
              <w:t>вневненості</w:t>
            </w:r>
            <w:proofErr w:type="spellEnd"/>
            <w:r w:rsidRPr="004258F1">
              <w:rPr>
                <w:sz w:val="20"/>
                <w:szCs w:val="20"/>
              </w:rPr>
              <w:t xml:space="preserve"> щодо можливості державних установ на сьогодні розробити якісний продукт міжнародного класу для відновлювальної енергетики.  </w:t>
            </w:r>
          </w:p>
          <w:p w:rsidR="00B57E20" w:rsidRPr="004258F1" w:rsidRDefault="00B57E20" w:rsidP="0068129F">
            <w:pPr>
              <w:rPr>
                <w:sz w:val="20"/>
                <w:szCs w:val="20"/>
              </w:rPr>
            </w:pPr>
          </w:p>
          <w:p w:rsidR="00B57E20" w:rsidRPr="004258F1" w:rsidRDefault="00B57E20" w:rsidP="00B57E20">
            <w:pPr>
              <w:numPr>
                <w:ilvl w:val="0"/>
                <w:numId w:val="6"/>
              </w:numPr>
              <w:tabs>
                <w:tab w:val="left" w:pos="252"/>
              </w:tabs>
              <w:ind w:left="0" w:firstLine="0"/>
              <w:rPr>
                <w:sz w:val="20"/>
                <w:szCs w:val="20"/>
              </w:rPr>
            </w:pPr>
            <w:r w:rsidRPr="004258F1">
              <w:rPr>
                <w:sz w:val="20"/>
                <w:szCs w:val="20"/>
              </w:rPr>
              <w:t>Банківські гарантії для продукту «єдиного вікна» мають бути вищими, оскільки ризик є нижчим.</w:t>
            </w:r>
          </w:p>
          <w:p w:rsidR="00B57E20" w:rsidRPr="004258F1" w:rsidRDefault="00B57E20" w:rsidP="00B57E20">
            <w:pPr>
              <w:numPr>
                <w:ilvl w:val="0"/>
                <w:numId w:val="6"/>
              </w:numPr>
              <w:tabs>
                <w:tab w:val="left" w:pos="252"/>
              </w:tabs>
              <w:ind w:left="0" w:firstLine="0"/>
              <w:rPr>
                <w:sz w:val="20"/>
                <w:szCs w:val="20"/>
              </w:rPr>
            </w:pPr>
            <w:r w:rsidRPr="004258F1">
              <w:rPr>
                <w:sz w:val="20"/>
                <w:szCs w:val="20"/>
              </w:rPr>
              <w:t xml:space="preserve">Для «варіантів приєднання до енергосистеми» схема приєднання повинна бути визначена </w:t>
            </w:r>
            <w:proofErr w:type="spellStart"/>
            <w:r w:rsidRPr="004258F1">
              <w:rPr>
                <w:sz w:val="20"/>
                <w:szCs w:val="20"/>
              </w:rPr>
              <w:t>енергопередавальною</w:t>
            </w:r>
            <w:proofErr w:type="spellEnd"/>
            <w:r w:rsidRPr="004258F1">
              <w:rPr>
                <w:sz w:val="20"/>
                <w:szCs w:val="20"/>
              </w:rPr>
              <w:t xml:space="preserve"> організацією (к-сть МВт, вартість приєднання, ПС передачі тощо</w:t>
            </w:r>
            <w:r w:rsidRPr="004258F1">
              <w:rPr>
                <w:sz w:val="20"/>
                <w:szCs w:val="20"/>
              </w:rPr>
              <w:t>).</w:t>
            </w:r>
          </w:p>
          <w:p w:rsidR="00095CDB" w:rsidRPr="004258F1" w:rsidRDefault="00095CDB" w:rsidP="0068129F">
            <w:pPr>
              <w:rPr>
                <w:sz w:val="20"/>
                <w:szCs w:val="20"/>
              </w:rPr>
            </w:pPr>
          </w:p>
        </w:tc>
        <w:tc>
          <w:tcPr>
            <w:tcW w:w="4860" w:type="dxa"/>
            <w:shd w:val="clear" w:color="auto" w:fill="auto"/>
          </w:tcPr>
          <w:p w:rsidR="00095CDB" w:rsidRPr="004258F1" w:rsidRDefault="00095CDB" w:rsidP="00B57E20">
            <w:pPr>
              <w:tabs>
                <w:tab w:val="left" w:pos="252"/>
              </w:tabs>
              <w:rPr>
                <w:sz w:val="20"/>
                <w:szCs w:val="20"/>
              </w:rPr>
            </w:pPr>
          </w:p>
        </w:tc>
        <w:tc>
          <w:tcPr>
            <w:tcW w:w="3420" w:type="dxa"/>
          </w:tcPr>
          <w:p w:rsidR="00095CDB" w:rsidRPr="004258F1" w:rsidRDefault="00095CDB" w:rsidP="00B57E20">
            <w:pPr>
              <w:tabs>
                <w:tab w:val="left" w:pos="252"/>
              </w:tabs>
              <w:rPr>
                <w:sz w:val="20"/>
                <w:szCs w:val="20"/>
              </w:rPr>
            </w:pPr>
          </w:p>
        </w:tc>
      </w:tr>
      <w:tr w:rsidR="00095CDB" w:rsidRPr="004258F1" w:rsidTr="004258F1">
        <w:tc>
          <w:tcPr>
            <w:tcW w:w="427" w:type="dxa"/>
            <w:shd w:val="clear" w:color="auto" w:fill="auto"/>
          </w:tcPr>
          <w:p w:rsidR="00095CDB" w:rsidRPr="004258F1" w:rsidRDefault="00095CDB" w:rsidP="0068129F">
            <w:pPr>
              <w:rPr>
                <w:sz w:val="20"/>
                <w:szCs w:val="20"/>
              </w:rPr>
            </w:pPr>
            <w:r w:rsidRPr="004258F1">
              <w:rPr>
                <w:sz w:val="20"/>
                <w:szCs w:val="20"/>
              </w:rPr>
              <w:t>2.</w:t>
            </w:r>
          </w:p>
        </w:tc>
        <w:tc>
          <w:tcPr>
            <w:tcW w:w="2250" w:type="dxa"/>
            <w:shd w:val="clear" w:color="auto" w:fill="auto"/>
            <w:vAlign w:val="bottom"/>
          </w:tcPr>
          <w:p w:rsidR="00095CDB" w:rsidRPr="004258F1" w:rsidRDefault="00095CDB" w:rsidP="0068129F">
            <w:pPr>
              <w:rPr>
                <w:color w:val="000000"/>
                <w:sz w:val="20"/>
                <w:szCs w:val="20"/>
              </w:rPr>
            </w:pPr>
            <w:r w:rsidRPr="004258F1">
              <w:rPr>
                <w:color w:val="000000"/>
                <w:sz w:val="20"/>
                <w:szCs w:val="20"/>
              </w:rPr>
              <w:t xml:space="preserve">Подовження терміну варіанту енергосистеми-  15 років , 2 та 3 </w:t>
            </w:r>
          </w:p>
        </w:tc>
        <w:tc>
          <w:tcPr>
            <w:tcW w:w="4500" w:type="dxa"/>
            <w:shd w:val="clear" w:color="auto" w:fill="auto"/>
            <w:vAlign w:val="bottom"/>
          </w:tcPr>
          <w:p w:rsidR="00095CDB" w:rsidRPr="004258F1" w:rsidRDefault="00095CDB" w:rsidP="0068129F">
            <w:pPr>
              <w:rPr>
                <w:color w:val="000000"/>
                <w:sz w:val="20"/>
                <w:szCs w:val="20"/>
              </w:rPr>
            </w:pPr>
            <w:r w:rsidRPr="004258F1">
              <w:rPr>
                <w:color w:val="000000"/>
                <w:sz w:val="20"/>
                <w:szCs w:val="20"/>
              </w:rPr>
              <w:t xml:space="preserve">Погоджуємось на строк до одного року, </w:t>
            </w:r>
            <w:proofErr w:type="spellStart"/>
            <w:r w:rsidRPr="004258F1">
              <w:rPr>
                <w:color w:val="000000"/>
                <w:sz w:val="20"/>
                <w:szCs w:val="20"/>
              </w:rPr>
              <w:t>обовязково</w:t>
            </w:r>
            <w:proofErr w:type="spellEnd"/>
            <w:r w:rsidRPr="004258F1">
              <w:rPr>
                <w:color w:val="000000"/>
                <w:sz w:val="20"/>
                <w:szCs w:val="20"/>
              </w:rPr>
              <w:t xml:space="preserve"> при умові подвоєння суми банківської гарантії.</w:t>
            </w:r>
          </w:p>
          <w:p w:rsidR="00095CDB" w:rsidRPr="004258F1" w:rsidRDefault="00095CDB" w:rsidP="0068129F">
            <w:pPr>
              <w:rPr>
                <w:color w:val="000000"/>
                <w:sz w:val="20"/>
                <w:szCs w:val="20"/>
              </w:rPr>
            </w:pPr>
          </w:p>
        </w:tc>
        <w:tc>
          <w:tcPr>
            <w:tcW w:w="4860" w:type="dxa"/>
            <w:shd w:val="clear" w:color="auto" w:fill="auto"/>
          </w:tcPr>
          <w:p w:rsidR="00095CDB" w:rsidRPr="004258F1" w:rsidRDefault="00095CDB" w:rsidP="0068129F">
            <w:pPr>
              <w:tabs>
                <w:tab w:val="left" w:pos="252"/>
              </w:tabs>
              <w:rPr>
                <w:sz w:val="20"/>
                <w:szCs w:val="20"/>
              </w:rPr>
            </w:pPr>
          </w:p>
          <w:p w:rsidR="00095CDB" w:rsidRPr="004258F1" w:rsidRDefault="00095CDB" w:rsidP="0068129F">
            <w:pPr>
              <w:tabs>
                <w:tab w:val="left" w:pos="252"/>
              </w:tabs>
              <w:rPr>
                <w:sz w:val="20"/>
                <w:szCs w:val="20"/>
              </w:rPr>
            </w:pPr>
          </w:p>
        </w:tc>
        <w:tc>
          <w:tcPr>
            <w:tcW w:w="3420" w:type="dxa"/>
          </w:tcPr>
          <w:p w:rsidR="00095CDB" w:rsidRPr="004258F1" w:rsidRDefault="00095CDB" w:rsidP="0068129F">
            <w:pPr>
              <w:tabs>
                <w:tab w:val="left" w:pos="252"/>
              </w:tabs>
              <w:rPr>
                <w:sz w:val="20"/>
                <w:szCs w:val="20"/>
              </w:rPr>
            </w:pPr>
          </w:p>
        </w:tc>
      </w:tr>
      <w:tr w:rsidR="00095CDB" w:rsidRPr="004258F1" w:rsidTr="004258F1">
        <w:tc>
          <w:tcPr>
            <w:tcW w:w="427" w:type="dxa"/>
            <w:shd w:val="clear" w:color="auto" w:fill="auto"/>
          </w:tcPr>
          <w:p w:rsidR="00095CDB" w:rsidRPr="004258F1" w:rsidRDefault="00095CDB" w:rsidP="0068129F">
            <w:pPr>
              <w:rPr>
                <w:sz w:val="20"/>
                <w:szCs w:val="20"/>
              </w:rPr>
            </w:pPr>
            <w:r w:rsidRPr="004258F1">
              <w:rPr>
                <w:sz w:val="20"/>
                <w:szCs w:val="20"/>
              </w:rPr>
              <w:t>3</w:t>
            </w:r>
          </w:p>
        </w:tc>
        <w:tc>
          <w:tcPr>
            <w:tcW w:w="2250" w:type="dxa"/>
            <w:shd w:val="clear" w:color="auto" w:fill="auto"/>
            <w:vAlign w:val="bottom"/>
          </w:tcPr>
          <w:p w:rsidR="00095CDB" w:rsidRPr="004258F1" w:rsidRDefault="00095CDB" w:rsidP="0068129F">
            <w:pPr>
              <w:rPr>
                <w:color w:val="000000"/>
                <w:sz w:val="20"/>
                <w:szCs w:val="20"/>
              </w:rPr>
            </w:pPr>
            <w:r w:rsidRPr="004258F1">
              <w:rPr>
                <w:color w:val="000000"/>
                <w:sz w:val="20"/>
                <w:szCs w:val="20"/>
              </w:rPr>
              <w:t>Приєднання інших виробників енергії з відновлювальних джерел до системи аукціонів</w:t>
            </w:r>
          </w:p>
        </w:tc>
        <w:tc>
          <w:tcPr>
            <w:tcW w:w="4500" w:type="dxa"/>
            <w:shd w:val="clear" w:color="auto" w:fill="auto"/>
            <w:vAlign w:val="bottom"/>
          </w:tcPr>
          <w:p w:rsidR="00095CDB" w:rsidRPr="004258F1" w:rsidRDefault="00095CDB" w:rsidP="0068129F">
            <w:pPr>
              <w:rPr>
                <w:color w:val="000000"/>
                <w:sz w:val="20"/>
                <w:szCs w:val="20"/>
              </w:rPr>
            </w:pPr>
            <w:r w:rsidRPr="004258F1">
              <w:rPr>
                <w:color w:val="000000"/>
                <w:sz w:val="20"/>
                <w:szCs w:val="20"/>
              </w:rPr>
              <w:t>Не заперечуємо за умови, коли частка їхнього виробництва досягне 1% загального ринку</w:t>
            </w:r>
          </w:p>
          <w:p w:rsidR="00B57E20" w:rsidRPr="004258F1" w:rsidRDefault="00B57E20" w:rsidP="0068129F">
            <w:pPr>
              <w:rPr>
                <w:color w:val="000000"/>
                <w:sz w:val="20"/>
                <w:szCs w:val="20"/>
              </w:rPr>
            </w:pPr>
          </w:p>
          <w:p w:rsidR="00B57E20" w:rsidRPr="004258F1" w:rsidRDefault="00B57E20" w:rsidP="0068129F">
            <w:pPr>
              <w:rPr>
                <w:color w:val="000000"/>
                <w:sz w:val="20"/>
                <w:szCs w:val="20"/>
              </w:rPr>
            </w:pPr>
          </w:p>
        </w:tc>
        <w:tc>
          <w:tcPr>
            <w:tcW w:w="4860" w:type="dxa"/>
            <w:shd w:val="clear" w:color="auto" w:fill="auto"/>
          </w:tcPr>
          <w:p w:rsidR="00095CDB" w:rsidRPr="004258F1" w:rsidRDefault="00095CDB" w:rsidP="0068129F">
            <w:pPr>
              <w:tabs>
                <w:tab w:val="left" w:pos="252"/>
              </w:tabs>
              <w:rPr>
                <w:sz w:val="20"/>
                <w:szCs w:val="20"/>
              </w:rPr>
            </w:pPr>
          </w:p>
        </w:tc>
        <w:tc>
          <w:tcPr>
            <w:tcW w:w="3420" w:type="dxa"/>
          </w:tcPr>
          <w:p w:rsidR="00095CDB" w:rsidRPr="004258F1" w:rsidRDefault="00095CDB" w:rsidP="0068129F">
            <w:pPr>
              <w:tabs>
                <w:tab w:val="left" w:pos="252"/>
              </w:tabs>
              <w:rPr>
                <w:sz w:val="20"/>
                <w:szCs w:val="20"/>
              </w:rPr>
            </w:pPr>
          </w:p>
        </w:tc>
      </w:tr>
    </w:tbl>
    <w:p w:rsidR="00095CDB" w:rsidRPr="004258F1" w:rsidRDefault="00095CDB" w:rsidP="00095CDB">
      <w:pPr>
        <w:rPr>
          <w:sz w:val="20"/>
          <w:szCs w:val="20"/>
        </w:rPr>
      </w:pPr>
    </w:p>
    <w:p w:rsidR="00DC0B2A" w:rsidRPr="004258F1" w:rsidRDefault="001E0489">
      <w:pPr>
        <w:rPr>
          <w:sz w:val="20"/>
          <w:szCs w:val="20"/>
        </w:rPr>
      </w:pPr>
    </w:p>
    <w:sectPr w:rsidR="00DC0B2A" w:rsidRPr="004258F1" w:rsidSect="00095CDB">
      <w:headerReference w:type="even" r:id="rId7"/>
      <w:headerReference w:type="default" r:id="rId8"/>
      <w:footerReference w:type="default" r:id="rId9"/>
      <w:headerReference w:type="first" r:id="rId10"/>
      <w:pgSz w:w="16838" w:h="11906" w:orient="landscape"/>
      <w:pgMar w:top="567" w:right="567" w:bottom="567" w:left="567" w:header="1247"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E0489">
      <w:r>
        <w:separator/>
      </w:r>
    </w:p>
  </w:endnote>
  <w:endnote w:type="continuationSeparator" w:id="0">
    <w:p w:rsidR="00000000" w:rsidRDefault="001E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72" w:rsidRPr="00843624" w:rsidRDefault="00095CDB" w:rsidP="00590E60">
    <w:pPr>
      <w:tabs>
        <w:tab w:val="left" w:pos="1170"/>
      </w:tabs>
      <w:ind w:left="1350" w:hanging="1350"/>
      <w:jc w:val="both"/>
      <w:rPr>
        <w:rFonts w:ascii="Arial" w:hAnsi="Arial" w:cs="Arial"/>
        <w:b/>
        <w:i/>
        <w:color w:val="404040"/>
        <w:sz w:val="16"/>
        <w:szCs w:val="16"/>
      </w:rPr>
    </w:pPr>
    <w:r w:rsidRPr="00843624">
      <w:rPr>
        <w:rFonts w:ascii="Arial" w:hAnsi="Arial" w:cs="Arial"/>
        <w:b/>
        <w:i/>
        <w:color w:val="404040"/>
        <w:sz w:val="16"/>
        <w:szCs w:val="16"/>
      </w:rPr>
      <w:t>_________________________________________________________________________________________________________________________</w:t>
    </w:r>
  </w:p>
  <w:p w:rsidR="00DC5AAA" w:rsidRPr="006E325A" w:rsidRDefault="00095CDB" w:rsidP="00DC5AAA">
    <w:pPr>
      <w:ind w:left="1560" w:hanging="1560"/>
      <w:jc w:val="both"/>
      <w:rPr>
        <w:rFonts w:ascii="Arial" w:hAnsi="Arial" w:cs="Arial"/>
        <w:i/>
        <w:color w:val="404040"/>
        <w:sz w:val="16"/>
        <w:szCs w:val="16"/>
      </w:rPr>
    </w:pPr>
    <w:bookmarkStart w:id="1" w:name="_Hlk500931139"/>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r>
      <w:rPr>
        <w:rFonts w:ascii="Arial" w:hAnsi="Arial" w:cs="Arial"/>
        <w:i/>
        <w:color w:val="404040"/>
        <w:sz w:val="16"/>
        <w:szCs w:val="16"/>
      </w:rPr>
      <w:tab/>
    </w:r>
    <w:proofErr w:type="spellStart"/>
    <w:r w:rsidRPr="00843624">
      <w:rPr>
        <w:rFonts w:ascii="Arial" w:hAnsi="Arial" w:cs="Arial"/>
        <w:b/>
        <w:i/>
        <w:color w:val="404040"/>
        <w:sz w:val="16"/>
        <w:szCs w:val="16"/>
      </w:rPr>
      <w:t>Гжегож</w:t>
    </w:r>
    <w:proofErr w:type="spellEnd"/>
    <w:r w:rsidRPr="00843624">
      <w:rPr>
        <w:rFonts w:ascii="Arial" w:hAnsi="Arial" w:cs="Arial"/>
        <w:b/>
        <w:i/>
        <w:color w:val="404040"/>
        <w:sz w:val="16"/>
        <w:szCs w:val="16"/>
      </w:rPr>
      <w:t xml:space="preserve"> Хмелярський,</w:t>
    </w:r>
    <w:r w:rsidRPr="006E325A">
      <w:rPr>
        <w:rFonts w:ascii="Arial" w:hAnsi="Arial" w:cs="Arial"/>
        <w:b/>
        <w:i/>
        <w:color w:val="404040"/>
        <w:sz w:val="16"/>
        <w:szCs w:val="16"/>
      </w:rPr>
      <w:t xml:space="preserve"> </w:t>
    </w:r>
    <w:r w:rsidRPr="00843624">
      <w:rPr>
        <w:rFonts w:ascii="Arial" w:hAnsi="Arial" w:cs="Arial"/>
        <w:i/>
        <w:color w:val="404040"/>
        <w:sz w:val="16"/>
        <w:szCs w:val="16"/>
      </w:rPr>
      <w:t>“</w:t>
    </w:r>
    <w:proofErr w:type="spellStart"/>
    <w:r w:rsidRPr="00843624">
      <w:rPr>
        <w:rFonts w:ascii="Arial" w:hAnsi="Arial" w:cs="Arial"/>
        <w:i/>
        <w:color w:val="404040"/>
        <w:sz w:val="16"/>
        <w:szCs w:val="16"/>
      </w:rPr>
      <w:t>МакДональдз</w:t>
    </w:r>
    <w:proofErr w:type="spellEnd"/>
    <w:r w:rsidRPr="00843624">
      <w:rPr>
        <w:rFonts w:ascii="Arial" w:hAnsi="Arial" w:cs="Arial"/>
        <w:i/>
        <w:color w:val="404040"/>
        <w:sz w:val="16"/>
        <w:szCs w:val="16"/>
      </w:rPr>
      <w:t xml:space="preserve"> Юкрейн”</w:t>
    </w:r>
    <w:r w:rsidRPr="003A6960">
      <w:rPr>
        <w:rFonts w:ascii="Arial" w:hAnsi="Arial" w:cs="Arial"/>
        <w:i/>
        <w:color w:val="404040"/>
        <w:sz w:val="16"/>
        <w:szCs w:val="16"/>
      </w:rPr>
      <w:t xml:space="preserve"> </w:t>
    </w:r>
    <w:r>
      <w:rPr>
        <w:rFonts w:ascii="Arial" w:hAnsi="Arial" w:cs="Arial"/>
        <w:i/>
        <w:color w:val="404040"/>
        <w:sz w:val="16"/>
        <w:szCs w:val="16"/>
      </w:rPr>
      <w:t>–</w:t>
    </w:r>
    <w:r w:rsidRPr="003A6960">
      <w:rPr>
        <w:rFonts w:ascii="Arial" w:hAnsi="Arial" w:cs="Arial"/>
        <w:i/>
        <w:color w:val="404040"/>
        <w:sz w:val="16"/>
        <w:szCs w:val="16"/>
      </w:rPr>
      <w:t xml:space="preserve"> </w:t>
    </w:r>
    <w:r w:rsidRPr="003A6960">
      <w:rPr>
        <w:rFonts w:ascii="Arial" w:hAnsi="Arial" w:cs="Arial"/>
        <w:b/>
        <w:i/>
        <w:color w:val="404040"/>
        <w:sz w:val="16"/>
        <w:szCs w:val="16"/>
      </w:rPr>
      <w:t>Голова;</w:t>
    </w:r>
    <w:r w:rsidRPr="003A6960">
      <w:rPr>
        <w:rFonts w:ascii="Arial" w:hAnsi="Arial" w:cs="Arial"/>
        <w:i/>
        <w:color w:val="404040"/>
        <w:sz w:val="16"/>
        <w:szCs w:val="16"/>
      </w:rPr>
      <w:t xml:space="preserve"> </w:t>
    </w:r>
    <w:proofErr w:type="spellStart"/>
    <w:r w:rsidRPr="00843624">
      <w:rPr>
        <w:rFonts w:ascii="Arial" w:hAnsi="Arial" w:cs="Arial"/>
        <w:b/>
        <w:i/>
        <w:color w:val="404040"/>
        <w:sz w:val="16"/>
        <w:szCs w:val="16"/>
      </w:rPr>
      <w:t>Шевкі</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Аджунер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Європейський банк реконструкції та розвитку</w:t>
    </w:r>
    <w:r w:rsidRPr="003A6960">
      <w:rPr>
        <w:rFonts w:ascii="Arial" w:hAnsi="Arial" w:cs="Arial"/>
        <w:i/>
        <w:color w:val="404040"/>
        <w:sz w:val="16"/>
        <w:szCs w:val="16"/>
      </w:rPr>
      <w:t xml:space="preserve"> </w:t>
    </w:r>
    <w:r>
      <w:rPr>
        <w:rFonts w:ascii="Arial" w:hAnsi="Arial" w:cs="Arial"/>
        <w:i/>
        <w:color w:val="404040"/>
        <w:sz w:val="16"/>
        <w:szCs w:val="16"/>
      </w:rPr>
      <w:t>–</w:t>
    </w:r>
    <w:r w:rsidRPr="003A6960">
      <w:rPr>
        <w:rFonts w:ascii="Arial" w:hAnsi="Arial" w:cs="Arial"/>
        <w:i/>
        <w:color w:val="404040"/>
        <w:sz w:val="16"/>
        <w:szCs w:val="16"/>
      </w:rPr>
      <w:t xml:space="preserve"> </w:t>
    </w:r>
    <w:r w:rsidRPr="003A6960">
      <w:rPr>
        <w:rFonts w:ascii="Arial" w:hAnsi="Arial" w:cs="Arial"/>
        <w:b/>
        <w:i/>
        <w:color w:val="404040"/>
        <w:sz w:val="16"/>
        <w:szCs w:val="16"/>
      </w:rPr>
      <w:t>Заступник голови;</w:t>
    </w:r>
    <w:r w:rsidRPr="006E325A">
      <w:t xml:space="preserve"> </w:t>
    </w:r>
    <w:r w:rsidRPr="00843624">
      <w:rPr>
        <w:rFonts w:ascii="Arial" w:hAnsi="Arial" w:cs="Arial"/>
        <w:b/>
        <w:i/>
        <w:color w:val="404040"/>
        <w:sz w:val="16"/>
        <w:szCs w:val="16"/>
      </w:rPr>
      <w:t xml:space="preserve">Мартін </w:t>
    </w:r>
    <w:proofErr w:type="spellStart"/>
    <w:r w:rsidRPr="00843624">
      <w:rPr>
        <w:rFonts w:ascii="Arial" w:hAnsi="Arial" w:cs="Arial"/>
        <w:b/>
        <w:i/>
        <w:color w:val="404040"/>
        <w:sz w:val="16"/>
        <w:szCs w:val="16"/>
      </w:rPr>
      <w:t>Шумахер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 xml:space="preserve">"МЕТРО Кеш </w:t>
    </w:r>
    <w:proofErr w:type="spellStart"/>
    <w:r w:rsidRPr="00843624">
      <w:rPr>
        <w:rFonts w:ascii="Arial" w:hAnsi="Arial" w:cs="Arial"/>
        <w:i/>
        <w:color w:val="404040"/>
        <w:sz w:val="16"/>
        <w:szCs w:val="16"/>
      </w:rPr>
      <w:t>енд</w:t>
    </w:r>
    <w:proofErr w:type="spellEnd"/>
    <w:r w:rsidRPr="00843624">
      <w:rPr>
        <w:rFonts w:ascii="Arial" w:hAnsi="Arial" w:cs="Arial"/>
        <w:i/>
        <w:color w:val="404040"/>
        <w:sz w:val="16"/>
        <w:szCs w:val="16"/>
      </w:rPr>
      <w:t xml:space="preserve"> Кері Україна</w:t>
    </w:r>
    <w:r w:rsidRPr="003A6960">
      <w:rPr>
        <w:rFonts w:ascii="Arial" w:hAnsi="Arial" w:cs="Arial"/>
        <w:i/>
        <w:color w:val="404040"/>
        <w:sz w:val="16"/>
        <w:szCs w:val="16"/>
      </w:rPr>
      <w:t xml:space="preserve"> - </w:t>
    </w:r>
    <w:r w:rsidRPr="003A6960">
      <w:rPr>
        <w:rFonts w:ascii="Arial" w:hAnsi="Arial" w:cs="Arial"/>
        <w:b/>
        <w:i/>
        <w:color w:val="404040"/>
        <w:sz w:val="16"/>
        <w:szCs w:val="16"/>
      </w:rPr>
      <w:t>Заступник голови;</w:t>
    </w:r>
    <w:r w:rsidRPr="006E325A">
      <w:rPr>
        <w:rFonts w:ascii="Arial" w:hAnsi="Arial" w:cs="Arial"/>
        <w:b/>
        <w:i/>
        <w:color w:val="404040"/>
        <w:sz w:val="16"/>
        <w:szCs w:val="16"/>
      </w:rPr>
      <w:t xml:space="preserve"> Ірина Козлова</w:t>
    </w:r>
    <w:r w:rsidRPr="006E325A">
      <w:rPr>
        <w:rFonts w:ascii="Arial" w:hAnsi="Arial" w:cs="Arial"/>
        <w:i/>
        <w:color w:val="404040"/>
        <w:sz w:val="16"/>
        <w:szCs w:val="16"/>
      </w:rPr>
      <w:t xml:space="preserve">, </w:t>
    </w:r>
    <w:proofErr w:type="spellStart"/>
    <w:r w:rsidRPr="006E325A">
      <w:rPr>
        <w:rFonts w:ascii="Arial" w:hAnsi="Arial" w:cs="Arial"/>
        <w:i/>
        <w:color w:val="404040"/>
        <w:sz w:val="16"/>
        <w:szCs w:val="16"/>
      </w:rPr>
      <w:t>PepsiCo</w:t>
    </w:r>
    <w:proofErr w:type="spellEnd"/>
    <w:r>
      <w:rPr>
        <w:rFonts w:ascii="Arial" w:hAnsi="Arial" w:cs="Arial"/>
        <w:i/>
        <w:color w:val="404040"/>
        <w:sz w:val="16"/>
        <w:szCs w:val="16"/>
      </w:rPr>
      <w:t xml:space="preserve"> Україна – </w:t>
    </w:r>
    <w:r w:rsidRPr="003A6960">
      <w:rPr>
        <w:rFonts w:ascii="Arial" w:hAnsi="Arial" w:cs="Arial"/>
        <w:b/>
        <w:i/>
        <w:color w:val="404040"/>
        <w:sz w:val="16"/>
        <w:szCs w:val="16"/>
      </w:rPr>
      <w:t>Скарбник;</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Сергій Чорний, </w:t>
    </w:r>
    <w:r w:rsidRPr="00843624">
      <w:rPr>
        <w:rFonts w:ascii="Arial" w:hAnsi="Arial" w:cs="Arial"/>
        <w:i/>
        <w:color w:val="404040"/>
        <w:sz w:val="16"/>
        <w:szCs w:val="16"/>
      </w:rPr>
      <w:t>“Бейкер і Макензі”</w:t>
    </w:r>
    <w:r>
      <w:rPr>
        <w:rFonts w:ascii="Arial" w:hAnsi="Arial" w:cs="Arial"/>
        <w:i/>
        <w:color w:val="404040"/>
        <w:sz w:val="16"/>
        <w:szCs w:val="16"/>
      </w:rPr>
      <w:t xml:space="preserve"> – </w:t>
    </w:r>
    <w:r w:rsidRPr="003A6960">
      <w:rPr>
        <w:rFonts w:ascii="Arial" w:hAnsi="Arial" w:cs="Arial"/>
        <w:b/>
        <w:i/>
        <w:color w:val="404040"/>
        <w:sz w:val="16"/>
        <w:szCs w:val="16"/>
      </w:rPr>
      <w:t>Секретар та юридичний радник;</w:t>
    </w:r>
    <w:r w:rsidRPr="003A6960">
      <w:rPr>
        <w:rFonts w:ascii="Arial" w:hAnsi="Arial" w:cs="Arial"/>
        <w:i/>
        <w:color w:val="404040"/>
        <w:sz w:val="16"/>
        <w:szCs w:val="16"/>
      </w:rPr>
      <w:t xml:space="preserve"> </w:t>
    </w:r>
    <w:r w:rsidRPr="006E325A">
      <w:rPr>
        <w:rFonts w:ascii="Arial" w:hAnsi="Arial" w:cs="Arial"/>
        <w:b/>
        <w:i/>
        <w:color w:val="404040"/>
        <w:sz w:val="16"/>
        <w:szCs w:val="16"/>
      </w:rPr>
      <w:t xml:space="preserve">Наталі </w:t>
    </w:r>
    <w:proofErr w:type="spellStart"/>
    <w:r w:rsidRPr="006E325A">
      <w:rPr>
        <w:rFonts w:ascii="Arial" w:hAnsi="Arial" w:cs="Arial"/>
        <w:b/>
        <w:i/>
        <w:color w:val="404040"/>
        <w:sz w:val="16"/>
        <w:szCs w:val="16"/>
      </w:rPr>
      <w:t>Алькер</w:t>
    </w:r>
    <w:proofErr w:type="spellEnd"/>
    <w:r w:rsidRPr="006E325A">
      <w:rPr>
        <w:rFonts w:ascii="Arial" w:hAnsi="Arial" w:cs="Arial"/>
        <w:b/>
        <w:i/>
        <w:color w:val="404040"/>
        <w:sz w:val="16"/>
        <w:szCs w:val="16"/>
      </w:rPr>
      <w:t>,</w:t>
    </w:r>
    <w:r w:rsidRPr="006E325A">
      <w:rPr>
        <w:rFonts w:ascii="Arial" w:hAnsi="Arial" w:cs="Arial"/>
        <w:i/>
        <w:color w:val="404040"/>
        <w:sz w:val="16"/>
        <w:szCs w:val="16"/>
      </w:rPr>
      <w:t xml:space="preserve"> </w:t>
    </w:r>
    <w:r>
      <w:rPr>
        <w:rFonts w:ascii="Arial" w:hAnsi="Arial" w:cs="Arial"/>
        <w:i/>
        <w:color w:val="404040"/>
        <w:sz w:val="16"/>
        <w:szCs w:val="16"/>
        <w:lang w:val="en-US"/>
      </w:rPr>
      <w:t>Danone</w:t>
    </w:r>
    <w:r w:rsidRPr="006E325A">
      <w:rPr>
        <w:rFonts w:ascii="Arial" w:hAnsi="Arial" w:cs="Arial"/>
        <w:i/>
        <w:color w:val="404040"/>
        <w:sz w:val="16"/>
        <w:szCs w:val="16"/>
      </w:rPr>
      <w:t xml:space="preserve">; </w:t>
    </w:r>
    <w:proofErr w:type="spellStart"/>
    <w:r w:rsidRPr="006E325A">
      <w:rPr>
        <w:rFonts w:ascii="Arial" w:hAnsi="Arial" w:cs="Arial"/>
        <w:b/>
        <w:i/>
        <w:color w:val="404040"/>
        <w:sz w:val="16"/>
        <w:szCs w:val="16"/>
      </w:rPr>
      <w:t>Гієм</w:t>
    </w:r>
    <w:proofErr w:type="spellEnd"/>
    <w:r w:rsidRPr="006E325A">
      <w:rPr>
        <w:rFonts w:ascii="Arial" w:hAnsi="Arial" w:cs="Arial"/>
        <w:b/>
        <w:i/>
        <w:color w:val="404040"/>
        <w:sz w:val="16"/>
        <w:szCs w:val="16"/>
      </w:rPr>
      <w:t xml:space="preserve"> </w:t>
    </w:r>
    <w:proofErr w:type="spellStart"/>
    <w:r w:rsidRPr="006E325A">
      <w:rPr>
        <w:rFonts w:ascii="Arial" w:hAnsi="Arial" w:cs="Arial"/>
        <w:b/>
        <w:i/>
        <w:color w:val="404040"/>
        <w:sz w:val="16"/>
        <w:szCs w:val="16"/>
      </w:rPr>
      <w:t>Граньє</w:t>
    </w:r>
    <w:proofErr w:type="spellEnd"/>
    <w:r w:rsidRPr="006E325A">
      <w:rPr>
        <w:rFonts w:ascii="Arial" w:hAnsi="Arial" w:cs="Arial"/>
        <w:b/>
        <w:i/>
        <w:color w:val="404040"/>
        <w:sz w:val="16"/>
        <w:szCs w:val="16"/>
      </w:rPr>
      <w:t>,</w:t>
    </w:r>
    <w:r w:rsidRPr="006E325A">
      <w:rPr>
        <w:rFonts w:ascii="Arial" w:hAnsi="Arial" w:cs="Arial"/>
        <w:i/>
        <w:color w:val="404040"/>
        <w:sz w:val="16"/>
        <w:szCs w:val="16"/>
      </w:rPr>
      <w:t xml:space="preserve"> "</w:t>
    </w:r>
    <w:proofErr w:type="spellStart"/>
    <w:r w:rsidRPr="006E325A">
      <w:rPr>
        <w:rFonts w:ascii="Arial" w:hAnsi="Arial" w:cs="Arial"/>
        <w:i/>
        <w:color w:val="404040"/>
        <w:sz w:val="16"/>
        <w:szCs w:val="16"/>
      </w:rPr>
      <w:t>Санофі-Авентіс</w:t>
    </w:r>
    <w:proofErr w:type="spellEnd"/>
    <w:r w:rsidRPr="006E325A">
      <w:rPr>
        <w:rFonts w:ascii="Arial" w:hAnsi="Arial" w:cs="Arial"/>
        <w:i/>
        <w:color w:val="404040"/>
        <w:sz w:val="16"/>
        <w:szCs w:val="16"/>
      </w:rPr>
      <w:t xml:space="preserve"> Україна"; </w:t>
    </w:r>
    <w:r w:rsidRPr="00753DD5">
      <w:rPr>
        <w:rFonts w:ascii="Arial" w:hAnsi="Arial" w:cs="Arial"/>
        <w:b/>
        <w:i/>
        <w:color w:val="404040"/>
        <w:sz w:val="16"/>
        <w:szCs w:val="16"/>
      </w:rPr>
      <w:t>Олена Кошарна</w:t>
    </w:r>
    <w:r w:rsidRPr="00843624">
      <w:rPr>
        <w:rFonts w:ascii="Arial" w:hAnsi="Arial" w:cs="Arial"/>
        <w:b/>
        <w:i/>
        <w:color w:val="404040"/>
        <w:sz w:val="16"/>
        <w:szCs w:val="16"/>
      </w:rPr>
      <w:t xml:space="preserve">, </w:t>
    </w:r>
    <w:proofErr w:type="spellStart"/>
    <w:r w:rsidRPr="00843624">
      <w:rPr>
        <w:rFonts w:ascii="Arial" w:hAnsi="Arial" w:cs="Arial"/>
        <w:i/>
        <w:color w:val="404040"/>
        <w:sz w:val="16"/>
        <w:szCs w:val="16"/>
      </w:rPr>
      <w:t>Horizon</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Capital</w:t>
    </w:r>
    <w:proofErr w:type="spellEnd"/>
    <w:r w:rsidRPr="006E325A">
      <w:rPr>
        <w:rFonts w:ascii="Arial" w:hAnsi="Arial" w:cs="Arial"/>
        <w:i/>
        <w:color w:val="404040"/>
        <w:sz w:val="16"/>
        <w:szCs w:val="16"/>
      </w:rPr>
      <w:t xml:space="preserve">; </w:t>
    </w:r>
    <w:proofErr w:type="spellStart"/>
    <w:r>
      <w:rPr>
        <w:rFonts w:ascii="Arial" w:hAnsi="Arial" w:cs="Arial"/>
        <w:b/>
        <w:i/>
        <w:color w:val="404040"/>
        <w:sz w:val="16"/>
        <w:szCs w:val="16"/>
      </w:rPr>
      <w:t>Алістер</w:t>
    </w:r>
    <w:proofErr w:type="spellEnd"/>
    <w:r>
      <w:rPr>
        <w:rFonts w:ascii="Arial" w:hAnsi="Arial" w:cs="Arial"/>
        <w:b/>
        <w:i/>
        <w:color w:val="404040"/>
        <w:sz w:val="16"/>
        <w:szCs w:val="16"/>
      </w:rPr>
      <w:t xml:space="preserve"> </w:t>
    </w:r>
    <w:proofErr w:type="spellStart"/>
    <w:r>
      <w:rPr>
        <w:rFonts w:ascii="Arial" w:hAnsi="Arial" w:cs="Arial"/>
        <w:b/>
        <w:i/>
        <w:color w:val="404040"/>
        <w:sz w:val="16"/>
        <w:szCs w:val="16"/>
      </w:rPr>
      <w:t>МакБейн</w:t>
    </w:r>
    <w:proofErr w:type="spellEnd"/>
    <w:r>
      <w:rPr>
        <w:rFonts w:ascii="Arial" w:hAnsi="Arial" w:cs="Arial"/>
        <w:b/>
        <w:i/>
        <w:color w:val="404040"/>
        <w:sz w:val="16"/>
        <w:szCs w:val="16"/>
      </w:rPr>
      <w:t>,</w:t>
    </w:r>
    <w:r>
      <w:rPr>
        <w:rFonts w:ascii="Arial" w:hAnsi="Arial" w:cs="Arial"/>
        <w:i/>
        <w:color w:val="404040"/>
        <w:sz w:val="16"/>
        <w:szCs w:val="16"/>
      </w:rPr>
      <w:t xml:space="preserve"> </w:t>
    </w:r>
    <w:proofErr w:type="spellStart"/>
    <w:r>
      <w:rPr>
        <w:rFonts w:ascii="Arial" w:hAnsi="Arial" w:cs="Arial"/>
        <w:i/>
        <w:color w:val="404040"/>
        <w:sz w:val="16"/>
        <w:szCs w:val="16"/>
      </w:rPr>
      <w:t>Arawak</w:t>
    </w:r>
    <w:proofErr w:type="spellEnd"/>
    <w:r>
      <w:rPr>
        <w:rFonts w:ascii="Arial" w:hAnsi="Arial" w:cs="Arial"/>
        <w:i/>
        <w:color w:val="404040"/>
        <w:sz w:val="16"/>
        <w:szCs w:val="16"/>
      </w:rPr>
      <w:t xml:space="preserve"> </w:t>
    </w:r>
    <w:proofErr w:type="spellStart"/>
    <w:r>
      <w:rPr>
        <w:rFonts w:ascii="Arial" w:hAnsi="Arial" w:cs="Arial"/>
        <w:i/>
        <w:color w:val="404040"/>
        <w:sz w:val="16"/>
        <w:szCs w:val="16"/>
      </w:rPr>
      <w:t>Energy</w:t>
    </w:r>
    <w:proofErr w:type="spellEnd"/>
    <w:r>
      <w:rPr>
        <w:rFonts w:ascii="Arial" w:hAnsi="Arial" w:cs="Arial"/>
        <w:i/>
        <w:color w:val="404040"/>
        <w:sz w:val="16"/>
        <w:szCs w:val="16"/>
      </w:rPr>
      <w:t xml:space="preserve"> Ukraine B.V.; </w:t>
    </w:r>
    <w:r w:rsidRPr="00843624">
      <w:rPr>
        <w:rFonts w:ascii="Arial" w:hAnsi="Arial" w:cs="Arial"/>
        <w:b/>
        <w:i/>
        <w:color w:val="404040"/>
        <w:sz w:val="16"/>
        <w:szCs w:val="16"/>
      </w:rPr>
      <w:t xml:space="preserve">Євген Шевченко, </w:t>
    </w:r>
    <w:proofErr w:type="spellStart"/>
    <w:r w:rsidRPr="00843624">
      <w:rPr>
        <w:rFonts w:ascii="Arial" w:hAnsi="Arial" w:cs="Arial"/>
        <w:i/>
        <w:color w:val="404040"/>
        <w:sz w:val="16"/>
        <w:szCs w:val="16"/>
      </w:rPr>
      <w:t>Carlsberg</w:t>
    </w:r>
    <w:proofErr w:type="spellEnd"/>
    <w:r w:rsidRPr="006E325A">
      <w:rPr>
        <w:rFonts w:ascii="Arial" w:hAnsi="Arial" w:cs="Arial"/>
        <w:b/>
        <w:i/>
        <w:color w:val="404040"/>
        <w:sz w:val="16"/>
        <w:szCs w:val="16"/>
      </w:rPr>
      <w:t>.</w:t>
    </w:r>
  </w:p>
  <w:p w:rsidR="00DC5AAA" w:rsidRPr="00843624" w:rsidRDefault="00095CDB" w:rsidP="00DC5AAA">
    <w:pPr>
      <w:ind w:left="1560" w:hanging="1560"/>
      <w:jc w:val="both"/>
      <w:rPr>
        <w:rFonts w:ascii="Arial" w:hAnsi="Arial" w:cs="Arial"/>
        <w:b/>
        <w:i/>
        <w:color w:val="404040"/>
        <w:sz w:val="16"/>
        <w:szCs w:val="16"/>
      </w:rPr>
    </w:pPr>
    <w:r w:rsidRPr="006E325A">
      <w:rPr>
        <w:rFonts w:ascii="Arial" w:hAnsi="Arial" w:cs="Arial"/>
        <w:b/>
        <w:i/>
        <w:color w:val="404040"/>
        <w:sz w:val="16"/>
        <w:szCs w:val="16"/>
      </w:rPr>
      <w:t>П</w:t>
    </w:r>
    <w:r w:rsidRPr="00843624">
      <w:rPr>
        <w:rFonts w:ascii="Arial" w:hAnsi="Arial" w:cs="Arial"/>
        <w:b/>
        <w:i/>
        <w:color w:val="404040"/>
        <w:sz w:val="16"/>
        <w:szCs w:val="16"/>
      </w:rPr>
      <w:t xml:space="preserve">резидент: </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 </w:t>
    </w:r>
    <w:r>
      <w:rPr>
        <w:rFonts w:ascii="Arial" w:hAnsi="Arial" w:cs="Arial"/>
        <w:b/>
        <w:i/>
        <w:color w:val="404040"/>
        <w:sz w:val="16"/>
        <w:szCs w:val="16"/>
        <w:lang w:val="en-US"/>
      </w:rPr>
      <w:t xml:space="preserve"> </w:t>
    </w:r>
    <w:r w:rsidRPr="00843624">
      <w:rPr>
        <w:rFonts w:ascii="Arial" w:hAnsi="Arial" w:cs="Arial"/>
        <w:b/>
        <w:i/>
        <w:color w:val="404040"/>
        <w:sz w:val="16"/>
        <w:szCs w:val="16"/>
      </w:rPr>
      <w:t xml:space="preserve">Андрій </w:t>
    </w:r>
    <w:proofErr w:type="spellStart"/>
    <w:r w:rsidRPr="00843624">
      <w:rPr>
        <w:rFonts w:ascii="Arial" w:hAnsi="Arial" w:cs="Arial"/>
        <w:b/>
        <w:i/>
        <w:color w:val="404040"/>
        <w:sz w:val="16"/>
        <w:szCs w:val="16"/>
      </w:rPr>
      <w:t>Гундер</w:t>
    </w:r>
    <w:proofErr w:type="spellEnd"/>
  </w:p>
  <w:bookmarkEnd w:id="1"/>
  <w:p w:rsidR="00B57472" w:rsidRPr="005F4AD6" w:rsidRDefault="001E0489" w:rsidP="00590E60">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E0489">
      <w:r>
        <w:separator/>
      </w:r>
    </w:p>
  </w:footnote>
  <w:footnote w:type="continuationSeparator" w:id="0">
    <w:p w:rsidR="00000000" w:rsidRDefault="001E0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48A" w:rsidRDefault="001E04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654126" o:spid="_x0000_s2052" type="#_x0000_t136" style="position:absolute;margin-left:0;margin-top:0;width:542.4pt;height:216.9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8F1" w:rsidRDefault="004258F1" w:rsidP="00712510">
    <w:pPr>
      <w:pStyle w:val="Header"/>
      <w:rPr>
        <w:lang w:val="en-US"/>
      </w:rPr>
    </w:pPr>
    <w:r>
      <w:rPr>
        <w:noProof/>
      </w:rPr>
      <w:drawing>
        <wp:anchor distT="0" distB="0" distL="114300" distR="114300" simplePos="0" relativeHeight="251660288" behindDoc="0" locked="0" layoutInCell="1" allowOverlap="1">
          <wp:simplePos x="0" y="0"/>
          <wp:positionH relativeFrom="column">
            <wp:posOffset>-184785</wp:posOffset>
          </wp:positionH>
          <wp:positionV relativeFrom="page">
            <wp:posOffset>175260</wp:posOffset>
          </wp:positionV>
          <wp:extent cx="2228028" cy="891540"/>
          <wp:effectExtent l="0" t="0" r="1270" b="3810"/>
          <wp:wrapNone/>
          <wp:docPr id="2" name="Picture 2"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r="77191" b="27620"/>
                  <a:stretch>
                    <a:fillRect/>
                  </a:stretch>
                </pic:blipFill>
                <pic:spPr bwMode="auto">
                  <a:xfrm>
                    <a:off x="0" y="0"/>
                    <a:ext cx="2228028"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2375535</wp:posOffset>
          </wp:positionH>
          <wp:positionV relativeFrom="page">
            <wp:posOffset>174625</wp:posOffset>
          </wp:positionV>
          <wp:extent cx="6781800" cy="1061449"/>
          <wp:effectExtent l="0" t="0" r="0" b="5715"/>
          <wp:wrapNone/>
          <wp:docPr id="1" name="Picture 1"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l="21925" t="18045" b="7770"/>
                  <a:stretch>
                    <a:fillRect/>
                  </a:stretch>
                </pic:blipFill>
                <pic:spPr bwMode="auto">
                  <a:xfrm>
                    <a:off x="0" y="0"/>
                    <a:ext cx="6781800" cy="10614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58F1" w:rsidRDefault="004258F1" w:rsidP="00712510">
    <w:pPr>
      <w:pStyle w:val="Header"/>
      <w:rPr>
        <w:lang w:val="en-US"/>
      </w:rPr>
    </w:pPr>
  </w:p>
  <w:p w:rsidR="004258F1" w:rsidRDefault="004258F1" w:rsidP="00712510">
    <w:pPr>
      <w:pStyle w:val="Header"/>
      <w:rPr>
        <w:lang w:val="en-US"/>
      </w:rPr>
    </w:pPr>
  </w:p>
  <w:p w:rsidR="00712510" w:rsidRPr="00712510" w:rsidRDefault="001E0489" w:rsidP="00712510">
    <w:pPr>
      <w:pStyle w:val="Heade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654127" o:spid="_x0000_s2053" type="#_x0000_t136" style="position:absolute;margin-left:0;margin-top:0;width:542.4pt;height:216.9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48A" w:rsidRDefault="001E04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654125" o:spid="_x0000_s2051" type="#_x0000_t136" style="position:absolute;margin-left:0;margin-top:0;width:542.4pt;height:216.9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B6"/>
    <w:multiLevelType w:val="hybridMultilevel"/>
    <w:tmpl w:val="34563ECC"/>
    <w:lvl w:ilvl="0" w:tplc="E50E09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57201"/>
    <w:multiLevelType w:val="hybridMultilevel"/>
    <w:tmpl w:val="05700D4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5F7D"/>
    <w:multiLevelType w:val="hybridMultilevel"/>
    <w:tmpl w:val="73EA6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A510B"/>
    <w:multiLevelType w:val="hybridMultilevel"/>
    <w:tmpl w:val="F82E8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70336"/>
    <w:multiLevelType w:val="hybridMultilevel"/>
    <w:tmpl w:val="BEA42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22E1F"/>
    <w:multiLevelType w:val="hybridMultilevel"/>
    <w:tmpl w:val="3372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D5FAD"/>
    <w:multiLevelType w:val="hybridMultilevel"/>
    <w:tmpl w:val="161A3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E4E5A"/>
    <w:multiLevelType w:val="hybridMultilevel"/>
    <w:tmpl w:val="D82460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DB"/>
    <w:rsid w:val="00004397"/>
    <w:rsid w:val="00015E31"/>
    <w:rsid w:val="00095CDB"/>
    <w:rsid w:val="001E0489"/>
    <w:rsid w:val="00377FC7"/>
    <w:rsid w:val="003A204F"/>
    <w:rsid w:val="004258F1"/>
    <w:rsid w:val="004B0C8B"/>
    <w:rsid w:val="00604BC4"/>
    <w:rsid w:val="00887B2B"/>
    <w:rsid w:val="00915E07"/>
    <w:rsid w:val="0094409C"/>
    <w:rsid w:val="009B6221"/>
    <w:rsid w:val="00B57E20"/>
    <w:rsid w:val="00F242C8"/>
    <w:rsid w:val="00F822D1"/>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366D8C3"/>
  <w15:chartTrackingRefBased/>
  <w15:docId w15:val="{0FB166B1-58CD-4357-8A40-C39D4B28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CDB"/>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5CDB"/>
    <w:pPr>
      <w:tabs>
        <w:tab w:val="center" w:pos="4677"/>
        <w:tab w:val="right" w:pos="9355"/>
      </w:tabs>
    </w:pPr>
  </w:style>
  <w:style w:type="character" w:customStyle="1" w:styleId="HeaderChar">
    <w:name w:val="Header Char"/>
    <w:basedOn w:val="DefaultParagraphFont"/>
    <w:link w:val="Header"/>
    <w:rsid w:val="00095CDB"/>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rsid w:val="00095CDB"/>
    <w:pPr>
      <w:tabs>
        <w:tab w:val="center" w:pos="4677"/>
        <w:tab w:val="right" w:pos="9355"/>
      </w:tabs>
    </w:pPr>
  </w:style>
  <w:style w:type="character" w:customStyle="1" w:styleId="FooterChar">
    <w:name w:val="Footer Char"/>
    <w:basedOn w:val="DefaultParagraphFont"/>
    <w:link w:val="Footer"/>
    <w:uiPriority w:val="99"/>
    <w:rsid w:val="00095CDB"/>
    <w:rPr>
      <w:rFonts w:ascii="Times New Roman" w:eastAsia="Times New Roman" w:hAnsi="Times New Roman" w:cs="Times New Roman"/>
      <w:sz w:val="24"/>
      <w:szCs w:val="24"/>
      <w:lang w:val="uk-UA" w:eastAsia="uk-UA"/>
    </w:rPr>
  </w:style>
  <w:style w:type="paragraph" w:customStyle="1" w:styleId="Normal1">
    <w:name w:val="Normal1"/>
    <w:basedOn w:val="Normal"/>
    <w:rsid w:val="00095CDB"/>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6972">
      <w:bodyDiv w:val="1"/>
      <w:marLeft w:val="0"/>
      <w:marRight w:val="0"/>
      <w:marTop w:val="0"/>
      <w:marBottom w:val="0"/>
      <w:divBdr>
        <w:top w:val="none" w:sz="0" w:space="0" w:color="auto"/>
        <w:left w:val="none" w:sz="0" w:space="0" w:color="auto"/>
        <w:bottom w:val="none" w:sz="0" w:space="0" w:color="auto"/>
        <w:right w:val="none" w:sz="0" w:space="0" w:color="auto"/>
      </w:divBdr>
    </w:div>
    <w:div w:id="398136231">
      <w:bodyDiv w:val="1"/>
      <w:marLeft w:val="0"/>
      <w:marRight w:val="0"/>
      <w:marTop w:val="0"/>
      <w:marBottom w:val="0"/>
      <w:divBdr>
        <w:top w:val="none" w:sz="0" w:space="0" w:color="auto"/>
        <w:left w:val="none" w:sz="0" w:space="0" w:color="auto"/>
        <w:bottom w:val="none" w:sz="0" w:space="0" w:color="auto"/>
        <w:right w:val="none" w:sz="0" w:space="0" w:color="auto"/>
      </w:divBdr>
    </w:div>
    <w:div w:id="1393700428">
      <w:bodyDiv w:val="1"/>
      <w:marLeft w:val="0"/>
      <w:marRight w:val="0"/>
      <w:marTop w:val="0"/>
      <w:marBottom w:val="0"/>
      <w:divBdr>
        <w:top w:val="none" w:sz="0" w:space="0" w:color="auto"/>
        <w:left w:val="none" w:sz="0" w:space="0" w:color="auto"/>
        <w:bottom w:val="none" w:sz="0" w:space="0" w:color="auto"/>
        <w:right w:val="none" w:sz="0" w:space="0" w:color="auto"/>
      </w:divBdr>
    </w:div>
    <w:div w:id="21384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4</cp:revision>
  <dcterms:created xsi:type="dcterms:W3CDTF">2018-04-16T12:21:00Z</dcterms:created>
  <dcterms:modified xsi:type="dcterms:W3CDTF">2018-04-16T12:23:00Z</dcterms:modified>
</cp:coreProperties>
</file>