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35AA" w14:textId="77777777" w:rsidR="00FB4A11" w:rsidRDefault="00FB4A11" w:rsidP="00FB4A11">
      <w:bookmarkStart w:id="0" w:name="_GoBack"/>
      <w:bookmarkEnd w:id="0"/>
    </w:p>
    <w:tbl>
      <w:tblPr>
        <w:tblW w:w="9914" w:type="dxa"/>
        <w:tblInd w:w="526" w:type="dxa"/>
        <w:tblLook w:val="04A0" w:firstRow="1" w:lastRow="0" w:firstColumn="1" w:lastColumn="0" w:noHBand="0" w:noVBand="1"/>
      </w:tblPr>
      <w:tblGrid>
        <w:gridCol w:w="4526"/>
        <w:gridCol w:w="168"/>
        <w:gridCol w:w="68"/>
        <w:gridCol w:w="4763"/>
        <w:gridCol w:w="389"/>
      </w:tblGrid>
      <w:tr w:rsidR="00FB4A11" w:rsidRPr="00FA1646" w14:paraId="1D815CE5" w14:textId="77777777" w:rsidTr="00AD737C">
        <w:trPr>
          <w:trHeight w:val="2007"/>
        </w:trPr>
        <w:tc>
          <w:tcPr>
            <w:tcW w:w="4694" w:type="dxa"/>
            <w:gridSpan w:val="2"/>
            <w:shd w:val="clear" w:color="auto" w:fill="auto"/>
          </w:tcPr>
          <w:p w14:paraId="76C7805D" w14:textId="77777777" w:rsidR="00FB4A11" w:rsidRPr="00FA1646" w:rsidRDefault="00FB4A11" w:rsidP="00333E0D">
            <w:pPr>
              <w:spacing w:line="276" w:lineRule="auto"/>
              <w:ind w:left="84"/>
              <w:jc w:val="both"/>
              <w:rPr>
                <w:b/>
                <w:lang w:val="ru-RU"/>
              </w:rPr>
            </w:pPr>
            <w:r w:rsidRPr="00FA1646">
              <w:rPr>
                <w:b/>
              </w:rPr>
              <w:t>№1</w:t>
            </w:r>
            <w:r>
              <w:rPr>
                <w:b/>
              </w:rPr>
              <w:t>8</w:t>
            </w:r>
            <w:r w:rsidRPr="00FA1646">
              <w:rPr>
                <w:b/>
              </w:rPr>
              <w:t xml:space="preserve"> – </w:t>
            </w:r>
          </w:p>
          <w:p w14:paraId="5E9471AC" w14:textId="77777777" w:rsidR="00FB4A11" w:rsidRPr="00FA1646" w:rsidRDefault="00FB4A11" w:rsidP="00333E0D">
            <w:pPr>
              <w:spacing w:line="276" w:lineRule="auto"/>
              <w:ind w:left="84"/>
              <w:jc w:val="both"/>
              <w:rPr>
                <w:b/>
              </w:rPr>
            </w:pPr>
            <w:r>
              <w:rPr>
                <w:b/>
              </w:rPr>
              <w:t>травня</w:t>
            </w:r>
            <w:r>
              <w:rPr>
                <w:b/>
                <w:lang w:val="ru-RU"/>
              </w:rPr>
              <w:t xml:space="preserve"> </w:t>
            </w:r>
            <w:r w:rsidRPr="00FA1646">
              <w:rPr>
                <w:b/>
              </w:rPr>
              <w:t>201</w:t>
            </w:r>
            <w:r>
              <w:rPr>
                <w:b/>
              </w:rPr>
              <w:t>8</w:t>
            </w:r>
            <w:r w:rsidRPr="00FA1646">
              <w:rPr>
                <w:b/>
              </w:rPr>
              <w:t xml:space="preserve"> року</w:t>
            </w:r>
          </w:p>
        </w:tc>
        <w:tc>
          <w:tcPr>
            <w:tcW w:w="5220" w:type="dxa"/>
            <w:gridSpan w:val="3"/>
            <w:shd w:val="clear" w:color="auto" w:fill="auto"/>
          </w:tcPr>
          <w:p w14:paraId="7FD9BBB5" w14:textId="77777777" w:rsidR="00FB4A11" w:rsidRDefault="00FB4A11" w:rsidP="00333E0D">
            <w:pPr>
              <w:pStyle w:val="NoSpacing"/>
              <w:ind w:left="1242"/>
              <w:rPr>
                <w:b/>
              </w:rPr>
            </w:pPr>
            <w:r w:rsidRPr="00FB4A11">
              <w:rPr>
                <w:b/>
              </w:rPr>
              <w:t>Перш</w:t>
            </w:r>
            <w:r>
              <w:rPr>
                <w:b/>
              </w:rPr>
              <w:t>ому</w:t>
            </w:r>
            <w:r w:rsidRPr="00FB4A11">
              <w:rPr>
                <w:b/>
              </w:rPr>
              <w:t xml:space="preserve"> заступник</w:t>
            </w:r>
            <w:r>
              <w:rPr>
                <w:b/>
              </w:rPr>
              <w:t>у</w:t>
            </w:r>
            <w:r w:rsidRPr="00FB4A11">
              <w:rPr>
                <w:b/>
              </w:rPr>
              <w:t xml:space="preserve"> голови Комітету Верховної Ради України з питань паливно-енергетичного комплексу, ядерної політики та ядерної безпеки</w:t>
            </w:r>
          </w:p>
          <w:p w14:paraId="5F0301FE" w14:textId="77777777" w:rsidR="00FB4A11" w:rsidRPr="00DB79E1" w:rsidRDefault="00FB4A11" w:rsidP="00333E0D">
            <w:pPr>
              <w:pStyle w:val="NoSpacing"/>
              <w:ind w:left="1242"/>
              <w:rPr>
                <w:b/>
              </w:rPr>
            </w:pPr>
            <w:r>
              <w:rPr>
                <w:b/>
              </w:rPr>
              <w:t>Домбровському О.Г.</w:t>
            </w:r>
          </w:p>
          <w:p w14:paraId="11705534" w14:textId="77777777" w:rsidR="00FB4A11" w:rsidRPr="00FA1646" w:rsidRDefault="00FB4A11" w:rsidP="00333E0D">
            <w:pPr>
              <w:ind w:left="1152"/>
              <w:rPr>
                <w:b/>
              </w:rPr>
            </w:pPr>
          </w:p>
        </w:tc>
      </w:tr>
      <w:tr w:rsidR="00FB4A11" w:rsidRPr="00FA1646" w14:paraId="411AF354" w14:textId="77777777" w:rsidTr="00333E0D">
        <w:trPr>
          <w:gridAfter w:val="1"/>
          <w:wAfter w:w="389" w:type="dxa"/>
          <w:trHeight w:val="414"/>
        </w:trPr>
        <w:tc>
          <w:tcPr>
            <w:tcW w:w="4526" w:type="dxa"/>
            <w:shd w:val="clear" w:color="auto" w:fill="auto"/>
          </w:tcPr>
          <w:p w14:paraId="06D58F18" w14:textId="77777777" w:rsidR="00AD737C" w:rsidRDefault="00AD737C" w:rsidP="00333E0D">
            <w:pPr>
              <w:rPr>
                <w:i/>
                <w:lang w:val="ru-RU"/>
              </w:rPr>
            </w:pPr>
          </w:p>
          <w:p w14:paraId="49DF2D49" w14:textId="77777777" w:rsidR="00FB4A11" w:rsidRDefault="00FB4A11" w:rsidP="00333E0D">
            <w:pPr>
              <w:rPr>
                <w:i/>
                <w:lang w:val="ru-RU"/>
              </w:rPr>
            </w:pPr>
            <w:proofErr w:type="spellStart"/>
            <w:r w:rsidRPr="00FA1646">
              <w:rPr>
                <w:i/>
                <w:lang w:val="ru-RU"/>
              </w:rPr>
              <w:t>Щодо</w:t>
            </w:r>
            <w:proofErr w:type="spellEnd"/>
            <w:r>
              <w:rPr>
                <w:i/>
                <w:lang w:val="ru-RU"/>
              </w:rPr>
              <w:t xml:space="preserve"> проекту Закону №</w:t>
            </w:r>
            <w:r w:rsidRPr="00FB4A11">
              <w:rPr>
                <w:i/>
                <w:lang w:val="ru-RU"/>
              </w:rPr>
              <w:t>8312</w:t>
            </w:r>
          </w:p>
          <w:p w14:paraId="11D931BF" w14:textId="77777777" w:rsidR="00FB4A11" w:rsidRPr="00FB4A11" w:rsidRDefault="00FB4A11" w:rsidP="00333E0D">
            <w:pPr>
              <w:rPr>
                <w:i/>
                <w:lang w:val="ru-RU"/>
              </w:rPr>
            </w:pPr>
            <w:proofErr w:type="spellStart"/>
            <w:r w:rsidRPr="00FB4A11">
              <w:rPr>
                <w:i/>
                <w:lang w:val="ru-RU"/>
              </w:rPr>
              <w:t>від</w:t>
            </w:r>
            <w:proofErr w:type="spellEnd"/>
            <w:r w:rsidRPr="00FB4A11">
              <w:rPr>
                <w:i/>
                <w:lang w:val="ru-RU"/>
              </w:rPr>
              <w:t xml:space="preserve"> 20.04.2018</w:t>
            </w:r>
            <w:r>
              <w:rPr>
                <w:i/>
                <w:lang w:val="ru-RU"/>
              </w:rPr>
              <w:t>р.</w:t>
            </w:r>
            <w:r w:rsidRPr="00665801">
              <w:rPr>
                <w:i/>
                <w:lang w:val="ru-RU"/>
              </w:rPr>
              <w:t xml:space="preserve"> </w:t>
            </w:r>
          </w:p>
        </w:tc>
        <w:tc>
          <w:tcPr>
            <w:tcW w:w="236" w:type="dxa"/>
            <w:gridSpan w:val="2"/>
            <w:shd w:val="clear" w:color="auto" w:fill="auto"/>
          </w:tcPr>
          <w:p w14:paraId="54563943" w14:textId="77777777" w:rsidR="00FB4A11" w:rsidRPr="00FA1646" w:rsidRDefault="00FB4A11" w:rsidP="00333E0D">
            <w:pPr>
              <w:spacing w:line="276" w:lineRule="auto"/>
              <w:ind w:left="720"/>
              <w:jc w:val="both"/>
              <w:rPr>
                <w:b/>
                <w:i/>
                <w:highlight w:val="yellow"/>
                <w:lang w:val="ru-RU"/>
              </w:rPr>
            </w:pPr>
          </w:p>
        </w:tc>
        <w:tc>
          <w:tcPr>
            <w:tcW w:w="4763" w:type="dxa"/>
            <w:shd w:val="clear" w:color="auto" w:fill="auto"/>
          </w:tcPr>
          <w:p w14:paraId="0ADFA71E" w14:textId="77777777" w:rsidR="00FB4A11" w:rsidRPr="00FA1646" w:rsidRDefault="00FB4A11" w:rsidP="00333E0D">
            <w:pPr>
              <w:spacing w:line="276" w:lineRule="auto"/>
              <w:ind w:left="720"/>
              <w:jc w:val="both"/>
              <w:rPr>
                <w:b/>
                <w:i/>
                <w:highlight w:val="yellow"/>
                <w:lang w:val="ru-RU"/>
              </w:rPr>
            </w:pPr>
          </w:p>
        </w:tc>
      </w:tr>
    </w:tbl>
    <w:p w14:paraId="41F5B7A8" w14:textId="77777777" w:rsidR="00FB4A11" w:rsidRDefault="00FB4A11" w:rsidP="00FB4A11">
      <w:pPr>
        <w:spacing w:line="276" w:lineRule="auto"/>
        <w:ind w:left="720"/>
        <w:jc w:val="center"/>
        <w:rPr>
          <w:b/>
        </w:rPr>
      </w:pPr>
    </w:p>
    <w:p w14:paraId="0A936F37" w14:textId="77777777" w:rsidR="00FB4A11" w:rsidRDefault="00FB4A11" w:rsidP="00FB4A11">
      <w:pPr>
        <w:spacing w:line="276" w:lineRule="auto"/>
        <w:ind w:left="720"/>
        <w:jc w:val="center"/>
        <w:rPr>
          <w:b/>
        </w:rPr>
      </w:pPr>
      <w:r>
        <w:rPr>
          <w:b/>
        </w:rPr>
        <w:t xml:space="preserve">Шановний </w:t>
      </w:r>
      <w:r w:rsidRPr="00FB4A11">
        <w:rPr>
          <w:b/>
        </w:rPr>
        <w:t>Олександре Георгійовичу</w:t>
      </w:r>
      <w:r w:rsidRPr="00FA1646">
        <w:rPr>
          <w:b/>
        </w:rPr>
        <w:t>!</w:t>
      </w:r>
    </w:p>
    <w:p w14:paraId="551E59E2" w14:textId="77777777" w:rsidR="00FB4A11" w:rsidRPr="00FA1646" w:rsidRDefault="00FB4A11" w:rsidP="00FB4A11">
      <w:pPr>
        <w:spacing w:line="276" w:lineRule="auto"/>
        <w:ind w:left="720"/>
        <w:jc w:val="center"/>
        <w:rPr>
          <w:b/>
        </w:rPr>
      </w:pPr>
    </w:p>
    <w:p w14:paraId="086B2931" w14:textId="77777777" w:rsidR="00FB4A11" w:rsidRDefault="00FB4A11" w:rsidP="00FB4A11">
      <w:pPr>
        <w:ind w:left="720" w:firstLine="556"/>
        <w:jc w:val="both"/>
      </w:pPr>
      <w:r w:rsidRPr="00FA1646">
        <w:t xml:space="preserve">Від імені Ради директорів Американської торгівельної палати в Україні (далі – Палата) і компаній-членів </w:t>
      </w:r>
      <w:r w:rsidRPr="00FB4A11">
        <w:t xml:space="preserve">висловлюємо Вам глибоку повагу та вдячність за постійний діалог із бізнес-спільнотою </w:t>
      </w:r>
      <w:r>
        <w:t>та звертаємось із наступним.</w:t>
      </w:r>
    </w:p>
    <w:p w14:paraId="1217FA78" w14:textId="77777777" w:rsidR="00FB4A11" w:rsidRDefault="00C2022A" w:rsidP="00FB4A11">
      <w:pPr>
        <w:pStyle w:val="NoSpacing"/>
        <w:ind w:left="720" w:firstLine="556"/>
        <w:jc w:val="both"/>
      </w:pPr>
      <w:r>
        <w:t>Експерти компаній-членів проаналізували п</w:t>
      </w:r>
      <w:r w:rsidRPr="00C2022A">
        <w:t>роект Закону №8312</w:t>
      </w:r>
      <w:r>
        <w:t xml:space="preserve"> «П</w:t>
      </w:r>
      <w:r w:rsidRPr="00C2022A">
        <w:t>ро внесення змін до Закону України «Про ринок природного газу» (щодо посилення конкуренції на ринку постачання природного газу)</w:t>
      </w:r>
      <w:r>
        <w:t>», зареєстрований у Верховній Раді України 20.04.2018р.,</w:t>
      </w:r>
      <w:r w:rsidRPr="00C2022A">
        <w:t xml:space="preserve"> </w:t>
      </w:r>
      <w:r>
        <w:t>та мають ряд зауважень і коментарів до нього, зокрема:</w:t>
      </w:r>
    </w:p>
    <w:p w14:paraId="3CF093E1" w14:textId="77777777" w:rsidR="00C2022A" w:rsidRDefault="00C2022A" w:rsidP="00C2022A">
      <w:pPr>
        <w:pStyle w:val="NoSpacing"/>
        <w:numPr>
          <w:ilvl w:val="0"/>
          <w:numId w:val="3"/>
        </w:numPr>
        <w:tabs>
          <w:tab w:val="left" w:pos="1620"/>
        </w:tabs>
        <w:ind w:left="1260" w:firstLine="0"/>
        <w:jc w:val="both"/>
      </w:pPr>
      <w:r>
        <w:t>щодо доповнення ст.</w:t>
      </w:r>
      <w:r w:rsidRPr="00C2022A">
        <w:t>12</w:t>
      </w:r>
      <w:r>
        <w:t xml:space="preserve"> Закону</w:t>
      </w:r>
      <w:r w:rsidRPr="00C2022A">
        <w:t xml:space="preserve"> </w:t>
      </w:r>
      <w:r>
        <w:t>(«</w:t>
      </w:r>
      <w:r w:rsidRPr="00C2022A">
        <w:t>Правила постачання природного газу</w:t>
      </w:r>
      <w:r>
        <w:t xml:space="preserve">») пунктом </w:t>
      </w:r>
      <w:r w:rsidRPr="00C2022A">
        <w:t>2</w:t>
      </w:r>
      <w:r>
        <w:rPr>
          <w:vertAlign w:val="superscript"/>
        </w:rPr>
        <w:t>1</w:t>
      </w:r>
      <w:r w:rsidRPr="00C2022A">
        <w:t xml:space="preserve"> </w:t>
      </w:r>
      <w:r>
        <w:t>«</w:t>
      </w:r>
      <w:r w:rsidRPr="00C2022A">
        <w:rPr>
          <w:i/>
        </w:rPr>
        <w:t>Постачальники мають право на отримання послуг з транспортування, розподілу та зберігання (закачування, відбору) природного газу, а також послуг установки LNG згідно з умовами укладених договорів та законодавством</w:t>
      </w:r>
      <w:r>
        <w:t>».</w:t>
      </w:r>
    </w:p>
    <w:p w14:paraId="7465E0BF" w14:textId="77777777" w:rsidR="00314694" w:rsidRDefault="00314694" w:rsidP="00314694">
      <w:pPr>
        <w:pStyle w:val="NoSpacing"/>
        <w:ind w:left="720" w:firstLine="556"/>
        <w:jc w:val="both"/>
      </w:pPr>
      <w:r>
        <w:t>Відповідно до розділу VI. ч 1. п.2. Кодексу ГРС, доступ споживачів, у тому числі побутових споживачів, до ГРМ для споживання (постачання) природного газу надається за умови та на підставі укладеного між споживачем та Оператором ГРМ (до ГРМ якого підключений об'єкт споживача) договору розподілу природного газу, що укладається за формою Типового договору розподілу природного газу, затвердженого Постановою Національної комісії, що здійснює державне регулювання у сферах енергетики та комунальних послуг, від 30.09.2015р. № 2498 (далі - Типовий договір розподілу природного газу) в порядку, визначеному цим розділом.</w:t>
      </w:r>
    </w:p>
    <w:p w14:paraId="036C0091" w14:textId="77777777" w:rsidR="00314694" w:rsidRDefault="00314694" w:rsidP="00314694">
      <w:pPr>
        <w:pStyle w:val="NoSpacing"/>
        <w:ind w:left="720" w:firstLine="556"/>
        <w:jc w:val="both"/>
      </w:pPr>
      <w:r>
        <w:t xml:space="preserve">Зазначений механізм укладання договорів розподілу виключно між споживачем і Оператором ГРМ дозволив уникнути втручання Оператора ГРМ у питання вибору споживачами постачальників природного газу та, відповідно, доступу постачальників на ринок в цілому. Дворічна практика застосування даного механізму сприяла суттєвому розвитку конкуренції на ринку газу. Завдяки усуненню Операторів ГРМ від погодження будь-яких питань переходу споживача від одного до іншого постачальника, кількість постачальників газу не побутовим споживачам за період 2016-2017рр. зросла близько в 10 разів. Новий постачальник, після узгодження договірних відносин із споживачем, одразу має право подавати номінації до Оператора ГТС (який де-факто є адміністратором ринку), в той час як всі технічні питання Оператор ГРМ вирішує через прямий договір розподілу зі споживачем.  </w:t>
      </w:r>
    </w:p>
    <w:p w14:paraId="615E73D8" w14:textId="77777777" w:rsidR="00314694" w:rsidRDefault="00314694" w:rsidP="00314694">
      <w:pPr>
        <w:pStyle w:val="NoSpacing"/>
        <w:ind w:left="720" w:firstLine="556"/>
        <w:jc w:val="both"/>
      </w:pPr>
      <w:r>
        <w:t xml:space="preserve">Крім того, в умовах запровадження добового балансування на ринку природного газу, розрахунковим періодом, в межах якого споживачам буде дозволено змінювати постачальників, буде доба, а не місяць, як це діє сьогодні. Наявність у споживача одного договору розподілу природного газу із одним Оператором ГРМ є передумовою реалізації переходу на щодобовий облік та добове балансування. </w:t>
      </w:r>
    </w:p>
    <w:p w14:paraId="7F8F1602" w14:textId="77777777" w:rsidR="000E2E7C" w:rsidRDefault="00314694" w:rsidP="00314694">
      <w:pPr>
        <w:pStyle w:val="NoSpacing"/>
        <w:ind w:left="720" w:firstLine="556"/>
        <w:jc w:val="both"/>
      </w:pPr>
      <w:r>
        <w:t>Діючий механізм дозволив зменшити кількість договірної роботи Операторів ГРМ, адже споживач має лише один загальний (універсальний) договір із Оператором ГРМ.</w:t>
      </w:r>
    </w:p>
    <w:p w14:paraId="2F4C4430" w14:textId="77777777" w:rsidR="00FB4A11" w:rsidRPr="004E05F6" w:rsidRDefault="00314694" w:rsidP="00314694">
      <w:pPr>
        <w:pStyle w:val="NoSpacing"/>
        <w:ind w:left="720" w:firstLine="556"/>
        <w:jc w:val="both"/>
      </w:pPr>
      <w:r>
        <w:lastRenderedPageBreak/>
        <w:t xml:space="preserve"> Експерти компаній -членів Палати вважають, що запропоновані зміни збільшать договірне навантаження на Операторів ГРМ та можуть сприяти затягуванню процесу продовження строку дії договорів з Операторами ГРМ про надання послуг з припинення (відключення) постачання газу споживачам, здійсненню вибіркового підходу Операторів ГРМ до співпраці з постачальниками, а </w:t>
      </w:r>
      <w:r w:rsidRPr="004E05F6">
        <w:t>також спотворенню конкуренції.</w:t>
      </w:r>
    </w:p>
    <w:p w14:paraId="1BE0A9D9" w14:textId="20672AE5" w:rsidR="000E2E7C" w:rsidRDefault="000E2E7C" w:rsidP="00314694">
      <w:pPr>
        <w:pStyle w:val="NoSpacing"/>
        <w:ind w:left="720" w:firstLine="556"/>
        <w:jc w:val="both"/>
      </w:pPr>
      <w:r w:rsidRPr="004E05F6">
        <w:t xml:space="preserve">Експерти компаній-членів Палати не підтримують запропоновані зміни до ст.12 Закону, а саме </w:t>
      </w:r>
      <w:r w:rsidR="00167EB5" w:rsidRPr="004E05F6">
        <w:t xml:space="preserve">надання </w:t>
      </w:r>
      <w:r w:rsidRPr="004E05F6">
        <w:t xml:space="preserve"> прав постачальник</w:t>
      </w:r>
      <w:r w:rsidR="00167EB5" w:rsidRPr="004E05F6">
        <w:t>ам</w:t>
      </w:r>
      <w:r w:rsidRPr="004E05F6">
        <w:t xml:space="preserve"> на отримання послуг з розподілу природного газу</w:t>
      </w:r>
      <w:r w:rsidR="00167EB5" w:rsidRPr="004E05F6">
        <w:t xml:space="preserve"> шляхом укладання договорів розподілу природного газу з Операторами ГРМ.</w:t>
      </w:r>
    </w:p>
    <w:p w14:paraId="14E0BD74" w14:textId="77777777" w:rsidR="00314694" w:rsidRDefault="00314694" w:rsidP="00314694">
      <w:pPr>
        <w:pStyle w:val="NoSpacing"/>
        <w:numPr>
          <w:ilvl w:val="0"/>
          <w:numId w:val="3"/>
        </w:numPr>
        <w:tabs>
          <w:tab w:val="left" w:pos="1620"/>
        </w:tabs>
        <w:ind w:left="1260" w:firstLine="0"/>
        <w:jc w:val="both"/>
      </w:pPr>
      <w:r>
        <w:t>щодо внесення наступних змін до п.2 ст.14 Закону («</w:t>
      </w:r>
      <w:r w:rsidRPr="00314694">
        <w:t>Особливості реалізації права на зміну постачальника</w:t>
      </w:r>
      <w:r>
        <w:t>»): доповнення абзацом 5 «</w:t>
      </w:r>
      <w:r w:rsidRPr="00314694">
        <w:rPr>
          <w:i/>
        </w:rPr>
        <w:t xml:space="preserve">Наявність заборгованості споживача перед діючим постачальником та/або судового спору між сторонами договору постачання природного газу не можуть бути підставою для затримки в набранні чинності договором постачання природного газу з новим постачальником»,  </w:t>
      </w:r>
      <w:r>
        <w:t>абзацом 6 «</w:t>
      </w:r>
      <w:r w:rsidRPr="00314694">
        <w:rPr>
          <w:i/>
        </w:rPr>
        <w:t>Зобов’язання діючого постачальника, передбачені договором постачання природного газу припиняються в частині постачання природного газу споживачеві з дати, з якої постачання природного газу буде здійснювати новий постачальник</w:t>
      </w:r>
      <w:r>
        <w:t>».</w:t>
      </w:r>
    </w:p>
    <w:p w14:paraId="0CD0D9E5" w14:textId="77777777" w:rsidR="00FB4A11" w:rsidRDefault="00314694" w:rsidP="00FB4A11">
      <w:pPr>
        <w:pStyle w:val="NoSpacing"/>
        <w:ind w:left="720" w:firstLine="556"/>
        <w:jc w:val="both"/>
      </w:pPr>
      <w:r>
        <w:t xml:space="preserve">У разі прийняття законопроекту, запропоновані зміни дозволять </w:t>
      </w:r>
      <w:r w:rsidRPr="00314694">
        <w:t>споживачам змінювати постачальників за умови наявності заборгованості перед попереднім постачальником</w:t>
      </w:r>
      <w:r w:rsidR="00166ED5">
        <w:t>.</w:t>
      </w:r>
    </w:p>
    <w:p w14:paraId="4343D5FF" w14:textId="77777777" w:rsidR="00166ED5" w:rsidRPr="00166ED5" w:rsidRDefault="00166ED5" w:rsidP="00166ED5">
      <w:pPr>
        <w:pStyle w:val="NoSpacing"/>
        <w:ind w:left="720" w:firstLine="556"/>
        <w:jc w:val="both"/>
        <w:rPr>
          <w:lang w:val="ru-RU"/>
        </w:rPr>
      </w:pPr>
      <w:proofErr w:type="spellStart"/>
      <w:r w:rsidRPr="00166ED5">
        <w:rPr>
          <w:lang w:val="ru-RU"/>
        </w:rPr>
        <w:t>Відповідно</w:t>
      </w:r>
      <w:proofErr w:type="spellEnd"/>
      <w:r w:rsidRPr="00166ED5">
        <w:rPr>
          <w:lang w:val="ru-RU"/>
        </w:rPr>
        <w:t xml:space="preserve"> до ст. 14 Закону у </w:t>
      </w:r>
      <w:proofErr w:type="spellStart"/>
      <w:r w:rsidRPr="00166ED5">
        <w:rPr>
          <w:lang w:val="ru-RU"/>
        </w:rPr>
        <w:t>чинній</w:t>
      </w:r>
      <w:proofErr w:type="spellEnd"/>
      <w:r w:rsidRPr="00166ED5">
        <w:rPr>
          <w:lang w:val="ru-RU"/>
        </w:rPr>
        <w:t xml:space="preserve"> </w:t>
      </w:r>
      <w:proofErr w:type="spellStart"/>
      <w:r w:rsidRPr="00166ED5">
        <w:rPr>
          <w:lang w:val="ru-RU"/>
        </w:rPr>
        <w:t>редакції</w:t>
      </w:r>
      <w:proofErr w:type="spellEnd"/>
      <w:r w:rsidRPr="00166ED5">
        <w:rPr>
          <w:lang w:val="ru-RU"/>
        </w:rPr>
        <w:t xml:space="preserve">, </w:t>
      </w:r>
      <w:proofErr w:type="spellStart"/>
      <w:r w:rsidRPr="00166ED5">
        <w:rPr>
          <w:lang w:val="ru-RU"/>
        </w:rPr>
        <w:t>зміні</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w:t>
      </w:r>
      <w:proofErr w:type="spellStart"/>
      <w:r w:rsidRPr="00166ED5">
        <w:rPr>
          <w:lang w:val="ru-RU"/>
        </w:rPr>
        <w:t>має</w:t>
      </w:r>
      <w:proofErr w:type="spellEnd"/>
      <w:r w:rsidRPr="00166ED5">
        <w:rPr>
          <w:lang w:val="ru-RU"/>
        </w:rPr>
        <w:t xml:space="preserve"> </w:t>
      </w:r>
      <w:proofErr w:type="spellStart"/>
      <w:r w:rsidRPr="00166ED5">
        <w:rPr>
          <w:lang w:val="ru-RU"/>
        </w:rPr>
        <w:t>передувати</w:t>
      </w:r>
      <w:proofErr w:type="spellEnd"/>
      <w:r w:rsidRPr="00166ED5">
        <w:rPr>
          <w:lang w:val="ru-RU"/>
        </w:rPr>
        <w:t xml:space="preserve"> </w:t>
      </w:r>
      <w:proofErr w:type="spellStart"/>
      <w:r w:rsidRPr="00166ED5">
        <w:rPr>
          <w:lang w:val="ru-RU"/>
        </w:rPr>
        <w:t>укладання</w:t>
      </w:r>
      <w:proofErr w:type="spellEnd"/>
      <w:r w:rsidRPr="00166ED5">
        <w:rPr>
          <w:lang w:val="ru-RU"/>
        </w:rPr>
        <w:t xml:space="preserve"> договору </w:t>
      </w:r>
      <w:proofErr w:type="spellStart"/>
      <w:r w:rsidRPr="00166ED5">
        <w:rPr>
          <w:lang w:val="ru-RU"/>
        </w:rPr>
        <w:t>із</w:t>
      </w:r>
      <w:proofErr w:type="spellEnd"/>
      <w:r w:rsidRPr="00166ED5">
        <w:rPr>
          <w:lang w:val="ru-RU"/>
        </w:rPr>
        <w:t xml:space="preserve"> </w:t>
      </w:r>
      <w:proofErr w:type="spellStart"/>
      <w:r w:rsidRPr="00166ED5">
        <w:rPr>
          <w:lang w:val="ru-RU"/>
        </w:rPr>
        <w:t>новим</w:t>
      </w:r>
      <w:proofErr w:type="spellEnd"/>
      <w:r w:rsidRPr="00166ED5">
        <w:rPr>
          <w:lang w:val="ru-RU"/>
        </w:rPr>
        <w:t xml:space="preserve"> </w:t>
      </w:r>
      <w:proofErr w:type="spellStart"/>
      <w:r w:rsidRPr="00166ED5">
        <w:rPr>
          <w:lang w:val="ru-RU"/>
        </w:rPr>
        <w:t>постачальником</w:t>
      </w:r>
      <w:proofErr w:type="spellEnd"/>
      <w:r w:rsidRPr="00166ED5">
        <w:rPr>
          <w:lang w:val="ru-RU"/>
        </w:rPr>
        <w:t xml:space="preserve"> та </w:t>
      </w:r>
      <w:proofErr w:type="spellStart"/>
      <w:r w:rsidRPr="00166ED5">
        <w:rPr>
          <w:lang w:val="ru-RU"/>
        </w:rPr>
        <w:t>здійснення</w:t>
      </w:r>
      <w:proofErr w:type="spellEnd"/>
      <w:r w:rsidRPr="00166ED5">
        <w:rPr>
          <w:lang w:val="ru-RU"/>
        </w:rPr>
        <w:t xml:space="preserve"> </w:t>
      </w:r>
      <w:proofErr w:type="spellStart"/>
      <w:r w:rsidRPr="00166ED5">
        <w:rPr>
          <w:lang w:val="ru-RU"/>
        </w:rPr>
        <w:t>розрахунку</w:t>
      </w:r>
      <w:proofErr w:type="spellEnd"/>
      <w:r w:rsidRPr="00166ED5">
        <w:rPr>
          <w:lang w:val="ru-RU"/>
        </w:rPr>
        <w:t xml:space="preserve"> з </w:t>
      </w:r>
      <w:proofErr w:type="spellStart"/>
      <w:r w:rsidRPr="00166ED5">
        <w:rPr>
          <w:lang w:val="ru-RU"/>
        </w:rPr>
        <w:t>попереднім</w:t>
      </w:r>
      <w:proofErr w:type="spellEnd"/>
      <w:r w:rsidRPr="00166ED5">
        <w:rPr>
          <w:lang w:val="ru-RU"/>
        </w:rPr>
        <w:t xml:space="preserve"> </w:t>
      </w:r>
      <w:proofErr w:type="spellStart"/>
      <w:r w:rsidRPr="00166ED5">
        <w:rPr>
          <w:lang w:val="ru-RU"/>
        </w:rPr>
        <w:t>постачальником</w:t>
      </w:r>
      <w:proofErr w:type="spellEnd"/>
      <w:r w:rsidRPr="00166ED5">
        <w:rPr>
          <w:lang w:val="ru-RU"/>
        </w:rPr>
        <w:t xml:space="preserve">. </w:t>
      </w:r>
    </w:p>
    <w:p w14:paraId="1C756D22" w14:textId="77777777" w:rsidR="00166ED5" w:rsidRPr="00166ED5" w:rsidRDefault="00166ED5" w:rsidP="00166ED5">
      <w:pPr>
        <w:pStyle w:val="NoSpacing"/>
        <w:ind w:left="720" w:firstLine="556"/>
        <w:jc w:val="both"/>
        <w:rPr>
          <w:lang w:val="ru-RU"/>
        </w:rPr>
      </w:pPr>
      <w:r w:rsidRPr="00166ED5">
        <w:rPr>
          <w:lang w:val="ru-RU"/>
        </w:rPr>
        <w:t xml:space="preserve">Детально процедуру </w:t>
      </w:r>
      <w:proofErr w:type="spellStart"/>
      <w:r w:rsidRPr="00166ED5">
        <w:rPr>
          <w:lang w:val="ru-RU"/>
        </w:rPr>
        <w:t>зміни</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w:t>
      </w:r>
      <w:proofErr w:type="spellStart"/>
      <w:r w:rsidRPr="00166ED5">
        <w:rPr>
          <w:lang w:val="ru-RU"/>
        </w:rPr>
        <w:t>врегульовано</w:t>
      </w:r>
      <w:proofErr w:type="spellEnd"/>
      <w:r w:rsidRPr="00166ED5">
        <w:rPr>
          <w:lang w:val="ru-RU"/>
        </w:rPr>
        <w:t xml:space="preserve"> </w:t>
      </w:r>
      <w:proofErr w:type="spellStart"/>
      <w:r w:rsidRPr="00166ED5">
        <w:rPr>
          <w:lang w:val="ru-RU"/>
        </w:rPr>
        <w:t>постановою</w:t>
      </w:r>
      <w:proofErr w:type="spellEnd"/>
      <w:r w:rsidRPr="00166ED5">
        <w:rPr>
          <w:lang w:val="ru-RU"/>
        </w:rPr>
        <w:t xml:space="preserve"> НКРЕКП </w:t>
      </w:r>
      <w:proofErr w:type="spellStart"/>
      <w:r w:rsidRPr="00166ED5">
        <w:rPr>
          <w:lang w:val="ru-RU"/>
        </w:rPr>
        <w:t>від</w:t>
      </w:r>
      <w:proofErr w:type="spellEnd"/>
      <w:r w:rsidRPr="00166ED5">
        <w:rPr>
          <w:lang w:val="ru-RU"/>
        </w:rPr>
        <w:t xml:space="preserve"> 30.09.2015</w:t>
      </w:r>
      <w:r>
        <w:rPr>
          <w:lang w:val="ru-RU"/>
        </w:rPr>
        <w:t>р.</w:t>
      </w:r>
      <w:r w:rsidRPr="00166ED5">
        <w:rPr>
          <w:lang w:val="ru-RU"/>
        </w:rPr>
        <w:t xml:space="preserve"> №2497 «Про </w:t>
      </w:r>
      <w:proofErr w:type="spellStart"/>
      <w:proofErr w:type="gramStart"/>
      <w:r w:rsidRPr="00166ED5">
        <w:rPr>
          <w:lang w:val="ru-RU"/>
        </w:rPr>
        <w:t>затвердження</w:t>
      </w:r>
      <w:proofErr w:type="spellEnd"/>
      <w:r w:rsidRPr="00166ED5">
        <w:rPr>
          <w:lang w:val="ru-RU"/>
        </w:rPr>
        <w:t xml:space="preserve"> Правил</w:t>
      </w:r>
      <w:proofErr w:type="gramEnd"/>
      <w:r w:rsidRPr="00166ED5">
        <w:rPr>
          <w:lang w:val="ru-RU"/>
        </w:rPr>
        <w:t xml:space="preserve"> </w:t>
      </w:r>
      <w:proofErr w:type="spellStart"/>
      <w:r w:rsidRPr="00166ED5">
        <w:rPr>
          <w:lang w:val="ru-RU"/>
        </w:rPr>
        <w:t>постачання</w:t>
      </w:r>
      <w:proofErr w:type="spellEnd"/>
      <w:r w:rsidRPr="00166ED5">
        <w:rPr>
          <w:lang w:val="ru-RU"/>
        </w:rPr>
        <w:t xml:space="preserve"> природного газу» (</w:t>
      </w:r>
      <w:proofErr w:type="spellStart"/>
      <w:r w:rsidRPr="00166ED5">
        <w:rPr>
          <w:lang w:val="ru-RU"/>
        </w:rPr>
        <w:t>далі</w:t>
      </w:r>
      <w:proofErr w:type="spellEnd"/>
      <w:r w:rsidRPr="00166ED5">
        <w:rPr>
          <w:lang w:val="ru-RU"/>
        </w:rPr>
        <w:t xml:space="preserve"> – Правила).        </w:t>
      </w:r>
    </w:p>
    <w:p w14:paraId="5FE86E7E" w14:textId="77777777" w:rsidR="00166ED5" w:rsidRPr="00166ED5" w:rsidRDefault="00166ED5" w:rsidP="00166ED5">
      <w:pPr>
        <w:pStyle w:val="NoSpacing"/>
        <w:ind w:left="720" w:firstLine="556"/>
        <w:jc w:val="both"/>
        <w:rPr>
          <w:lang w:val="ru-RU"/>
        </w:rPr>
      </w:pPr>
      <w:proofErr w:type="spellStart"/>
      <w:r w:rsidRPr="00166ED5">
        <w:rPr>
          <w:lang w:val="ru-RU"/>
        </w:rPr>
        <w:t>Згідно</w:t>
      </w:r>
      <w:proofErr w:type="spellEnd"/>
      <w:r w:rsidRPr="00166ED5">
        <w:rPr>
          <w:lang w:val="ru-RU"/>
        </w:rPr>
        <w:t xml:space="preserve"> ч.2 п. 2 </w:t>
      </w:r>
      <w:proofErr w:type="spellStart"/>
      <w:r>
        <w:rPr>
          <w:lang w:val="ru-RU"/>
        </w:rPr>
        <w:t>Р</w:t>
      </w:r>
      <w:r w:rsidRPr="00166ED5">
        <w:rPr>
          <w:lang w:val="ru-RU"/>
        </w:rPr>
        <w:t>озділу</w:t>
      </w:r>
      <w:proofErr w:type="spellEnd"/>
      <w:r w:rsidRPr="00166ED5">
        <w:rPr>
          <w:lang w:val="ru-RU"/>
        </w:rPr>
        <w:t xml:space="preserve"> IV Правил </w:t>
      </w:r>
      <w:proofErr w:type="spellStart"/>
      <w:r w:rsidRPr="00166ED5">
        <w:rPr>
          <w:lang w:val="ru-RU"/>
        </w:rPr>
        <w:t>зміні</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у </w:t>
      </w:r>
      <w:proofErr w:type="spellStart"/>
      <w:r w:rsidRPr="00166ED5">
        <w:rPr>
          <w:lang w:val="ru-RU"/>
        </w:rPr>
        <w:t>відповідному</w:t>
      </w:r>
      <w:proofErr w:type="spellEnd"/>
      <w:r w:rsidRPr="00166ED5">
        <w:rPr>
          <w:lang w:val="ru-RU"/>
        </w:rPr>
        <w:t xml:space="preserve"> </w:t>
      </w:r>
      <w:proofErr w:type="spellStart"/>
      <w:r w:rsidRPr="00166ED5">
        <w:rPr>
          <w:lang w:val="ru-RU"/>
        </w:rPr>
        <w:t>розрахунковому</w:t>
      </w:r>
      <w:proofErr w:type="spellEnd"/>
      <w:r w:rsidRPr="00166ED5">
        <w:rPr>
          <w:lang w:val="ru-RU"/>
        </w:rPr>
        <w:t xml:space="preserve"> </w:t>
      </w:r>
      <w:proofErr w:type="spellStart"/>
      <w:r w:rsidRPr="00166ED5">
        <w:rPr>
          <w:lang w:val="ru-RU"/>
        </w:rPr>
        <w:t>періоді</w:t>
      </w:r>
      <w:proofErr w:type="spellEnd"/>
      <w:r w:rsidRPr="00166ED5">
        <w:rPr>
          <w:lang w:val="ru-RU"/>
        </w:rPr>
        <w:t xml:space="preserve"> </w:t>
      </w:r>
      <w:proofErr w:type="spellStart"/>
      <w:r w:rsidRPr="00166ED5">
        <w:rPr>
          <w:lang w:val="ru-RU"/>
        </w:rPr>
        <w:t>має</w:t>
      </w:r>
      <w:proofErr w:type="spellEnd"/>
      <w:r w:rsidRPr="00166ED5">
        <w:rPr>
          <w:lang w:val="ru-RU"/>
        </w:rPr>
        <w:t xml:space="preserve"> </w:t>
      </w:r>
      <w:proofErr w:type="spellStart"/>
      <w:r w:rsidRPr="00166ED5">
        <w:rPr>
          <w:lang w:val="ru-RU"/>
        </w:rPr>
        <w:t>передувати</w:t>
      </w:r>
      <w:proofErr w:type="spellEnd"/>
      <w:r w:rsidRPr="00166ED5">
        <w:rPr>
          <w:lang w:val="ru-RU"/>
        </w:rPr>
        <w:t xml:space="preserve"> </w:t>
      </w:r>
      <w:proofErr w:type="spellStart"/>
      <w:r w:rsidRPr="00166ED5">
        <w:rPr>
          <w:lang w:val="ru-RU"/>
        </w:rPr>
        <w:t>укладання</w:t>
      </w:r>
      <w:proofErr w:type="spellEnd"/>
      <w:r w:rsidRPr="00166ED5">
        <w:rPr>
          <w:lang w:val="ru-RU"/>
        </w:rPr>
        <w:t xml:space="preserve"> договору </w:t>
      </w:r>
      <w:proofErr w:type="spellStart"/>
      <w:r w:rsidRPr="00166ED5">
        <w:rPr>
          <w:lang w:val="ru-RU"/>
        </w:rPr>
        <w:t>постачання</w:t>
      </w:r>
      <w:proofErr w:type="spellEnd"/>
      <w:r w:rsidRPr="00166ED5">
        <w:rPr>
          <w:lang w:val="ru-RU"/>
        </w:rPr>
        <w:t xml:space="preserve"> природного газу з </w:t>
      </w:r>
      <w:proofErr w:type="spellStart"/>
      <w:r w:rsidRPr="00166ED5">
        <w:rPr>
          <w:lang w:val="ru-RU"/>
        </w:rPr>
        <w:t>новим</w:t>
      </w:r>
      <w:proofErr w:type="spellEnd"/>
      <w:r w:rsidRPr="00166ED5">
        <w:rPr>
          <w:lang w:val="ru-RU"/>
        </w:rPr>
        <w:t xml:space="preserve"> </w:t>
      </w:r>
      <w:proofErr w:type="spellStart"/>
      <w:r w:rsidRPr="00166ED5">
        <w:rPr>
          <w:lang w:val="ru-RU"/>
        </w:rPr>
        <w:t>постачальником</w:t>
      </w:r>
      <w:proofErr w:type="spellEnd"/>
      <w:r w:rsidRPr="00166ED5">
        <w:rPr>
          <w:lang w:val="ru-RU"/>
        </w:rPr>
        <w:t xml:space="preserve"> та </w:t>
      </w:r>
      <w:proofErr w:type="spellStart"/>
      <w:r w:rsidRPr="00166ED5">
        <w:rPr>
          <w:lang w:val="ru-RU"/>
        </w:rPr>
        <w:t>розірвання</w:t>
      </w:r>
      <w:proofErr w:type="spellEnd"/>
      <w:r w:rsidRPr="00166ED5">
        <w:rPr>
          <w:lang w:val="ru-RU"/>
        </w:rPr>
        <w:t xml:space="preserve"> договору </w:t>
      </w:r>
      <w:proofErr w:type="spellStart"/>
      <w:r w:rsidRPr="00166ED5">
        <w:rPr>
          <w:lang w:val="ru-RU"/>
        </w:rPr>
        <w:t>постачання</w:t>
      </w:r>
      <w:proofErr w:type="spellEnd"/>
      <w:r w:rsidRPr="00166ED5">
        <w:rPr>
          <w:lang w:val="ru-RU"/>
        </w:rPr>
        <w:t xml:space="preserve"> природного газу з </w:t>
      </w:r>
      <w:proofErr w:type="spellStart"/>
      <w:r w:rsidRPr="00166ED5">
        <w:rPr>
          <w:lang w:val="ru-RU"/>
        </w:rPr>
        <w:t>діючим</w:t>
      </w:r>
      <w:proofErr w:type="spellEnd"/>
      <w:r w:rsidRPr="00166ED5">
        <w:rPr>
          <w:lang w:val="ru-RU"/>
        </w:rPr>
        <w:t xml:space="preserve"> </w:t>
      </w:r>
      <w:proofErr w:type="spellStart"/>
      <w:r w:rsidRPr="00166ED5">
        <w:rPr>
          <w:lang w:val="ru-RU"/>
        </w:rPr>
        <w:t>постачальником</w:t>
      </w:r>
      <w:proofErr w:type="spellEnd"/>
      <w:r w:rsidRPr="00166ED5">
        <w:rPr>
          <w:lang w:val="ru-RU"/>
        </w:rPr>
        <w:t xml:space="preserve"> </w:t>
      </w:r>
      <w:proofErr w:type="spellStart"/>
      <w:r w:rsidRPr="00166ED5">
        <w:rPr>
          <w:lang w:val="ru-RU"/>
        </w:rPr>
        <w:t>або</w:t>
      </w:r>
      <w:proofErr w:type="spellEnd"/>
      <w:r w:rsidRPr="00166ED5">
        <w:rPr>
          <w:lang w:val="ru-RU"/>
        </w:rPr>
        <w:t xml:space="preserve"> </w:t>
      </w:r>
      <w:proofErr w:type="spellStart"/>
      <w:r w:rsidRPr="00166ED5">
        <w:rPr>
          <w:lang w:val="ru-RU"/>
        </w:rPr>
        <w:t>його</w:t>
      </w:r>
      <w:proofErr w:type="spellEnd"/>
      <w:r w:rsidRPr="00166ED5">
        <w:rPr>
          <w:lang w:val="ru-RU"/>
        </w:rPr>
        <w:t xml:space="preserve"> </w:t>
      </w:r>
      <w:proofErr w:type="spellStart"/>
      <w:r w:rsidRPr="00166ED5">
        <w:rPr>
          <w:lang w:val="ru-RU"/>
        </w:rPr>
        <w:t>призупинення</w:t>
      </w:r>
      <w:proofErr w:type="spellEnd"/>
      <w:r w:rsidRPr="00166ED5">
        <w:rPr>
          <w:lang w:val="ru-RU"/>
        </w:rPr>
        <w:t xml:space="preserve"> в </w:t>
      </w:r>
      <w:proofErr w:type="spellStart"/>
      <w:r w:rsidRPr="00166ED5">
        <w:rPr>
          <w:lang w:val="ru-RU"/>
        </w:rPr>
        <w:t>частині</w:t>
      </w:r>
      <w:proofErr w:type="spellEnd"/>
      <w:r w:rsidRPr="00166ED5">
        <w:rPr>
          <w:lang w:val="ru-RU"/>
        </w:rPr>
        <w:t xml:space="preserve"> </w:t>
      </w:r>
      <w:proofErr w:type="spellStart"/>
      <w:r w:rsidRPr="00166ED5">
        <w:rPr>
          <w:lang w:val="ru-RU"/>
        </w:rPr>
        <w:t>постачання</w:t>
      </w:r>
      <w:proofErr w:type="spellEnd"/>
      <w:r w:rsidRPr="00166ED5">
        <w:rPr>
          <w:lang w:val="ru-RU"/>
        </w:rPr>
        <w:t xml:space="preserve"> природного газу, а </w:t>
      </w:r>
      <w:proofErr w:type="spellStart"/>
      <w:r w:rsidRPr="00166ED5">
        <w:rPr>
          <w:lang w:val="ru-RU"/>
        </w:rPr>
        <w:t>також</w:t>
      </w:r>
      <w:proofErr w:type="spellEnd"/>
      <w:r w:rsidRPr="00166ED5">
        <w:rPr>
          <w:lang w:val="ru-RU"/>
        </w:rPr>
        <w:t xml:space="preserve"> </w:t>
      </w:r>
      <w:proofErr w:type="spellStart"/>
      <w:r w:rsidRPr="00166ED5">
        <w:rPr>
          <w:lang w:val="ru-RU"/>
        </w:rPr>
        <w:t>відсутність</w:t>
      </w:r>
      <w:proofErr w:type="spellEnd"/>
      <w:r w:rsidRPr="00166ED5">
        <w:rPr>
          <w:lang w:val="ru-RU"/>
        </w:rPr>
        <w:t xml:space="preserve"> у </w:t>
      </w:r>
      <w:proofErr w:type="spellStart"/>
      <w:r w:rsidRPr="00166ED5">
        <w:rPr>
          <w:lang w:val="ru-RU"/>
        </w:rPr>
        <w:t>споживача</w:t>
      </w:r>
      <w:proofErr w:type="spellEnd"/>
      <w:r w:rsidRPr="00166ED5">
        <w:rPr>
          <w:lang w:val="ru-RU"/>
        </w:rPr>
        <w:t xml:space="preserve"> </w:t>
      </w:r>
      <w:proofErr w:type="spellStart"/>
      <w:r w:rsidRPr="00166ED5">
        <w:rPr>
          <w:lang w:val="ru-RU"/>
        </w:rPr>
        <w:t>простроченої</w:t>
      </w:r>
      <w:proofErr w:type="spellEnd"/>
      <w:r w:rsidRPr="00166ED5">
        <w:rPr>
          <w:lang w:val="ru-RU"/>
        </w:rPr>
        <w:t xml:space="preserve"> </w:t>
      </w:r>
      <w:proofErr w:type="spellStart"/>
      <w:r w:rsidRPr="00166ED5">
        <w:rPr>
          <w:lang w:val="ru-RU"/>
        </w:rPr>
        <w:t>заборгованості</w:t>
      </w:r>
      <w:proofErr w:type="spellEnd"/>
      <w:r w:rsidRPr="00166ED5">
        <w:rPr>
          <w:lang w:val="ru-RU"/>
        </w:rPr>
        <w:t xml:space="preserve"> за </w:t>
      </w:r>
      <w:proofErr w:type="spellStart"/>
      <w:r w:rsidRPr="00166ED5">
        <w:rPr>
          <w:lang w:val="ru-RU"/>
        </w:rPr>
        <w:t>поставлений</w:t>
      </w:r>
      <w:proofErr w:type="spellEnd"/>
      <w:r w:rsidRPr="00166ED5">
        <w:rPr>
          <w:lang w:val="ru-RU"/>
        </w:rPr>
        <w:t xml:space="preserve"> </w:t>
      </w:r>
      <w:proofErr w:type="spellStart"/>
      <w:r w:rsidRPr="00166ED5">
        <w:rPr>
          <w:lang w:val="ru-RU"/>
        </w:rPr>
        <w:t>природний</w:t>
      </w:r>
      <w:proofErr w:type="spellEnd"/>
      <w:r w:rsidRPr="00166ED5">
        <w:rPr>
          <w:lang w:val="ru-RU"/>
        </w:rPr>
        <w:t xml:space="preserve"> газ перед </w:t>
      </w:r>
      <w:proofErr w:type="spellStart"/>
      <w:r w:rsidRPr="00166ED5">
        <w:rPr>
          <w:lang w:val="ru-RU"/>
        </w:rPr>
        <w:t>діючим</w:t>
      </w:r>
      <w:proofErr w:type="spellEnd"/>
      <w:r w:rsidRPr="00166ED5">
        <w:rPr>
          <w:lang w:val="ru-RU"/>
        </w:rPr>
        <w:t xml:space="preserve"> </w:t>
      </w:r>
      <w:proofErr w:type="spellStart"/>
      <w:r w:rsidRPr="00166ED5">
        <w:rPr>
          <w:lang w:val="ru-RU"/>
        </w:rPr>
        <w:t>постачальником</w:t>
      </w:r>
      <w:proofErr w:type="spellEnd"/>
      <w:r w:rsidRPr="00166ED5">
        <w:rPr>
          <w:lang w:val="ru-RU"/>
        </w:rPr>
        <w:t>.</w:t>
      </w:r>
    </w:p>
    <w:p w14:paraId="72E3BA00" w14:textId="77777777" w:rsidR="00166ED5" w:rsidRPr="00166ED5" w:rsidRDefault="00166ED5" w:rsidP="00166ED5">
      <w:pPr>
        <w:pStyle w:val="NoSpacing"/>
        <w:ind w:left="720" w:firstLine="556"/>
        <w:jc w:val="both"/>
        <w:rPr>
          <w:lang w:val="ru-RU"/>
        </w:rPr>
      </w:pPr>
      <w:r w:rsidRPr="00166ED5">
        <w:rPr>
          <w:lang w:val="ru-RU"/>
        </w:rPr>
        <w:t xml:space="preserve">Таким чином, </w:t>
      </w:r>
      <w:proofErr w:type="spellStart"/>
      <w:r w:rsidRPr="00166ED5">
        <w:rPr>
          <w:lang w:val="ru-RU"/>
        </w:rPr>
        <w:t>норми</w:t>
      </w:r>
      <w:proofErr w:type="spellEnd"/>
      <w:r w:rsidRPr="00166ED5">
        <w:rPr>
          <w:lang w:val="ru-RU"/>
        </w:rPr>
        <w:t xml:space="preserve"> Закону у </w:t>
      </w:r>
      <w:proofErr w:type="spellStart"/>
      <w:r w:rsidRPr="00166ED5">
        <w:rPr>
          <w:lang w:val="ru-RU"/>
        </w:rPr>
        <w:t>чинній</w:t>
      </w:r>
      <w:proofErr w:type="spellEnd"/>
      <w:r w:rsidRPr="00166ED5">
        <w:rPr>
          <w:lang w:val="ru-RU"/>
        </w:rPr>
        <w:t xml:space="preserve"> </w:t>
      </w:r>
      <w:proofErr w:type="spellStart"/>
      <w:r w:rsidRPr="00166ED5">
        <w:rPr>
          <w:lang w:val="ru-RU"/>
        </w:rPr>
        <w:t>редакції</w:t>
      </w:r>
      <w:proofErr w:type="spellEnd"/>
      <w:r w:rsidRPr="00166ED5">
        <w:rPr>
          <w:lang w:val="ru-RU"/>
        </w:rPr>
        <w:t xml:space="preserve"> у </w:t>
      </w:r>
      <w:proofErr w:type="spellStart"/>
      <w:r w:rsidRPr="00166ED5">
        <w:rPr>
          <w:lang w:val="ru-RU"/>
        </w:rPr>
        <w:t>їх</w:t>
      </w:r>
      <w:proofErr w:type="spellEnd"/>
      <w:r w:rsidRPr="00166ED5">
        <w:rPr>
          <w:lang w:val="ru-RU"/>
        </w:rPr>
        <w:t xml:space="preserve"> </w:t>
      </w:r>
      <w:proofErr w:type="spellStart"/>
      <w:r w:rsidRPr="00166ED5">
        <w:rPr>
          <w:lang w:val="ru-RU"/>
        </w:rPr>
        <w:t>сукупності</w:t>
      </w:r>
      <w:proofErr w:type="spellEnd"/>
      <w:r w:rsidRPr="00166ED5">
        <w:rPr>
          <w:lang w:val="ru-RU"/>
        </w:rPr>
        <w:t xml:space="preserve"> </w:t>
      </w:r>
      <w:proofErr w:type="spellStart"/>
      <w:r w:rsidRPr="00166ED5">
        <w:rPr>
          <w:lang w:val="ru-RU"/>
        </w:rPr>
        <w:t>із</w:t>
      </w:r>
      <w:proofErr w:type="spellEnd"/>
      <w:r w:rsidRPr="00166ED5">
        <w:rPr>
          <w:lang w:val="ru-RU"/>
        </w:rPr>
        <w:t xml:space="preserve"> </w:t>
      </w:r>
      <w:proofErr w:type="spellStart"/>
      <w:r w:rsidRPr="00166ED5">
        <w:rPr>
          <w:lang w:val="ru-RU"/>
        </w:rPr>
        <w:t>підзаконними</w:t>
      </w:r>
      <w:proofErr w:type="spellEnd"/>
      <w:r w:rsidRPr="00166ED5">
        <w:rPr>
          <w:lang w:val="ru-RU"/>
        </w:rPr>
        <w:t xml:space="preserve"> нормативно-</w:t>
      </w:r>
      <w:proofErr w:type="spellStart"/>
      <w:r w:rsidRPr="00166ED5">
        <w:rPr>
          <w:lang w:val="ru-RU"/>
        </w:rPr>
        <w:t>правовими</w:t>
      </w:r>
      <w:proofErr w:type="spellEnd"/>
      <w:r w:rsidRPr="00166ED5">
        <w:rPr>
          <w:lang w:val="ru-RU"/>
        </w:rPr>
        <w:t xml:space="preserve"> актами в </w:t>
      </w:r>
      <w:proofErr w:type="spellStart"/>
      <w:r w:rsidRPr="00166ED5">
        <w:rPr>
          <w:lang w:val="ru-RU"/>
        </w:rPr>
        <w:t>повній</w:t>
      </w:r>
      <w:proofErr w:type="spellEnd"/>
      <w:r w:rsidRPr="00166ED5">
        <w:rPr>
          <w:lang w:val="ru-RU"/>
        </w:rPr>
        <w:t xml:space="preserve"> </w:t>
      </w:r>
      <w:proofErr w:type="spellStart"/>
      <w:r w:rsidRPr="00166ED5">
        <w:rPr>
          <w:lang w:val="ru-RU"/>
        </w:rPr>
        <w:t>мірі</w:t>
      </w:r>
      <w:proofErr w:type="spellEnd"/>
      <w:r w:rsidRPr="00166ED5">
        <w:rPr>
          <w:lang w:val="ru-RU"/>
        </w:rPr>
        <w:t xml:space="preserve"> </w:t>
      </w:r>
      <w:proofErr w:type="spellStart"/>
      <w:r w:rsidRPr="00166ED5">
        <w:rPr>
          <w:lang w:val="ru-RU"/>
        </w:rPr>
        <w:t>дають</w:t>
      </w:r>
      <w:proofErr w:type="spellEnd"/>
      <w:r w:rsidRPr="00166ED5">
        <w:rPr>
          <w:lang w:val="ru-RU"/>
        </w:rPr>
        <w:t xml:space="preserve"> </w:t>
      </w:r>
      <w:proofErr w:type="spellStart"/>
      <w:r w:rsidRPr="00166ED5">
        <w:rPr>
          <w:lang w:val="ru-RU"/>
        </w:rPr>
        <w:t>можливість</w:t>
      </w:r>
      <w:proofErr w:type="spellEnd"/>
      <w:r w:rsidRPr="00166ED5">
        <w:rPr>
          <w:lang w:val="ru-RU"/>
        </w:rPr>
        <w:t xml:space="preserve"> будь-</w:t>
      </w:r>
      <w:proofErr w:type="spellStart"/>
      <w:r w:rsidRPr="00166ED5">
        <w:rPr>
          <w:lang w:val="ru-RU"/>
        </w:rPr>
        <w:t>якому</w:t>
      </w:r>
      <w:proofErr w:type="spellEnd"/>
      <w:r w:rsidRPr="00166ED5">
        <w:rPr>
          <w:lang w:val="ru-RU"/>
        </w:rPr>
        <w:t xml:space="preserve"> </w:t>
      </w:r>
      <w:proofErr w:type="spellStart"/>
      <w:r w:rsidRPr="00166ED5">
        <w:rPr>
          <w:lang w:val="ru-RU"/>
        </w:rPr>
        <w:t>сумлінному</w:t>
      </w:r>
      <w:proofErr w:type="spellEnd"/>
      <w:r w:rsidRPr="00166ED5">
        <w:rPr>
          <w:lang w:val="ru-RU"/>
        </w:rPr>
        <w:t xml:space="preserve"> </w:t>
      </w:r>
      <w:proofErr w:type="spellStart"/>
      <w:r w:rsidRPr="00166ED5">
        <w:rPr>
          <w:lang w:val="ru-RU"/>
        </w:rPr>
        <w:t>споживачу</w:t>
      </w:r>
      <w:proofErr w:type="spellEnd"/>
      <w:r w:rsidRPr="00166ED5">
        <w:rPr>
          <w:lang w:val="ru-RU"/>
        </w:rPr>
        <w:t xml:space="preserve"> </w:t>
      </w:r>
      <w:proofErr w:type="spellStart"/>
      <w:r w:rsidRPr="00166ED5">
        <w:rPr>
          <w:lang w:val="ru-RU"/>
        </w:rPr>
        <w:t>безперешкодно</w:t>
      </w:r>
      <w:proofErr w:type="spellEnd"/>
      <w:r w:rsidRPr="00166ED5">
        <w:rPr>
          <w:lang w:val="ru-RU"/>
        </w:rPr>
        <w:t xml:space="preserve"> </w:t>
      </w:r>
      <w:proofErr w:type="spellStart"/>
      <w:r w:rsidRPr="00166ED5">
        <w:rPr>
          <w:lang w:val="ru-RU"/>
        </w:rPr>
        <w:t>реалізовувати</w:t>
      </w:r>
      <w:proofErr w:type="spellEnd"/>
      <w:r w:rsidRPr="00166ED5">
        <w:rPr>
          <w:lang w:val="ru-RU"/>
        </w:rPr>
        <w:t xml:space="preserve"> </w:t>
      </w:r>
      <w:proofErr w:type="spellStart"/>
      <w:r w:rsidRPr="00166ED5">
        <w:rPr>
          <w:lang w:val="ru-RU"/>
        </w:rPr>
        <w:t>його</w:t>
      </w:r>
      <w:proofErr w:type="spellEnd"/>
      <w:r w:rsidRPr="00166ED5">
        <w:rPr>
          <w:lang w:val="ru-RU"/>
        </w:rPr>
        <w:t xml:space="preserve"> право на </w:t>
      </w:r>
      <w:proofErr w:type="spellStart"/>
      <w:r w:rsidRPr="00166ED5">
        <w:rPr>
          <w:lang w:val="ru-RU"/>
        </w:rPr>
        <w:t>зміну</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w:t>
      </w:r>
      <w:proofErr w:type="spellStart"/>
      <w:r w:rsidRPr="00166ED5">
        <w:rPr>
          <w:lang w:val="ru-RU"/>
        </w:rPr>
        <w:t>адже</w:t>
      </w:r>
      <w:proofErr w:type="spellEnd"/>
      <w:r w:rsidRPr="00166ED5">
        <w:rPr>
          <w:lang w:val="ru-RU"/>
        </w:rPr>
        <w:t xml:space="preserve"> за </w:t>
      </w:r>
      <w:proofErr w:type="spellStart"/>
      <w:r w:rsidRPr="00166ED5">
        <w:rPr>
          <w:lang w:val="ru-RU"/>
        </w:rPr>
        <w:t>уточнюючими</w:t>
      </w:r>
      <w:proofErr w:type="spellEnd"/>
      <w:r w:rsidRPr="00166ED5">
        <w:rPr>
          <w:lang w:val="ru-RU"/>
        </w:rPr>
        <w:t xml:space="preserve"> </w:t>
      </w:r>
      <w:proofErr w:type="spellStart"/>
      <w:proofErr w:type="gramStart"/>
      <w:r w:rsidRPr="00166ED5">
        <w:rPr>
          <w:lang w:val="ru-RU"/>
        </w:rPr>
        <w:t>приписами</w:t>
      </w:r>
      <w:proofErr w:type="spellEnd"/>
      <w:r w:rsidR="000F49DC">
        <w:rPr>
          <w:lang w:val="ru-RU"/>
        </w:rPr>
        <w:t xml:space="preserve"> </w:t>
      </w:r>
      <w:r w:rsidRPr="00166ED5">
        <w:rPr>
          <w:lang w:val="ru-RU"/>
        </w:rPr>
        <w:t>Правил</w:t>
      </w:r>
      <w:proofErr w:type="gramEnd"/>
      <w:r w:rsidRPr="00166ED5">
        <w:rPr>
          <w:lang w:val="ru-RU"/>
        </w:rPr>
        <w:t xml:space="preserve"> заборона на </w:t>
      </w:r>
      <w:proofErr w:type="spellStart"/>
      <w:r w:rsidRPr="00166ED5">
        <w:rPr>
          <w:lang w:val="ru-RU"/>
        </w:rPr>
        <w:t>укладання</w:t>
      </w:r>
      <w:proofErr w:type="spellEnd"/>
      <w:r w:rsidRPr="00166ED5">
        <w:rPr>
          <w:lang w:val="ru-RU"/>
        </w:rPr>
        <w:t xml:space="preserve"> договору </w:t>
      </w:r>
      <w:proofErr w:type="spellStart"/>
      <w:r w:rsidRPr="00166ED5">
        <w:rPr>
          <w:lang w:val="ru-RU"/>
        </w:rPr>
        <w:t>із</w:t>
      </w:r>
      <w:proofErr w:type="spellEnd"/>
      <w:r w:rsidRPr="00166ED5">
        <w:rPr>
          <w:lang w:val="ru-RU"/>
        </w:rPr>
        <w:t xml:space="preserve"> </w:t>
      </w:r>
      <w:proofErr w:type="spellStart"/>
      <w:r w:rsidRPr="00166ED5">
        <w:rPr>
          <w:lang w:val="ru-RU"/>
        </w:rPr>
        <w:t>новим</w:t>
      </w:r>
      <w:proofErr w:type="spellEnd"/>
      <w:r w:rsidRPr="00166ED5">
        <w:rPr>
          <w:lang w:val="ru-RU"/>
        </w:rPr>
        <w:t xml:space="preserve"> </w:t>
      </w:r>
      <w:proofErr w:type="spellStart"/>
      <w:r w:rsidRPr="00166ED5">
        <w:rPr>
          <w:lang w:val="ru-RU"/>
        </w:rPr>
        <w:t>постачальником</w:t>
      </w:r>
      <w:proofErr w:type="spellEnd"/>
      <w:r w:rsidRPr="00166ED5">
        <w:rPr>
          <w:lang w:val="ru-RU"/>
        </w:rPr>
        <w:t xml:space="preserve"> і </w:t>
      </w:r>
      <w:proofErr w:type="spellStart"/>
      <w:r w:rsidRPr="00166ED5">
        <w:rPr>
          <w:lang w:val="ru-RU"/>
        </w:rPr>
        <w:t>зміну</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w:t>
      </w:r>
      <w:proofErr w:type="spellStart"/>
      <w:r w:rsidRPr="00166ED5">
        <w:rPr>
          <w:lang w:val="ru-RU"/>
        </w:rPr>
        <w:t>діє</w:t>
      </w:r>
      <w:proofErr w:type="spellEnd"/>
      <w:r w:rsidRPr="00166ED5">
        <w:rPr>
          <w:lang w:val="ru-RU"/>
        </w:rPr>
        <w:t xml:space="preserve"> у </w:t>
      </w:r>
      <w:proofErr w:type="spellStart"/>
      <w:r w:rsidRPr="00166ED5">
        <w:rPr>
          <w:lang w:val="ru-RU"/>
        </w:rPr>
        <w:t>випадку</w:t>
      </w:r>
      <w:proofErr w:type="spellEnd"/>
      <w:r w:rsidRPr="00166ED5">
        <w:rPr>
          <w:lang w:val="ru-RU"/>
        </w:rPr>
        <w:t xml:space="preserve"> </w:t>
      </w:r>
      <w:proofErr w:type="spellStart"/>
      <w:r w:rsidRPr="00166ED5">
        <w:rPr>
          <w:lang w:val="ru-RU"/>
        </w:rPr>
        <w:t>наявності</w:t>
      </w:r>
      <w:proofErr w:type="spellEnd"/>
      <w:r w:rsidRPr="00166ED5">
        <w:rPr>
          <w:lang w:val="ru-RU"/>
        </w:rPr>
        <w:t xml:space="preserve"> </w:t>
      </w:r>
      <w:proofErr w:type="spellStart"/>
      <w:r w:rsidRPr="00166ED5">
        <w:rPr>
          <w:lang w:val="ru-RU"/>
        </w:rPr>
        <w:t>саме</w:t>
      </w:r>
      <w:proofErr w:type="spellEnd"/>
      <w:r w:rsidRPr="00166ED5">
        <w:rPr>
          <w:lang w:val="ru-RU"/>
        </w:rPr>
        <w:t xml:space="preserve"> </w:t>
      </w:r>
      <w:proofErr w:type="spellStart"/>
      <w:r w:rsidRPr="00166ED5">
        <w:rPr>
          <w:lang w:val="ru-RU"/>
        </w:rPr>
        <w:t>простроченої</w:t>
      </w:r>
      <w:proofErr w:type="spellEnd"/>
      <w:r w:rsidRPr="00166ED5">
        <w:rPr>
          <w:lang w:val="ru-RU"/>
        </w:rPr>
        <w:t xml:space="preserve"> </w:t>
      </w:r>
      <w:proofErr w:type="spellStart"/>
      <w:r w:rsidRPr="00166ED5">
        <w:rPr>
          <w:lang w:val="ru-RU"/>
        </w:rPr>
        <w:t>заборгованості</w:t>
      </w:r>
      <w:proofErr w:type="spellEnd"/>
      <w:r w:rsidRPr="00166ED5">
        <w:rPr>
          <w:lang w:val="ru-RU"/>
        </w:rPr>
        <w:t xml:space="preserve"> за </w:t>
      </w:r>
      <w:proofErr w:type="spellStart"/>
      <w:r w:rsidRPr="00166ED5">
        <w:rPr>
          <w:lang w:val="ru-RU"/>
        </w:rPr>
        <w:t>природний</w:t>
      </w:r>
      <w:proofErr w:type="spellEnd"/>
      <w:r w:rsidRPr="00166ED5">
        <w:rPr>
          <w:lang w:val="ru-RU"/>
        </w:rPr>
        <w:t xml:space="preserve"> газ. </w:t>
      </w:r>
      <w:proofErr w:type="spellStart"/>
      <w:r w:rsidRPr="00166ED5">
        <w:rPr>
          <w:lang w:val="ru-RU"/>
        </w:rPr>
        <w:t>Зазначене</w:t>
      </w:r>
      <w:proofErr w:type="spellEnd"/>
      <w:r w:rsidRPr="00166ED5">
        <w:rPr>
          <w:lang w:val="ru-RU"/>
        </w:rPr>
        <w:t xml:space="preserve"> </w:t>
      </w:r>
      <w:proofErr w:type="spellStart"/>
      <w:r w:rsidRPr="00166ED5">
        <w:rPr>
          <w:lang w:val="ru-RU"/>
        </w:rPr>
        <w:t>уточнення</w:t>
      </w:r>
      <w:proofErr w:type="spellEnd"/>
      <w:r w:rsidRPr="00166ED5">
        <w:rPr>
          <w:lang w:val="ru-RU"/>
        </w:rPr>
        <w:t xml:space="preserve"> </w:t>
      </w:r>
      <w:proofErr w:type="spellStart"/>
      <w:r w:rsidRPr="00166ED5">
        <w:rPr>
          <w:lang w:val="ru-RU"/>
        </w:rPr>
        <w:t>дозволяє</w:t>
      </w:r>
      <w:proofErr w:type="spellEnd"/>
      <w:r w:rsidRPr="00166ED5">
        <w:rPr>
          <w:lang w:val="ru-RU"/>
        </w:rPr>
        <w:t xml:space="preserve"> </w:t>
      </w:r>
      <w:proofErr w:type="spellStart"/>
      <w:r w:rsidRPr="00166ED5">
        <w:rPr>
          <w:lang w:val="ru-RU"/>
        </w:rPr>
        <w:t>постачальникам</w:t>
      </w:r>
      <w:proofErr w:type="spellEnd"/>
      <w:r w:rsidRPr="00166ED5">
        <w:rPr>
          <w:lang w:val="ru-RU"/>
        </w:rPr>
        <w:t xml:space="preserve"> і </w:t>
      </w:r>
      <w:proofErr w:type="spellStart"/>
      <w:r w:rsidRPr="00166ED5">
        <w:rPr>
          <w:lang w:val="ru-RU"/>
        </w:rPr>
        <w:t>споживачам</w:t>
      </w:r>
      <w:proofErr w:type="spellEnd"/>
      <w:r w:rsidRPr="00166ED5">
        <w:rPr>
          <w:lang w:val="ru-RU"/>
        </w:rPr>
        <w:t xml:space="preserve"> </w:t>
      </w:r>
      <w:proofErr w:type="spellStart"/>
      <w:r w:rsidRPr="00166ED5">
        <w:rPr>
          <w:lang w:val="ru-RU"/>
        </w:rPr>
        <w:t>погоджувати</w:t>
      </w:r>
      <w:proofErr w:type="spellEnd"/>
      <w:r w:rsidRPr="00166ED5">
        <w:rPr>
          <w:lang w:val="ru-RU"/>
        </w:rPr>
        <w:t xml:space="preserve"> </w:t>
      </w:r>
      <w:proofErr w:type="spellStart"/>
      <w:r w:rsidRPr="00166ED5">
        <w:rPr>
          <w:lang w:val="ru-RU"/>
        </w:rPr>
        <w:t>взаємовигідні</w:t>
      </w:r>
      <w:proofErr w:type="spellEnd"/>
      <w:r w:rsidRPr="00166ED5">
        <w:rPr>
          <w:lang w:val="ru-RU"/>
        </w:rPr>
        <w:t xml:space="preserve"> </w:t>
      </w:r>
      <w:proofErr w:type="spellStart"/>
      <w:r w:rsidRPr="00166ED5">
        <w:rPr>
          <w:lang w:val="ru-RU"/>
        </w:rPr>
        <w:t>умови</w:t>
      </w:r>
      <w:proofErr w:type="spellEnd"/>
      <w:r w:rsidRPr="00166ED5">
        <w:rPr>
          <w:lang w:val="ru-RU"/>
        </w:rPr>
        <w:t xml:space="preserve"> </w:t>
      </w:r>
      <w:proofErr w:type="spellStart"/>
      <w:r w:rsidRPr="00166ED5">
        <w:rPr>
          <w:lang w:val="ru-RU"/>
        </w:rPr>
        <w:t>розрахунків</w:t>
      </w:r>
      <w:proofErr w:type="spellEnd"/>
      <w:r w:rsidRPr="00166ED5">
        <w:rPr>
          <w:lang w:val="ru-RU"/>
        </w:rPr>
        <w:t xml:space="preserve"> за </w:t>
      </w:r>
      <w:proofErr w:type="spellStart"/>
      <w:r w:rsidRPr="00166ED5">
        <w:rPr>
          <w:lang w:val="ru-RU"/>
        </w:rPr>
        <w:t>природний</w:t>
      </w:r>
      <w:proofErr w:type="spellEnd"/>
      <w:r w:rsidRPr="00166ED5">
        <w:rPr>
          <w:lang w:val="ru-RU"/>
        </w:rPr>
        <w:t xml:space="preserve"> газ, </w:t>
      </w:r>
      <w:proofErr w:type="spellStart"/>
      <w:r w:rsidRPr="00166ED5">
        <w:rPr>
          <w:lang w:val="ru-RU"/>
        </w:rPr>
        <w:t>який</w:t>
      </w:r>
      <w:proofErr w:type="spellEnd"/>
      <w:r w:rsidRPr="00166ED5">
        <w:rPr>
          <w:lang w:val="ru-RU"/>
        </w:rPr>
        <w:t xml:space="preserve"> є </w:t>
      </w:r>
      <w:proofErr w:type="spellStart"/>
      <w:r w:rsidRPr="00166ED5">
        <w:rPr>
          <w:lang w:val="ru-RU"/>
        </w:rPr>
        <w:t>достатньо</w:t>
      </w:r>
      <w:proofErr w:type="spellEnd"/>
      <w:r w:rsidRPr="00166ED5">
        <w:rPr>
          <w:lang w:val="ru-RU"/>
        </w:rPr>
        <w:t xml:space="preserve"> дорогим продуктом, як приклад, </w:t>
      </w:r>
      <w:proofErr w:type="spellStart"/>
      <w:r w:rsidRPr="00166ED5">
        <w:rPr>
          <w:lang w:val="ru-RU"/>
        </w:rPr>
        <w:t>встановлювати</w:t>
      </w:r>
      <w:proofErr w:type="spellEnd"/>
      <w:r w:rsidRPr="00166ED5">
        <w:rPr>
          <w:lang w:val="ru-RU"/>
        </w:rPr>
        <w:t xml:space="preserve"> оплату подекадно у </w:t>
      </w:r>
      <w:proofErr w:type="spellStart"/>
      <w:r w:rsidRPr="00166ED5">
        <w:rPr>
          <w:lang w:val="ru-RU"/>
        </w:rPr>
        <w:t>періоді</w:t>
      </w:r>
      <w:proofErr w:type="spellEnd"/>
      <w:r w:rsidRPr="00166ED5">
        <w:rPr>
          <w:lang w:val="ru-RU"/>
        </w:rPr>
        <w:t xml:space="preserve"> </w:t>
      </w:r>
      <w:proofErr w:type="spellStart"/>
      <w:r w:rsidRPr="00166ED5">
        <w:rPr>
          <w:lang w:val="ru-RU"/>
        </w:rPr>
        <w:t>споживання</w:t>
      </w:r>
      <w:proofErr w:type="spellEnd"/>
      <w:r w:rsidRPr="00166ED5">
        <w:rPr>
          <w:lang w:val="ru-RU"/>
        </w:rPr>
        <w:t xml:space="preserve">, в т.ч. </w:t>
      </w:r>
      <w:proofErr w:type="spellStart"/>
      <w:r w:rsidRPr="00166ED5">
        <w:rPr>
          <w:lang w:val="ru-RU"/>
        </w:rPr>
        <w:t>із</w:t>
      </w:r>
      <w:proofErr w:type="spellEnd"/>
      <w:r w:rsidRPr="00166ED5">
        <w:rPr>
          <w:lang w:val="ru-RU"/>
        </w:rPr>
        <w:t xml:space="preserve"> </w:t>
      </w:r>
      <w:proofErr w:type="spellStart"/>
      <w:r w:rsidRPr="00166ED5">
        <w:rPr>
          <w:lang w:val="ru-RU"/>
        </w:rPr>
        <w:t>можливістю</w:t>
      </w:r>
      <w:proofErr w:type="spellEnd"/>
      <w:r w:rsidRPr="00166ED5">
        <w:rPr>
          <w:lang w:val="ru-RU"/>
        </w:rPr>
        <w:t xml:space="preserve"> </w:t>
      </w:r>
      <w:proofErr w:type="spellStart"/>
      <w:r w:rsidRPr="00166ED5">
        <w:rPr>
          <w:lang w:val="ru-RU"/>
        </w:rPr>
        <w:t>здійснювати</w:t>
      </w:r>
      <w:proofErr w:type="spellEnd"/>
      <w:r w:rsidRPr="00166ED5">
        <w:rPr>
          <w:lang w:val="ru-RU"/>
        </w:rPr>
        <w:t xml:space="preserve"> </w:t>
      </w:r>
      <w:proofErr w:type="spellStart"/>
      <w:r w:rsidRPr="00166ED5">
        <w:rPr>
          <w:lang w:val="ru-RU"/>
        </w:rPr>
        <w:t>остаточні</w:t>
      </w:r>
      <w:proofErr w:type="spellEnd"/>
      <w:r w:rsidRPr="00166ED5">
        <w:rPr>
          <w:lang w:val="ru-RU"/>
        </w:rPr>
        <w:t xml:space="preserve"> </w:t>
      </w:r>
      <w:proofErr w:type="spellStart"/>
      <w:r w:rsidRPr="00166ED5">
        <w:rPr>
          <w:lang w:val="ru-RU"/>
        </w:rPr>
        <w:t>розрахунки</w:t>
      </w:r>
      <w:proofErr w:type="spellEnd"/>
      <w:r w:rsidRPr="00166ED5">
        <w:rPr>
          <w:lang w:val="ru-RU"/>
        </w:rPr>
        <w:t xml:space="preserve"> за </w:t>
      </w:r>
      <w:proofErr w:type="spellStart"/>
      <w:r w:rsidRPr="00166ED5">
        <w:rPr>
          <w:lang w:val="ru-RU"/>
        </w:rPr>
        <w:t>фактично</w:t>
      </w:r>
      <w:proofErr w:type="spellEnd"/>
      <w:r w:rsidRPr="00166ED5">
        <w:rPr>
          <w:lang w:val="ru-RU"/>
        </w:rPr>
        <w:t xml:space="preserve"> </w:t>
      </w:r>
      <w:proofErr w:type="spellStart"/>
      <w:r w:rsidRPr="00166ED5">
        <w:rPr>
          <w:lang w:val="ru-RU"/>
        </w:rPr>
        <w:t>спожитий</w:t>
      </w:r>
      <w:proofErr w:type="spellEnd"/>
      <w:r w:rsidRPr="00166ED5">
        <w:rPr>
          <w:lang w:val="ru-RU"/>
        </w:rPr>
        <w:t xml:space="preserve"> </w:t>
      </w:r>
      <w:proofErr w:type="spellStart"/>
      <w:r w:rsidRPr="00166ED5">
        <w:rPr>
          <w:lang w:val="ru-RU"/>
        </w:rPr>
        <w:t>обсяг</w:t>
      </w:r>
      <w:proofErr w:type="spellEnd"/>
      <w:r w:rsidRPr="00166ED5">
        <w:rPr>
          <w:lang w:val="ru-RU"/>
        </w:rPr>
        <w:t xml:space="preserve"> газу у </w:t>
      </w:r>
      <w:proofErr w:type="spellStart"/>
      <w:r w:rsidRPr="00166ED5">
        <w:rPr>
          <w:lang w:val="ru-RU"/>
        </w:rPr>
        <w:t>місяці</w:t>
      </w:r>
      <w:proofErr w:type="spellEnd"/>
      <w:r w:rsidRPr="00166ED5">
        <w:rPr>
          <w:lang w:val="ru-RU"/>
        </w:rPr>
        <w:t xml:space="preserve">, </w:t>
      </w:r>
      <w:proofErr w:type="spellStart"/>
      <w:r w:rsidRPr="00166ED5">
        <w:rPr>
          <w:lang w:val="ru-RU"/>
        </w:rPr>
        <w:t>наступному</w:t>
      </w:r>
      <w:proofErr w:type="spellEnd"/>
      <w:r w:rsidRPr="00166ED5">
        <w:rPr>
          <w:lang w:val="ru-RU"/>
        </w:rPr>
        <w:t xml:space="preserve"> за </w:t>
      </w:r>
      <w:proofErr w:type="spellStart"/>
      <w:r w:rsidRPr="00166ED5">
        <w:rPr>
          <w:lang w:val="ru-RU"/>
        </w:rPr>
        <w:t>місяцем</w:t>
      </w:r>
      <w:proofErr w:type="spellEnd"/>
      <w:r w:rsidRPr="00166ED5">
        <w:rPr>
          <w:lang w:val="ru-RU"/>
        </w:rPr>
        <w:t xml:space="preserve"> </w:t>
      </w:r>
      <w:proofErr w:type="spellStart"/>
      <w:r w:rsidRPr="00166ED5">
        <w:rPr>
          <w:lang w:val="ru-RU"/>
        </w:rPr>
        <w:t>його</w:t>
      </w:r>
      <w:proofErr w:type="spellEnd"/>
      <w:r w:rsidRPr="00166ED5">
        <w:rPr>
          <w:lang w:val="ru-RU"/>
        </w:rPr>
        <w:t xml:space="preserve"> </w:t>
      </w:r>
      <w:proofErr w:type="spellStart"/>
      <w:r w:rsidRPr="00166ED5">
        <w:rPr>
          <w:lang w:val="ru-RU"/>
        </w:rPr>
        <w:t>споживання</w:t>
      </w:r>
      <w:proofErr w:type="spellEnd"/>
      <w:r w:rsidRPr="00166ED5">
        <w:rPr>
          <w:lang w:val="ru-RU"/>
        </w:rPr>
        <w:t xml:space="preserve">. </w:t>
      </w:r>
      <w:proofErr w:type="spellStart"/>
      <w:r w:rsidRPr="00166ED5">
        <w:rPr>
          <w:lang w:val="ru-RU"/>
        </w:rPr>
        <w:t>Зазначені</w:t>
      </w:r>
      <w:proofErr w:type="spellEnd"/>
      <w:r w:rsidRPr="00166ED5">
        <w:rPr>
          <w:lang w:val="ru-RU"/>
        </w:rPr>
        <w:t xml:space="preserve"> </w:t>
      </w:r>
      <w:proofErr w:type="spellStart"/>
      <w:r w:rsidRPr="00166ED5">
        <w:rPr>
          <w:lang w:val="ru-RU"/>
        </w:rPr>
        <w:t>умови</w:t>
      </w:r>
      <w:proofErr w:type="spellEnd"/>
      <w:r w:rsidRPr="00166ED5">
        <w:rPr>
          <w:lang w:val="ru-RU"/>
        </w:rPr>
        <w:t xml:space="preserve"> оплати </w:t>
      </w:r>
      <w:proofErr w:type="spellStart"/>
      <w:r w:rsidRPr="00166ED5">
        <w:rPr>
          <w:lang w:val="ru-RU"/>
        </w:rPr>
        <w:t>мають</w:t>
      </w:r>
      <w:proofErr w:type="spellEnd"/>
      <w:r w:rsidRPr="00166ED5">
        <w:rPr>
          <w:lang w:val="ru-RU"/>
        </w:rPr>
        <w:t xml:space="preserve"> </w:t>
      </w:r>
      <w:proofErr w:type="spellStart"/>
      <w:r w:rsidRPr="00166ED5">
        <w:rPr>
          <w:lang w:val="ru-RU"/>
        </w:rPr>
        <w:t>переваги</w:t>
      </w:r>
      <w:proofErr w:type="spellEnd"/>
      <w:r w:rsidRPr="00166ED5">
        <w:rPr>
          <w:lang w:val="ru-RU"/>
        </w:rPr>
        <w:t xml:space="preserve"> для </w:t>
      </w:r>
      <w:proofErr w:type="spellStart"/>
      <w:r w:rsidRPr="00166ED5">
        <w:rPr>
          <w:lang w:val="ru-RU"/>
        </w:rPr>
        <w:t>обох</w:t>
      </w:r>
      <w:proofErr w:type="spellEnd"/>
      <w:r w:rsidRPr="00166ED5">
        <w:rPr>
          <w:lang w:val="ru-RU"/>
        </w:rPr>
        <w:t xml:space="preserve"> </w:t>
      </w:r>
      <w:proofErr w:type="spellStart"/>
      <w:r w:rsidRPr="00166ED5">
        <w:rPr>
          <w:lang w:val="ru-RU"/>
        </w:rPr>
        <w:t>суб’єктів</w:t>
      </w:r>
      <w:proofErr w:type="spellEnd"/>
      <w:r w:rsidRPr="00166ED5">
        <w:rPr>
          <w:lang w:val="ru-RU"/>
        </w:rPr>
        <w:t xml:space="preserve"> - </w:t>
      </w:r>
      <w:proofErr w:type="spellStart"/>
      <w:r w:rsidRPr="00166ED5">
        <w:rPr>
          <w:lang w:val="ru-RU"/>
        </w:rPr>
        <w:t>дозволяють</w:t>
      </w:r>
      <w:proofErr w:type="spellEnd"/>
      <w:r w:rsidRPr="00166ED5">
        <w:rPr>
          <w:lang w:val="ru-RU"/>
        </w:rPr>
        <w:t xml:space="preserve"> </w:t>
      </w:r>
      <w:proofErr w:type="spellStart"/>
      <w:r w:rsidRPr="00166ED5">
        <w:rPr>
          <w:lang w:val="ru-RU"/>
        </w:rPr>
        <w:t>постачальникам</w:t>
      </w:r>
      <w:proofErr w:type="spellEnd"/>
      <w:r w:rsidRPr="00166ED5">
        <w:rPr>
          <w:lang w:val="ru-RU"/>
        </w:rPr>
        <w:t xml:space="preserve"> </w:t>
      </w:r>
      <w:proofErr w:type="spellStart"/>
      <w:r w:rsidRPr="00166ED5">
        <w:rPr>
          <w:lang w:val="ru-RU"/>
        </w:rPr>
        <w:t>своєчасно</w:t>
      </w:r>
      <w:proofErr w:type="spellEnd"/>
      <w:r w:rsidRPr="00166ED5">
        <w:rPr>
          <w:lang w:val="ru-RU"/>
        </w:rPr>
        <w:t xml:space="preserve"> </w:t>
      </w:r>
      <w:proofErr w:type="spellStart"/>
      <w:r w:rsidRPr="00166ED5">
        <w:rPr>
          <w:lang w:val="ru-RU"/>
        </w:rPr>
        <w:t>розраховуватись</w:t>
      </w:r>
      <w:proofErr w:type="spellEnd"/>
      <w:r w:rsidRPr="00166ED5">
        <w:rPr>
          <w:lang w:val="ru-RU"/>
        </w:rPr>
        <w:t xml:space="preserve"> за </w:t>
      </w:r>
      <w:proofErr w:type="spellStart"/>
      <w:r w:rsidRPr="00166ED5">
        <w:rPr>
          <w:lang w:val="ru-RU"/>
        </w:rPr>
        <w:t>закуплені</w:t>
      </w:r>
      <w:proofErr w:type="spellEnd"/>
      <w:r w:rsidRPr="00166ED5">
        <w:rPr>
          <w:lang w:val="ru-RU"/>
        </w:rPr>
        <w:t xml:space="preserve"> </w:t>
      </w:r>
      <w:proofErr w:type="spellStart"/>
      <w:r w:rsidRPr="00166ED5">
        <w:rPr>
          <w:lang w:val="ru-RU"/>
        </w:rPr>
        <w:t>обсяги</w:t>
      </w:r>
      <w:proofErr w:type="spellEnd"/>
      <w:r w:rsidRPr="00166ED5">
        <w:rPr>
          <w:lang w:val="ru-RU"/>
        </w:rPr>
        <w:t xml:space="preserve"> без </w:t>
      </w:r>
      <w:proofErr w:type="spellStart"/>
      <w:r w:rsidRPr="00166ED5">
        <w:rPr>
          <w:lang w:val="ru-RU"/>
        </w:rPr>
        <w:t>залучення</w:t>
      </w:r>
      <w:proofErr w:type="spellEnd"/>
      <w:r w:rsidRPr="00166ED5">
        <w:rPr>
          <w:lang w:val="ru-RU"/>
        </w:rPr>
        <w:t xml:space="preserve"> </w:t>
      </w:r>
      <w:proofErr w:type="spellStart"/>
      <w:r w:rsidRPr="00166ED5">
        <w:rPr>
          <w:lang w:val="ru-RU"/>
        </w:rPr>
        <w:t>додаткового</w:t>
      </w:r>
      <w:proofErr w:type="spellEnd"/>
      <w:r w:rsidRPr="00166ED5">
        <w:rPr>
          <w:lang w:val="ru-RU"/>
        </w:rPr>
        <w:t xml:space="preserve"> </w:t>
      </w:r>
      <w:proofErr w:type="spellStart"/>
      <w:r w:rsidRPr="00166ED5">
        <w:rPr>
          <w:lang w:val="ru-RU"/>
        </w:rPr>
        <w:t>фінансування</w:t>
      </w:r>
      <w:proofErr w:type="spellEnd"/>
      <w:r w:rsidRPr="00166ED5">
        <w:rPr>
          <w:lang w:val="ru-RU"/>
        </w:rPr>
        <w:t xml:space="preserve"> і, як </w:t>
      </w:r>
      <w:proofErr w:type="spellStart"/>
      <w:proofErr w:type="gramStart"/>
      <w:r w:rsidRPr="00166ED5">
        <w:rPr>
          <w:lang w:val="ru-RU"/>
        </w:rPr>
        <w:t>наслідок</w:t>
      </w:r>
      <w:proofErr w:type="spellEnd"/>
      <w:r w:rsidRPr="00166ED5">
        <w:rPr>
          <w:lang w:val="ru-RU"/>
        </w:rPr>
        <w:t xml:space="preserve">,  </w:t>
      </w:r>
      <w:proofErr w:type="spellStart"/>
      <w:r w:rsidRPr="00166ED5">
        <w:rPr>
          <w:lang w:val="ru-RU"/>
        </w:rPr>
        <w:t>пропонувати</w:t>
      </w:r>
      <w:proofErr w:type="spellEnd"/>
      <w:proofErr w:type="gramEnd"/>
      <w:r w:rsidRPr="00166ED5">
        <w:rPr>
          <w:lang w:val="ru-RU"/>
        </w:rPr>
        <w:t xml:space="preserve"> </w:t>
      </w:r>
      <w:proofErr w:type="spellStart"/>
      <w:r w:rsidRPr="00166ED5">
        <w:rPr>
          <w:lang w:val="ru-RU"/>
        </w:rPr>
        <w:t>споживачам</w:t>
      </w:r>
      <w:proofErr w:type="spellEnd"/>
      <w:r w:rsidRPr="00166ED5">
        <w:rPr>
          <w:lang w:val="ru-RU"/>
        </w:rPr>
        <w:t xml:space="preserve"> </w:t>
      </w:r>
      <w:proofErr w:type="spellStart"/>
      <w:r w:rsidRPr="00166ED5">
        <w:rPr>
          <w:lang w:val="ru-RU"/>
        </w:rPr>
        <w:t>кращі</w:t>
      </w:r>
      <w:proofErr w:type="spellEnd"/>
      <w:r w:rsidRPr="00166ED5">
        <w:rPr>
          <w:lang w:val="ru-RU"/>
        </w:rPr>
        <w:t xml:space="preserve"> </w:t>
      </w:r>
      <w:proofErr w:type="spellStart"/>
      <w:r w:rsidRPr="00166ED5">
        <w:rPr>
          <w:lang w:val="ru-RU"/>
        </w:rPr>
        <w:t>ціни</w:t>
      </w:r>
      <w:proofErr w:type="spellEnd"/>
      <w:r w:rsidRPr="00166ED5">
        <w:rPr>
          <w:lang w:val="ru-RU"/>
        </w:rPr>
        <w:t>.</w:t>
      </w:r>
    </w:p>
    <w:p w14:paraId="25639739" w14:textId="77777777" w:rsidR="00166ED5" w:rsidRPr="00166ED5" w:rsidRDefault="00166ED5" w:rsidP="00166ED5">
      <w:pPr>
        <w:pStyle w:val="NoSpacing"/>
        <w:ind w:left="720" w:firstLine="556"/>
        <w:jc w:val="both"/>
        <w:rPr>
          <w:lang w:val="ru-RU"/>
        </w:rPr>
      </w:pPr>
      <w:proofErr w:type="spellStart"/>
      <w:r w:rsidRPr="00166ED5">
        <w:rPr>
          <w:lang w:val="ru-RU"/>
        </w:rPr>
        <w:t>Крім</w:t>
      </w:r>
      <w:proofErr w:type="spellEnd"/>
      <w:r w:rsidRPr="00166ED5">
        <w:rPr>
          <w:lang w:val="ru-RU"/>
        </w:rPr>
        <w:t xml:space="preserve"> того, </w:t>
      </w:r>
      <w:proofErr w:type="spellStart"/>
      <w:r w:rsidRPr="00166ED5">
        <w:rPr>
          <w:lang w:val="ru-RU"/>
        </w:rPr>
        <w:t>такий</w:t>
      </w:r>
      <w:proofErr w:type="spellEnd"/>
      <w:r w:rsidRPr="00166ED5">
        <w:rPr>
          <w:lang w:val="ru-RU"/>
        </w:rPr>
        <w:t xml:space="preserve"> </w:t>
      </w:r>
      <w:proofErr w:type="spellStart"/>
      <w:r w:rsidRPr="00166ED5">
        <w:rPr>
          <w:lang w:val="ru-RU"/>
        </w:rPr>
        <w:t>підхід</w:t>
      </w:r>
      <w:proofErr w:type="spellEnd"/>
      <w:r w:rsidRPr="00166ED5">
        <w:rPr>
          <w:lang w:val="ru-RU"/>
        </w:rPr>
        <w:t xml:space="preserve"> </w:t>
      </w:r>
      <w:proofErr w:type="spellStart"/>
      <w:r w:rsidRPr="00166ED5">
        <w:rPr>
          <w:lang w:val="ru-RU"/>
        </w:rPr>
        <w:t>повністю</w:t>
      </w:r>
      <w:proofErr w:type="spellEnd"/>
      <w:r w:rsidRPr="00166ED5">
        <w:rPr>
          <w:lang w:val="ru-RU"/>
        </w:rPr>
        <w:t xml:space="preserve"> </w:t>
      </w:r>
      <w:proofErr w:type="spellStart"/>
      <w:r w:rsidRPr="00166ED5">
        <w:rPr>
          <w:lang w:val="ru-RU"/>
        </w:rPr>
        <w:t>відповідає</w:t>
      </w:r>
      <w:proofErr w:type="spellEnd"/>
      <w:r w:rsidRPr="00166ED5">
        <w:rPr>
          <w:lang w:val="ru-RU"/>
        </w:rPr>
        <w:t xml:space="preserve"> нормам </w:t>
      </w:r>
      <w:proofErr w:type="spellStart"/>
      <w:r w:rsidRPr="00166ED5">
        <w:rPr>
          <w:lang w:val="ru-RU"/>
        </w:rPr>
        <w:t>Директиви</w:t>
      </w:r>
      <w:proofErr w:type="spellEnd"/>
      <w:r w:rsidRPr="00166ED5">
        <w:rPr>
          <w:lang w:val="ru-RU"/>
        </w:rPr>
        <w:t xml:space="preserve"> </w:t>
      </w:r>
      <w:proofErr w:type="spellStart"/>
      <w:r w:rsidRPr="00166ED5">
        <w:rPr>
          <w:lang w:val="ru-RU"/>
        </w:rPr>
        <w:t>Європейського</w:t>
      </w:r>
      <w:proofErr w:type="spellEnd"/>
      <w:r w:rsidRPr="00166ED5">
        <w:rPr>
          <w:lang w:val="ru-RU"/>
        </w:rPr>
        <w:t xml:space="preserve"> парламенту та Ради  2009/73/ЄС </w:t>
      </w:r>
      <w:proofErr w:type="spellStart"/>
      <w:r w:rsidRPr="00166ED5">
        <w:rPr>
          <w:lang w:val="ru-RU"/>
        </w:rPr>
        <w:t>від</w:t>
      </w:r>
      <w:proofErr w:type="spellEnd"/>
      <w:r w:rsidRPr="00166ED5">
        <w:rPr>
          <w:lang w:val="ru-RU"/>
        </w:rPr>
        <w:t xml:space="preserve"> 13.07.2009р. про </w:t>
      </w:r>
      <w:proofErr w:type="spellStart"/>
      <w:r w:rsidRPr="00166ED5">
        <w:rPr>
          <w:lang w:val="ru-RU"/>
        </w:rPr>
        <w:t>спільні</w:t>
      </w:r>
      <w:proofErr w:type="spellEnd"/>
      <w:r w:rsidRPr="00166ED5">
        <w:rPr>
          <w:lang w:val="ru-RU"/>
        </w:rPr>
        <w:t xml:space="preserve"> правила </w:t>
      </w:r>
      <w:proofErr w:type="spellStart"/>
      <w:r w:rsidRPr="00166ED5">
        <w:rPr>
          <w:lang w:val="ru-RU"/>
        </w:rPr>
        <w:t>внутрішнього</w:t>
      </w:r>
      <w:proofErr w:type="spellEnd"/>
      <w:r w:rsidRPr="00166ED5">
        <w:rPr>
          <w:lang w:val="ru-RU"/>
        </w:rPr>
        <w:t xml:space="preserve"> ринку природного газу та про </w:t>
      </w:r>
      <w:proofErr w:type="spellStart"/>
      <w:r w:rsidRPr="00166ED5">
        <w:rPr>
          <w:lang w:val="ru-RU"/>
        </w:rPr>
        <w:t>скасування</w:t>
      </w:r>
      <w:proofErr w:type="spellEnd"/>
      <w:r w:rsidRPr="00166ED5">
        <w:rPr>
          <w:lang w:val="ru-RU"/>
        </w:rPr>
        <w:t xml:space="preserve"> </w:t>
      </w:r>
      <w:proofErr w:type="spellStart"/>
      <w:r w:rsidRPr="00166ED5">
        <w:rPr>
          <w:lang w:val="ru-RU"/>
        </w:rPr>
        <w:t>Директиви</w:t>
      </w:r>
      <w:proofErr w:type="spellEnd"/>
      <w:r w:rsidRPr="00166ED5">
        <w:rPr>
          <w:lang w:val="ru-RU"/>
        </w:rPr>
        <w:t xml:space="preserve"> 2003/55/ЄС (</w:t>
      </w:r>
      <w:proofErr w:type="spellStart"/>
      <w:r w:rsidRPr="00166ED5">
        <w:rPr>
          <w:lang w:val="ru-RU"/>
        </w:rPr>
        <w:t>далі</w:t>
      </w:r>
      <w:proofErr w:type="spellEnd"/>
      <w:r w:rsidRPr="00166ED5">
        <w:rPr>
          <w:lang w:val="ru-RU"/>
        </w:rPr>
        <w:t xml:space="preserve"> Директива 2009/73/ЄС), </w:t>
      </w:r>
      <w:proofErr w:type="spellStart"/>
      <w:r w:rsidRPr="00166ED5">
        <w:rPr>
          <w:lang w:val="ru-RU"/>
        </w:rPr>
        <w:t>відповідно</w:t>
      </w:r>
      <w:proofErr w:type="spellEnd"/>
      <w:r w:rsidRPr="00166ED5">
        <w:rPr>
          <w:lang w:val="ru-RU"/>
        </w:rPr>
        <w:t xml:space="preserve"> до </w:t>
      </w:r>
      <w:proofErr w:type="spellStart"/>
      <w:r w:rsidRPr="00166ED5">
        <w:rPr>
          <w:lang w:val="ru-RU"/>
        </w:rPr>
        <w:t>яких</w:t>
      </w:r>
      <w:proofErr w:type="spellEnd"/>
      <w:r w:rsidRPr="00166ED5">
        <w:rPr>
          <w:lang w:val="ru-RU"/>
        </w:rPr>
        <w:t xml:space="preserve"> заходи, </w:t>
      </w:r>
      <w:proofErr w:type="spellStart"/>
      <w:r w:rsidRPr="00166ED5">
        <w:rPr>
          <w:lang w:val="ru-RU"/>
        </w:rPr>
        <w:t>що</w:t>
      </w:r>
      <w:proofErr w:type="spellEnd"/>
      <w:r w:rsidRPr="00166ED5">
        <w:rPr>
          <w:lang w:val="ru-RU"/>
        </w:rPr>
        <w:t xml:space="preserve"> </w:t>
      </w:r>
      <w:proofErr w:type="spellStart"/>
      <w:r w:rsidRPr="00166ED5">
        <w:rPr>
          <w:lang w:val="ru-RU"/>
        </w:rPr>
        <w:t>вживаються</w:t>
      </w:r>
      <w:proofErr w:type="spellEnd"/>
      <w:r w:rsidRPr="00166ED5">
        <w:rPr>
          <w:lang w:val="ru-RU"/>
        </w:rPr>
        <w:t xml:space="preserve"> для </w:t>
      </w:r>
      <w:proofErr w:type="spellStart"/>
      <w:r w:rsidRPr="00166ED5">
        <w:rPr>
          <w:lang w:val="ru-RU"/>
        </w:rPr>
        <w:t>захисту</w:t>
      </w:r>
      <w:proofErr w:type="spellEnd"/>
      <w:r w:rsidRPr="00166ED5">
        <w:rPr>
          <w:lang w:val="ru-RU"/>
        </w:rPr>
        <w:t xml:space="preserve"> прав </w:t>
      </w:r>
      <w:proofErr w:type="spellStart"/>
      <w:r w:rsidRPr="00166ED5">
        <w:rPr>
          <w:lang w:val="ru-RU"/>
        </w:rPr>
        <w:t>споживачів</w:t>
      </w:r>
      <w:proofErr w:type="spellEnd"/>
      <w:r w:rsidRPr="00166ED5">
        <w:rPr>
          <w:lang w:val="ru-RU"/>
        </w:rPr>
        <w:t xml:space="preserve">, </w:t>
      </w:r>
      <w:proofErr w:type="spellStart"/>
      <w:r w:rsidRPr="00166ED5">
        <w:rPr>
          <w:lang w:val="ru-RU"/>
        </w:rPr>
        <w:t>мають</w:t>
      </w:r>
      <w:proofErr w:type="spellEnd"/>
      <w:r w:rsidRPr="00166ED5">
        <w:rPr>
          <w:lang w:val="ru-RU"/>
        </w:rPr>
        <w:t xml:space="preserve"> </w:t>
      </w:r>
      <w:proofErr w:type="spellStart"/>
      <w:r w:rsidRPr="00166ED5">
        <w:rPr>
          <w:lang w:val="ru-RU"/>
        </w:rPr>
        <w:t>гарантувати</w:t>
      </w:r>
      <w:proofErr w:type="spellEnd"/>
      <w:r w:rsidRPr="00166ED5">
        <w:rPr>
          <w:lang w:val="ru-RU"/>
        </w:rPr>
        <w:t xml:space="preserve">, </w:t>
      </w:r>
      <w:proofErr w:type="spellStart"/>
      <w:r w:rsidRPr="00166ED5">
        <w:rPr>
          <w:lang w:val="ru-RU"/>
        </w:rPr>
        <w:t>що</w:t>
      </w:r>
      <w:proofErr w:type="spellEnd"/>
      <w:r w:rsidRPr="00166ED5">
        <w:rPr>
          <w:lang w:val="ru-RU"/>
        </w:rPr>
        <w:t xml:space="preserve"> </w:t>
      </w:r>
      <w:proofErr w:type="spellStart"/>
      <w:r w:rsidRPr="00166ED5">
        <w:rPr>
          <w:lang w:val="ru-RU"/>
        </w:rPr>
        <w:t>споживачі</w:t>
      </w:r>
      <w:proofErr w:type="spellEnd"/>
      <w:r w:rsidRPr="00166ED5">
        <w:rPr>
          <w:lang w:val="ru-RU"/>
        </w:rPr>
        <w:t xml:space="preserve"> </w:t>
      </w:r>
      <w:proofErr w:type="spellStart"/>
      <w:r w:rsidRPr="00166ED5">
        <w:rPr>
          <w:lang w:val="ru-RU"/>
        </w:rPr>
        <w:t>отримують</w:t>
      </w:r>
      <w:proofErr w:type="spellEnd"/>
      <w:r w:rsidRPr="00166ED5">
        <w:rPr>
          <w:lang w:val="ru-RU"/>
        </w:rPr>
        <w:t xml:space="preserve"> </w:t>
      </w:r>
      <w:proofErr w:type="spellStart"/>
      <w:r w:rsidRPr="00166ED5">
        <w:rPr>
          <w:lang w:val="ru-RU"/>
        </w:rPr>
        <w:t>остаточний</w:t>
      </w:r>
      <w:proofErr w:type="spellEnd"/>
      <w:r w:rsidRPr="00166ED5">
        <w:rPr>
          <w:lang w:val="ru-RU"/>
        </w:rPr>
        <w:t xml:space="preserve"> </w:t>
      </w:r>
      <w:proofErr w:type="spellStart"/>
      <w:r w:rsidRPr="00166ED5">
        <w:rPr>
          <w:lang w:val="ru-RU"/>
        </w:rPr>
        <w:t>рахунок</w:t>
      </w:r>
      <w:proofErr w:type="spellEnd"/>
      <w:r w:rsidRPr="00166ED5">
        <w:rPr>
          <w:lang w:val="ru-RU"/>
        </w:rPr>
        <w:t xml:space="preserve"> </w:t>
      </w:r>
      <w:proofErr w:type="spellStart"/>
      <w:r w:rsidRPr="00166ED5">
        <w:rPr>
          <w:lang w:val="ru-RU"/>
        </w:rPr>
        <w:t>після</w:t>
      </w:r>
      <w:proofErr w:type="spellEnd"/>
      <w:r w:rsidRPr="00166ED5">
        <w:rPr>
          <w:lang w:val="ru-RU"/>
        </w:rPr>
        <w:t xml:space="preserve"> будь-</w:t>
      </w:r>
      <w:proofErr w:type="spellStart"/>
      <w:r w:rsidRPr="00166ED5">
        <w:rPr>
          <w:lang w:val="ru-RU"/>
        </w:rPr>
        <w:t>якої</w:t>
      </w:r>
      <w:proofErr w:type="spellEnd"/>
      <w:r w:rsidRPr="00166ED5">
        <w:rPr>
          <w:lang w:val="ru-RU"/>
        </w:rPr>
        <w:t xml:space="preserve"> </w:t>
      </w:r>
      <w:proofErr w:type="spellStart"/>
      <w:r w:rsidRPr="00166ED5">
        <w:rPr>
          <w:lang w:val="ru-RU"/>
        </w:rPr>
        <w:t>зміни</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природного газу </w:t>
      </w:r>
      <w:proofErr w:type="spellStart"/>
      <w:r w:rsidRPr="00166ED5">
        <w:rPr>
          <w:lang w:val="ru-RU"/>
        </w:rPr>
        <w:t>протягом</w:t>
      </w:r>
      <w:proofErr w:type="spellEnd"/>
      <w:r w:rsidRPr="00166ED5">
        <w:rPr>
          <w:lang w:val="ru-RU"/>
        </w:rPr>
        <w:t xml:space="preserve"> строку, не </w:t>
      </w:r>
      <w:proofErr w:type="spellStart"/>
      <w:r w:rsidRPr="00166ED5">
        <w:rPr>
          <w:lang w:val="ru-RU"/>
        </w:rPr>
        <w:t>більшого</w:t>
      </w:r>
      <w:proofErr w:type="spellEnd"/>
      <w:r w:rsidRPr="00166ED5">
        <w:rPr>
          <w:lang w:val="ru-RU"/>
        </w:rPr>
        <w:t xml:space="preserve"> шести </w:t>
      </w:r>
      <w:proofErr w:type="spellStart"/>
      <w:r w:rsidRPr="00166ED5">
        <w:rPr>
          <w:lang w:val="ru-RU"/>
        </w:rPr>
        <w:t>тижнів</w:t>
      </w:r>
      <w:proofErr w:type="spellEnd"/>
      <w:r w:rsidRPr="00166ED5">
        <w:rPr>
          <w:lang w:val="ru-RU"/>
        </w:rPr>
        <w:t xml:space="preserve"> </w:t>
      </w:r>
      <w:proofErr w:type="spellStart"/>
      <w:r w:rsidRPr="00166ED5">
        <w:rPr>
          <w:lang w:val="ru-RU"/>
        </w:rPr>
        <w:t>від</w:t>
      </w:r>
      <w:proofErr w:type="spellEnd"/>
      <w:r w:rsidRPr="00166ED5">
        <w:rPr>
          <w:lang w:val="ru-RU"/>
        </w:rPr>
        <w:t xml:space="preserve"> </w:t>
      </w:r>
      <w:proofErr w:type="spellStart"/>
      <w:r w:rsidRPr="00166ED5">
        <w:rPr>
          <w:lang w:val="ru-RU"/>
        </w:rPr>
        <w:t>дати</w:t>
      </w:r>
      <w:proofErr w:type="spellEnd"/>
      <w:r w:rsidRPr="00166ED5">
        <w:rPr>
          <w:lang w:val="ru-RU"/>
        </w:rPr>
        <w:t xml:space="preserve"> </w:t>
      </w:r>
      <w:proofErr w:type="spellStart"/>
      <w:r w:rsidRPr="00166ED5">
        <w:rPr>
          <w:lang w:val="ru-RU"/>
        </w:rPr>
        <w:t>зміни</w:t>
      </w:r>
      <w:proofErr w:type="spellEnd"/>
      <w:r w:rsidRPr="00166ED5">
        <w:rPr>
          <w:lang w:val="ru-RU"/>
        </w:rPr>
        <w:t xml:space="preserve"> </w:t>
      </w:r>
      <w:proofErr w:type="spellStart"/>
      <w:r w:rsidRPr="00166ED5">
        <w:rPr>
          <w:lang w:val="ru-RU"/>
        </w:rPr>
        <w:t>постачальника</w:t>
      </w:r>
      <w:proofErr w:type="spellEnd"/>
      <w:r w:rsidRPr="00166ED5">
        <w:rPr>
          <w:lang w:val="ru-RU"/>
        </w:rPr>
        <w:t xml:space="preserve"> (</w:t>
      </w:r>
      <w:proofErr w:type="spellStart"/>
      <w:r w:rsidRPr="00166ED5">
        <w:rPr>
          <w:lang w:val="ru-RU"/>
        </w:rPr>
        <w:t>пп</w:t>
      </w:r>
      <w:proofErr w:type="spellEnd"/>
      <w:r w:rsidRPr="00166ED5">
        <w:rPr>
          <w:lang w:val="ru-RU"/>
        </w:rPr>
        <w:t xml:space="preserve">.(j) п.1. </w:t>
      </w:r>
      <w:proofErr w:type="spellStart"/>
      <w:r w:rsidRPr="00166ED5">
        <w:rPr>
          <w:lang w:val="ru-RU"/>
        </w:rPr>
        <w:t>Додатку</w:t>
      </w:r>
      <w:proofErr w:type="spellEnd"/>
      <w:r w:rsidRPr="00166ED5">
        <w:rPr>
          <w:lang w:val="ru-RU"/>
        </w:rPr>
        <w:t xml:space="preserve"> А).</w:t>
      </w:r>
    </w:p>
    <w:p w14:paraId="78AD3E0B" w14:textId="77777777" w:rsidR="004F083B" w:rsidRDefault="004F083B" w:rsidP="004F083B">
      <w:pPr>
        <w:pStyle w:val="NoSpacing"/>
        <w:ind w:left="720" w:firstLine="556"/>
        <w:jc w:val="both"/>
      </w:pPr>
      <w:r>
        <w:t>Положення Правил, які визначають можливість призупинення договору з  діючим постачальником в частині постачання природного газу, жодним чином не припиняють зобов’язань споживачів зі здійснення остаточного розрахунку із попереднім постачальником.</w:t>
      </w:r>
    </w:p>
    <w:p w14:paraId="2932321F" w14:textId="77777777" w:rsidR="004F083B" w:rsidRDefault="004F083B" w:rsidP="004F083B">
      <w:pPr>
        <w:pStyle w:val="NoSpacing"/>
        <w:ind w:left="720" w:firstLine="556"/>
        <w:jc w:val="both"/>
      </w:pPr>
      <w:r>
        <w:lastRenderedPageBreak/>
        <w:t xml:space="preserve">На думку експертів компаній-членів Палати, чинні норми у їх поточній редакції забезпечують чіткі та справедливі умови для здійснення розрахунків суб’єктами господарювання на ринку природного газу. Закріплення можливості зміни постачальника за умови наявності у споживачів простроченої заборгованості може привести до значних фінансових збитків постачальників. Норма про неможливість змінити постачальника до погашення заборгованості у її чинній редакції стимулювала споживачів проводити розрахунки за спожитий природний газ. </w:t>
      </w:r>
    </w:p>
    <w:p w14:paraId="05B98823" w14:textId="77777777" w:rsidR="004F083B" w:rsidRPr="004E05F6" w:rsidRDefault="004F083B" w:rsidP="004F083B">
      <w:pPr>
        <w:pStyle w:val="NoSpacing"/>
        <w:ind w:left="720" w:firstLine="556"/>
        <w:jc w:val="both"/>
      </w:pPr>
      <w:r>
        <w:t xml:space="preserve">Крім того, внесення запропонованих змін до Закону може сприяти вжиттю таких заходів постачальниками з покриття власних ризиків можливої </w:t>
      </w:r>
      <w:proofErr w:type="spellStart"/>
      <w:r>
        <w:t>неоплати</w:t>
      </w:r>
      <w:proofErr w:type="spellEnd"/>
      <w:r>
        <w:t xml:space="preserve"> за спожитий газ, як  переведення всіх споживачів на умови передоплати за природний газ, а також створенню боргів, відсутності </w:t>
      </w:r>
      <w:r w:rsidRPr="004E05F6">
        <w:t xml:space="preserve">відповідальності споживачів та несанкціонованого споживання. </w:t>
      </w:r>
    </w:p>
    <w:p w14:paraId="39A85505" w14:textId="20A6548E" w:rsidR="000F49DC" w:rsidRPr="000E2E7C" w:rsidRDefault="000F49DC" w:rsidP="004F083B">
      <w:pPr>
        <w:pStyle w:val="NoSpacing"/>
        <w:ind w:left="720" w:firstLine="556"/>
        <w:jc w:val="both"/>
      </w:pPr>
      <w:r w:rsidRPr="004E05F6">
        <w:t xml:space="preserve">Експерти компаній-членів Палати не підтримують запропоновані зміни до п.2 ст.14 Закону, а саме </w:t>
      </w:r>
      <w:r w:rsidR="00167EB5" w:rsidRPr="004E05F6">
        <w:t xml:space="preserve">надання споживачам права на зміну постачальника незалежно від стану розрахунків за газ із діючим постачальником (наявної у такого споживача простроченої заборгованості за природний газ перед діючим постачальником). </w:t>
      </w:r>
    </w:p>
    <w:p w14:paraId="09D28466" w14:textId="77777777" w:rsidR="004F083B" w:rsidRDefault="004F083B" w:rsidP="004F083B">
      <w:pPr>
        <w:pStyle w:val="NoSpacing"/>
        <w:numPr>
          <w:ilvl w:val="0"/>
          <w:numId w:val="3"/>
        </w:numPr>
        <w:tabs>
          <w:tab w:val="left" w:pos="1620"/>
        </w:tabs>
        <w:ind w:left="1260" w:firstLine="0"/>
        <w:jc w:val="both"/>
      </w:pPr>
      <w:r w:rsidRPr="004F083B">
        <w:t xml:space="preserve">щодо внесення наступних змін до п.2 ст.14 Закону («Особливості реалізації права на зміну постачальника»): доповнення абзацом </w:t>
      </w:r>
      <w:r>
        <w:t>8 «</w:t>
      </w:r>
      <w:r w:rsidRPr="004F083B">
        <w:rPr>
          <w:i/>
        </w:rPr>
        <w:t xml:space="preserve">Припинення (обмеження) постачання природного газу споживачу – боржнику попереднього постачальника може здійснюватися </w:t>
      </w:r>
      <w:bookmarkStart w:id="1" w:name="_Hlk513798278"/>
      <w:r w:rsidRPr="004F083B">
        <w:rPr>
          <w:i/>
        </w:rPr>
        <w:t>лише за рішенням суду</w:t>
      </w:r>
      <w:bookmarkEnd w:id="1"/>
      <w:r>
        <w:t>».</w:t>
      </w:r>
    </w:p>
    <w:p w14:paraId="6C2DFFE3" w14:textId="77777777" w:rsidR="00FB4A11" w:rsidRDefault="004F083B" w:rsidP="00FB4A11">
      <w:pPr>
        <w:pStyle w:val="NoSpacing"/>
        <w:ind w:left="720" w:firstLine="556"/>
        <w:jc w:val="both"/>
      </w:pPr>
      <w:r>
        <w:t xml:space="preserve">Як було зазначено в попередньому коментарі, </w:t>
      </w:r>
      <w:r w:rsidRPr="004F083B">
        <w:t xml:space="preserve">праву споживача змінити постачальника може перешкодити лише наявність у нього </w:t>
      </w:r>
      <w:r w:rsidRPr="004F083B">
        <w:rPr>
          <w:u w:val="single"/>
        </w:rPr>
        <w:t>простроченої</w:t>
      </w:r>
      <w:r w:rsidRPr="004F083B">
        <w:t xml:space="preserve"> заборгованості.</w:t>
      </w:r>
      <w:r>
        <w:t xml:space="preserve"> Н</w:t>
      </w:r>
      <w:r w:rsidRPr="004F083B">
        <w:t>аявність обов’язку із розрахунку за поставлений газ (його частину) не впливає на реалізацію права на зміну постачальника</w:t>
      </w:r>
      <w:r>
        <w:t>.</w:t>
      </w:r>
    </w:p>
    <w:p w14:paraId="3BBEA891" w14:textId="77777777" w:rsidR="00FB4A11" w:rsidRPr="00877D05" w:rsidRDefault="004B51A8" w:rsidP="004B51A8">
      <w:pPr>
        <w:ind w:left="720" w:firstLine="540"/>
        <w:jc w:val="both"/>
        <w:rPr>
          <w:lang w:eastAsia="ru-RU"/>
        </w:rPr>
      </w:pPr>
      <w:r w:rsidRPr="004B51A8">
        <w:rPr>
          <w:lang w:eastAsia="ru-RU"/>
        </w:rPr>
        <w:t>Також,</w:t>
      </w:r>
      <w:r w:rsidR="00FB4A11" w:rsidRPr="00877D05">
        <w:rPr>
          <w:lang w:eastAsia="ru-RU"/>
        </w:rPr>
        <w:t xml:space="preserve"> питання із відключенням </w:t>
      </w:r>
      <w:r w:rsidR="00FB4A11" w:rsidRPr="00877D05">
        <w:t xml:space="preserve">споживача–боржника, врегулювано чинною редакцією Правил. Так, </w:t>
      </w:r>
      <w:r w:rsidR="00FB4A11" w:rsidRPr="00877D05">
        <w:rPr>
          <w:lang w:eastAsia="ru-RU"/>
        </w:rPr>
        <w:t>відповідно до п.</w:t>
      </w:r>
      <w:r w:rsidR="00FB4A11">
        <w:rPr>
          <w:lang w:eastAsia="ru-RU"/>
        </w:rPr>
        <w:t xml:space="preserve"> </w:t>
      </w:r>
      <w:r w:rsidR="00FB4A11" w:rsidRPr="00877D05">
        <w:rPr>
          <w:lang w:eastAsia="ru-RU"/>
        </w:rPr>
        <w:t>5 ч</w:t>
      </w:r>
      <w:r w:rsidR="00FB4A11">
        <w:rPr>
          <w:lang w:eastAsia="ru-RU"/>
        </w:rPr>
        <w:t xml:space="preserve"> </w:t>
      </w:r>
      <w:r w:rsidR="00FB4A11" w:rsidRPr="00877D05">
        <w:rPr>
          <w:lang w:eastAsia="ru-RU"/>
        </w:rPr>
        <w:t>.2.</w:t>
      </w:r>
      <w:r w:rsidR="00FB4A11">
        <w:rPr>
          <w:lang w:eastAsia="ru-RU"/>
        </w:rPr>
        <w:t xml:space="preserve"> </w:t>
      </w:r>
      <w:r w:rsidR="004F083B">
        <w:rPr>
          <w:lang w:eastAsia="ru-RU"/>
        </w:rPr>
        <w:t>Р</w:t>
      </w:r>
      <w:r w:rsidR="00FB4A11" w:rsidRPr="00877D05">
        <w:rPr>
          <w:lang w:eastAsia="ru-RU"/>
        </w:rPr>
        <w:t>озділу IV Правил,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14:paraId="1C559B52" w14:textId="77777777" w:rsidR="00FB4A11" w:rsidRPr="008E184E" w:rsidRDefault="00FB4A11" w:rsidP="004B51A8">
      <w:pPr>
        <w:ind w:left="720" w:firstLine="540"/>
        <w:jc w:val="both"/>
        <w:rPr>
          <w:lang w:eastAsia="ru-RU"/>
        </w:rPr>
      </w:pPr>
      <w:r w:rsidRPr="008E184E">
        <w:rPr>
          <w:lang w:eastAsia="ru-RU"/>
        </w:rPr>
        <w:t>В пояснювальній записці</w:t>
      </w:r>
      <w:r w:rsidR="004F083B">
        <w:rPr>
          <w:lang w:eastAsia="ru-RU"/>
        </w:rPr>
        <w:t xml:space="preserve"> до проекту Закону №8312 від 20.04.2018р. </w:t>
      </w:r>
      <w:r w:rsidRPr="008E184E">
        <w:rPr>
          <w:lang w:eastAsia="ru-RU"/>
        </w:rPr>
        <w:t>зміни щодо припинення (обмеження) постачання споживачам-боржникам лише за рішенням суду аргументовані тим, що «</w:t>
      </w:r>
      <w:r w:rsidRPr="008E184E">
        <w:rPr>
          <w:i/>
          <w:lang w:eastAsia="ru-RU"/>
        </w:rPr>
        <w:t>діючі документи виходять з презумпції абсолютної добросовісності постачальника природного газу в частині визначення заборгованості споживача за природний газ, а тому не вимагають будь-якого судового підтвердження наявності такої заборгованості в момент зміни постачальника чи звернення попереднього постачальника до газорозподільного підприємства щодо  вжиття заходів з припинення постачання газу</w:t>
      </w:r>
      <w:r w:rsidRPr="008E184E">
        <w:rPr>
          <w:lang w:eastAsia="ru-RU"/>
        </w:rPr>
        <w:t>»</w:t>
      </w:r>
      <w:r>
        <w:rPr>
          <w:lang w:eastAsia="ru-RU"/>
        </w:rPr>
        <w:t>.</w:t>
      </w:r>
      <w:r w:rsidR="004F083B">
        <w:rPr>
          <w:lang w:eastAsia="ru-RU"/>
        </w:rPr>
        <w:t xml:space="preserve"> </w:t>
      </w:r>
    </w:p>
    <w:p w14:paraId="1B3447B2" w14:textId="77777777" w:rsidR="007B09E8" w:rsidRDefault="007B09E8" w:rsidP="004B51A8">
      <w:pPr>
        <w:ind w:left="720" w:firstLine="540"/>
        <w:jc w:val="both"/>
        <w:rPr>
          <w:color w:val="000000"/>
          <w:shd w:val="clear" w:color="auto" w:fill="FFFFFF"/>
        </w:rPr>
      </w:pPr>
      <w:r>
        <w:rPr>
          <w:color w:val="000000"/>
          <w:shd w:val="clear" w:color="auto" w:fill="FFFFFF"/>
        </w:rPr>
        <w:t>Сумлінні постачальники підходять дуже виважено</w:t>
      </w:r>
      <w:r>
        <w:rPr>
          <w:lang w:eastAsia="ru-RU"/>
        </w:rPr>
        <w:t xml:space="preserve">  до  </w:t>
      </w:r>
      <w:r w:rsidRPr="007B09E8">
        <w:rPr>
          <w:lang w:eastAsia="ru-RU"/>
        </w:rPr>
        <w:t xml:space="preserve">припинення постачання газу споживачам </w:t>
      </w:r>
      <w:r>
        <w:rPr>
          <w:lang w:eastAsia="ru-RU"/>
        </w:rPr>
        <w:t>з огляду на те</w:t>
      </w:r>
      <w:r w:rsidR="00FB4A11" w:rsidRPr="008E184E">
        <w:rPr>
          <w:lang w:eastAsia="ru-RU"/>
        </w:rPr>
        <w:t xml:space="preserve">, </w:t>
      </w:r>
      <w:r>
        <w:rPr>
          <w:lang w:eastAsia="ru-RU"/>
        </w:rPr>
        <w:t xml:space="preserve">що </w:t>
      </w:r>
      <w:r w:rsidR="00FB4A11" w:rsidRPr="008E184E">
        <w:rPr>
          <w:lang w:eastAsia="ru-RU"/>
        </w:rPr>
        <w:t xml:space="preserve">норми про відповідальність постачальників </w:t>
      </w:r>
      <w:r w:rsidR="00FB4A11" w:rsidRPr="008E184E">
        <w:rPr>
          <w:color w:val="000000"/>
          <w:shd w:val="clear" w:color="auto" w:fill="FFFFFF"/>
        </w:rPr>
        <w:t xml:space="preserve">у разі </w:t>
      </w:r>
      <w:r w:rsidR="00FB4A11">
        <w:rPr>
          <w:color w:val="000000"/>
          <w:shd w:val="clear" w:color="auto" w:fill="FFFFFF"/>
        </w:rPr>
        <w:t>припинення</w:t>
      </w:r>
      <w:r w:rsidR="00FB4A11" w:rsidRPr="008E184E">
        <w:rPr>
          <w:color w:val="000000"/>
          <w:shd w:val="clear" w:color="auto" w:fill="FFFFFF"/>
        </w:rPr>
        <w:t xml:space="preserve"> постачання газу споживачу Оператором ГРМ/ГТС на виконання неправомірного доручення постачальника про припинення постачання газу споживачу</w:t>
      </w:r>
      <w:r w:rsidR="00FB4A11">
        <w:rPr>
          <w:color w:val="000000"/>
          <w:shd w:val="clear" w:color="auto" w:fill="FFFFFF"/>
        </w:rPr>
        <w:t xml:space="preserve"> </w:t>
      </w:r>
      <w:r w:rsidR="00FB4A11" w:rsidRPr="008E184E">
        <w:rPr>
          <w:color w:val="000000"/>
          <w:shd w:val="clear" w:color="auto" w:fill="FFFFFF"/>
        </w:rPr>
        <w:t>передбачають відшкодування</w:t>
      </w:r>
      <w:r w:rsidR="00FB4A11">
        <w:rPr>
          <w:color w:val="000000"/>
          <w:shd w:val="clear" w:color="auto" w:fill="FFFFFF"/>
        </w:rPr>
        <w:t xml:space="preserve"> таким постачальником</w:t>
      </w:r>
      <w:r w:rsidR="00FB4A11" w:rsidRPr="008E184E">
        <w:rPr>
          <w:color w:val="000000"/>
          <w:shd w:val="clear" w:color="auto" w:fill="FFFFFF"/>
        </w:rPr>
        <w:t xml:space="preserve"> збитків </w:t>
      </w:r>
      <w:r w:rsidR="00FB4A11">
        <w:rPr>
          <w:color w:val="000000"/>
          <w:shd w:val="clear" w:color="auto" w:fill="FFFFFF"/>
        </w:rPr>
        <w:t xml:space="preserve">споживачу </w:t>
      </w:r>
      <w:r w:rsidR="00FB4A11" w:rsidRPr="008E184E">
        <w:rPr>
          <w:color w:val="000000"/>
          <w:u w:val="single"/>
          <w:shd w:val="clear" w:color="auto" w:fill="FFFFFF"/>
        </w:rPr>
        <w:t>у повному обсязі</w:t>
      </w:r>
      <w:r w:rsidR="00FB4A11" w:rsidRPr="008E184E">
        <w:rPr>
          <w:color w:val="000000"/>
          <w:shd w:val="clear" w:color="auto" w:fill="FFFFFF"/>
        </w:rPr>
        <w:t xml:space="preserve">, окрім відшкодування </w:t>
      </w:r>
      <w:r w:rsidR="00FB4A11">
        <w:rPr>
          <w:color w:val="000000"/>
          <w:shd w:val="clear" w:color="auto" w:fill="FFFFFF"/>
        </w:rPr>
        <w:t xml:space="preserve">йому </w:t>
      </w:r>
      <w:r w:rsidR="00FB4A11" w:rsidRPr="008E184E">
        <w:rPr>
          <w:color w:val="000000"/>
          <w:shd w:val="clear" w:color="auto" w:fill="FFFFFF"/>
        </w:rPr>
        <w:t>вартості недопоставленого обсягу газу.</w:t>
      </w:r>
      <w:r w:rsidR="00FB4A11">
        <w:rPr>
          <w:color w:val="000000"/>
          <w:shd w:val="clear" w:color="auto" w:fill="FFFFFF"/>
        </w:rPr>
        <w:t xml:space="preserve"> </w:t>
      </w:r>
    </w:p>
    <w:p w14:paraId="3FAF4644" w14:textId="77777777" w:rsidR="00FB4A11" w:rsidRPr="008E184E" w:rsidRDefault="00060FD6" w:rsidP="004B51A8">
      <w:pPr>
        <w:ind w:left="720" w:firstLine="540"/>
        <w:jc w:val="both"/>
        <w:rPr>
          <w:lang w:eastAsia="ru-RU"/>
        </w:rPr>
      </w:pPr>
      <w:r>
        <w:rPr>
          <w:lang w:eastAsia="ru-RU"/>
        </w:rPr>
        <w:t xml:space="preserve">Експерти компаній-членів Палати вважають, що </w:t>
      </w:r>
      <w:r w:rsidRPr="008E184E">
        <w:rPr>
          <w:lang w:eastAsia="ru-RU"/>
        </w:rPr>
        <w:t xml:space="preserve">автори законопроекту застосовують </w:t>
      </w:r>
      <w:r>
        <w:rPr>
          <w:lang w:eastAsia="ru-RU"/>
        </w:rPr>
        <w:t xml:space="preserve">скоріше </w:t>
      </w:r>
      <w:r w:rsidRPr="008E184E">
        <w:rPr>
          <w:lang w:eastAsia="ru-RU"/>
        </w:rPr>
        <w:t>подвійні стандарти</w:t>
      </w:r>
      <w:r>
        <w:rPr>
          <w:lang w:eastAsia="ru-RU"/>
        </w:rPr>
        <w:t xml:space="preserve">, базуючись лише на </w:t>
      </w:r>
      <w:r w:rsidRPr="008E184E">
        <w:rPr>
          <w:lang w:eastAsia="ru-RU"/>
        </w:rPr>
        <w:t>абсолютн</w:t>
      </w:r>
      <w:r>
        <w:rPr>
          <w:lang w:eastAsia="ru-RU"/>
        </w:rPr>
        <w:t>ій</w:t>
      </w:r>
      <w:r w:rsidRPr="008E184E">
        <w:rPr>
          <w:lang w:eastAsia="ru-RU"/>
        </w:rPr>
        <w:t xml:space="preserve"> добросовісності споживачів</w:t>
      </w:r>
      <w:r>
        <w:rPr>
          <w:lang w:eastAsia="ru-RU"/>
        </w:rPr>
        <w:t>. Також, ч</w:t>
      </w:r>
      <w:r w:rsidR="00FB4A11" w:rsidRPr="008E184E">
        <w:rPr>
          <w:lang w:eastAsia="ru-RU"/>
        </w:rPr>
        <w:t xml:space="preserve">инна судова система в умовах повномасштабного її реформування, ротації суддівського складу, проходження кваліфікаційного оцінювання не може бути на сьогодні тим </w:t>
      </w:r>
      <w:r w:rsidR="007B09E8">
        <w:rPr>
          <w:lang w:eastAsia="ru-RU"/>
        </w:rPr>
        <w:t xml:space="preserve">ефективним </w:t>
      </w:r>
      <w:r w:rsidR="00FB4A11" w:rsidRPr="008E184E">
        <w:rPr>
          <w:lang w:eastAsia="ru-RU"/>
        </w:rPr>
        <w:t xml:space="preserve">механізмом, який би </w:t>
      </w:r>
      <w:r w:rsidR="00FB4A11">
        <w:rPr>
          <w:lang w:eastAsia="ru-RU"/>
        </w:rPr>
        <w:t>своє</w:t>
      </w:r>
      <w:r w:rsidR="00FB4A11" w:rsidRPr="008E184E">
        <w:rPr>
          <w:lang w:eastAsia="ru-RU"/>
        </w:rPr>
        <w:t xml:space="preserve">часно захищав права як споживачів, так і постачальників. </w:t>
      </w:r>
      <w:r w:rsidR="007B09E8">
        <w:rPr>
          <w:lang w:eastAsia="ru-RU"/>
        </w:rPr>
        <w:t>На практиці, с</w:t>
      </w:r>
      <w:r w:rsidR="00FB4A11" w:rsidRPr="008E184E">
        <w:rPr>
          <w:lang w:eastAsia="ru-RU"/>
        </w:rPr>
        <w:t xml:space="preserve">троки </w:t>
      </w:r>
      <w:r w:rsidR="00FB4A11" w:rsidRPr="008E184E">
        <w:rPr>
          <w:lang w:eastAsia="ru-RU"/>
        </w:rPr>
        <w:lastRenderedPageBreak/>
        <w:t xml:space="preserve">розгляду спорів сьогодні становлять в кращих випадках від 3 до 6 місяців </w:t>
      </w:r>
      <w:r>
        <w:rPr>
          <w:lang w:eastAsia="ru-RU"/>
        </w:rPr>
        <w:t>(</w:t>
      </w:r>
      <w:r w:rsidR="00FB4A11" w:rsidRPr="008E184E">
        <w:rPr>
          <w:lang w:eastAsia="ru-RU"/>
        </w:rPr>
        <w:t>і це тільки в першій інстанції</w:t>
      </w:r>
      <w:r>
        <w:rPr>
          <w:lang w:eastAsia="ru-RU"/>
        </w:rPr>
        <w:t>)</w:t>
      </w:r>
      <w:r w:rsidR="00FB4A11" w:rsidRPr="008E184E">
        <w:rPr>
          <w:lang w:eastAsia="ru-RU"/>
        </w:rPr>
        <w:t xml:space="preserve">.  </w:t>
      </w:r>
    </w:p>
    <w:p w14:paraId="422766EF" w14:textId="77777777" w:rsidR="00FB4A11" w:rsidRPr="008E184E" w:rsidRDefault="00FB4A11" w:rsidP="004B51A8">
      <w:pPr>
        <w:ind w:left="720" w:firstLine="540"/>
        <w:jc w:val="both"/>
        <w:rPr>
          <w:lang w:eastAsia="ru-RU"/>
        </w:rPr>
      </w:pPr>
      <w:r w:rsidRPr="008E184E">
        <w:rPr>
          <w:lang w:eastAsia="ru-RU"/>
        </w:rPr>
        <w:t xml:space="preserve">Крім того, Законом сьогодні </w:t>
      </w:r>
      <w:r>
        <w:rPr>
          <w:lang w:eastAsia="ru-RU"/>
        </w:rPr>
        <w:t>прямо</w:t>
      </w:r>
      <w:r w:rsidRPr="008E184E">
        <w:rPr>
          <w:lang w:eastAsia="ru-RU"/>
        </w:rPr>
        <w:t xml:space="preserve"> передбачено, що 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14:paraId="7CA4BC8E" w14:textId="77777777" w:rsidR="004B51A8" w:rsidRPr="004E05F6" w:rsidRDefault="00060FD6" w:rsidP="004B51A8">
      <w:pPr>
        <w:ind w:left="720" w:firstLine="540"/>
        <w:jc w:val="both"/>
        <w:rPr>
          <w:lang w:eastAsia="ru-RU"/>
        </w:rPr>
      </w:pPr>
      <w:r>
        <w:rPr>
          <w:lang w:eastAsia="ru-RU"/>
        </w:rPr>
        <w:t>Експерти компаній-членів Палати проаналізували</w:t>
      </w:r>
      <w:r w:rsidR="00FB4A11" w:rsidRPr="008E184E">
        <w:rPr>
          <w:lang w:eastAsia="ru-RU"/>
        </w:rPr>
        <w:t xml:space="preserve"> запропоновані зміни в частині відключення споживачів-боржників лише за рішенням суду</w:t>
      </w:r>
      <w:r>
        <w:rPr>
          <w:lang w:eastAsia="ru-RU"/>
        </w:rPr>
        <w:t xml:space="preserve"> та вважають, що такі</w:t>
      </w:r>
      <w:r w:rsidR="00FB4A11" w:rsidRPr="008E184E">
        <w:rPr>
          <w:lang w:eastAsia="ru-RU"/>
        </w:rPr>
        <w:t xml:space="preserve"> змін</w:t>
      </w:r>
      <w:r>
        <w:rPr>
          <w:lang w:eastAsia="ru-RU"/>
        </w:rPr>
        <w:t>и потребують подальшого ґрунтовного обговорення.</w:t>
      </w:r>
      <w:r w:rsidR="00FB4A11" w:rsidRPr="008E184E">
        <w:rPr>
          <w:lang w:eastAsia="ru-RU"/>
        </w:rPr>
        <w:t xml:space="preserve"> </w:t>
      </w:r>
      <w:r w:rsidR="00765683">
        <w:rPr>
          <w:lang w:eastAsia="ru-RU"/>
        </w:rPr>
        <w:t xml:space="preserve">Чинні на сьогодні </w:t>
      </w:r>
      <w:r w:rsidR="00FB4A11" w:rsidRPr="008E184E">
        <w:rPr>
          <w:lang w:eastAsia="ru-RU"/>
        </w:rPr>
        <w:t xml:space="preserve">механізми є достатньо виваженими і захищають як </w:t>
      </w:r>
      <w:r w:rsidR="00765683">
        <w:rPr>
          <w:lang w:eastAsia="ru-RU"/>
        </w:rPr>
        <w:t>споживачів</w:t>
      </w:r>
      <w:r w:rsidR="00FB4A11">
        <w:rPr>
          <w:lang w:eastAsia="ru-RU"/>
        </w:rPr>
        <w:t>,</w:t>
      </w:r>
      <w:r w:rsidR="00FB4A11" w:rsidRPr="008E184E">
        <w:rPr>
          <w:lang w:eastAsia="ru-RU"/>
        </w:rPr>
        <w:t xml:space="preserve"> так і </w:t>
      </w:r>
      <w:r w:rsidR="00765683">
        <w:rPr>
          <w:lang w:eastAsia="ru-RU"/>
        </w:rPr>
        <w:t>постачальників</w:t>
      </w:r>
      <w:r w:rsidR="00FB4A11" w:rsidRPr="008E184E">
        <w:rPr>
          <w:lang w:eastAsia="ru-RU"/>
        </w:rPr>
        <w:t xml:space="preserve">. Як приклад, процедури відключення, що передбачені  Кодексами ГТС та ГРС, чітко прописують процедуру подання повідомлень постачальниками до Операторів ГТС/ГРМ та від Операторів до споживачів, регулюють питання відмови споживачів від самостійного припинення споживання </w:t>
      </w:r>
      <w:r w:rsidR="00FB4A11">
        <w:rPr>
          <w:lang w:eastAsia="ru-RU"/>
        </w:rPr>
        <w:t>(</w:t>
      </w:r>
      <w:r w:rsidR="00FB4A11" w:rsidRPr="008E184E">
        <w:rPr>
          <w:lang w:eastAsia="ru-RU"/>
        </w:rPr>
        <w:t>як наслідок примусо</w:t>
      </w:r>
      <w:r w:rsidR="00FB4A11" w:rsidRPr="004E05F6">
        <w:rPr>
          <w:lang w:eastAsia="ru-RU"/>
        </w:rPr>
        <w:t>ве обмеження газопостачання Операторами)</w:t>
      </w:r>
      <w:r w:rsidR="00765683" w:rsidRPr="004E05F6">
        <w:rPr>
          <w:lang w:eastAsia="ru-RU"/>
        </w:rPr>
        <w:t xml:space="preserve"> та </w:t>
      </w:r>
      <w:r w:rsidR="00FB4A11" w:rsidRPr="004E05F6">
        <w:rPr>
          <w:lang w:eastAsia="ru-RU"/>
        </w:rPr>
        <w:t xml:space="preserve">чітко визначають відповідальних за небаланси газу у зазначених ситуаціях. </w:t>
      </w:r>
    </w:p>
    <w:p w14:paraId="56E29CB4" w14:textId="28069AA3" w:rsidR="000E2E7C" w:rsidRPr="000E2E7C" w:rsidRDefault="000E2E7C" w:rsidP="004B51A8">
      <w:pPr>
        <w:ind w:left="720" w:firstLine="540"/>
        <w:jc w:val="both"/>
        <w:rPr>
          <w:lang w:eastAsia="ru-RU"/>
        </w:rPr>
      </w:pPr>
      <w:r w:rsidRPr="004E05F6">
        <w:rPr>
          <w:lang w:eastAsia="ru-RU"/>
        </w:rPr>
        <w:t>Експерти компаній-членів Палати не підтримують запропоновані зміни до п.2 ст.14 Закону, а саме забезпечення припинення (обмеження) постачання природного газу споживачу – боржнику лише за рішенням суду.</w:t>
      </w:r>
    </w:p>
    <w:p w14:paraId="4EA28ED0" w14:textId="77777777" w:rsidR="00FB4A11" w:rsidRDefault="004B51A8" w:rsidP="004B51A8">
      <w:pPr>
        <w:ind w:left="720" w:firstLine="540"/>
        <w:jc w:val="both"/>
        <w:rPr>
          <w:lang w:eastAsia="ru-RU"/>
        </w:rPr>
      </w:pPr>
      <w:r>
        <w:rPr>
          <w:lang w:eastAsia="ru-RU"/>
        </w:rPr>
        <w:t xml:space="preserve">Крім того, експерти компаній-членів Палати вважають за доцільне необхідність проаналізувати </w:t>
      </w:r>
      <w:r w:rsidR="00FB4A11" w:rsidRPr="008E184E">
        <w:rPr>
          <w:lang w:eastAsia="ru-RU"/>
        </w:rPr>
        <w:t>кількість нормативно-правових документів, які потребуватимуть оновлення у разі прийняття таких</w:t>
      </w:r>
      <w:r>
        <w:rPr>
          <w:lang w:eastAsia="ru-RU"/>
        </w:rPr>
        <w:t>, деталізації</w:t>
      </w:r>
      <w:r w:rsidR="00FB4A11" w:rsidRPr="008E184E">
        <w:rPr>
          <w:lang w:eastAsia="ru-RU"/>
        </w:rPr>
        <w:t xml:space="preserve"> трактування питання відсутності саме простроченої заборгованості перед постачальником, алгоритму дій постачальника та споживача з моменту направлення останнім повідомлення діючому постачальнику про намір змінити постачальника, обов’язкового завчасного (до настання періоду надання номінації) повідомлення діючого постачальника оператором газорозподільної системи щодо надходження доручення від попереднього постачальника про припинення постачання газу споживачеві </w:t>
      </w:r>
      <w:r>
        <w:rPr>
          <w:lang w:eastAsia="ru-RU"/>
        </w:rPr>
        <w:t>тощо.</w:t>
      </w:r>
      <w:r w:rsidR="00FB4A11" w:rsidRPr="008E184E">
        <w:rPr>
          <w:lang w:eastAsia="ru-RU"/>
        </w:rPr>
        <w:t xml:space="preserve"> </w:t>
      </w:r>
      <w:r>
        <w:rPr>
          <w:lang w:eastAsia="ru-RU"/>
        </w:rPr>
        <w:t>Варто зазначити, що дані ініціативи</w:t>
      </w:r>
      <w:r w:rsidR="00FB4A11" w:rsidRPr="008E184E">
        <w:rPr>
          <w:lang w:eastAsia="ru-RU"/>
        </w:rPr>
        <w:t xml:space="preserve"> є предметом вторинного законодавства і не потребуюсь внесення змін до Закону. </w:t>
      </w:r>
    </w:p>
    <w:p w14:paraId="4D4DB135" w14:textId="77777777" w:rsidR="00FB4A11" w:rsidRPr="00DF34E4" w:rsidRDefault="00DF34E4" w:rsidP="00DF34E4">
      <w:pPr>
        <w:ind w:left="720" w:firstLine="540"/>
        <w:jc w:val="both"/>
        <w:rPr>
          <w:lang w:eastAsia="ru-RU"/>
        </w:rPr>
      </w:pPr>
      <w:r>
        <w:rPr>
          <w:lang w:eastAsia="ru-RU"/>
        </w:rPr>
        <w:t>З</w:t>
      </w:r>
      <w:r w:rsidR="00FB4A11" w:rsidRPr="004B51A8">
        <w:rPr>
          <w:lang w:eastAsia="ru-RU"/>
        </w:rPr>
        <w:t>апропоновані зміни</w:t>
      </w:r>
      <w:r w:rsidR="004B51A8" w:rsidRPr="004B51A8">
        <w:rPr>
          <w:lang w:eastAsia="ru-RU"/>
        </w:rPr>
        <w:t xml:space="preserve"> до Закону України «Про ринок природного газу»</w:t>
      </w:r>
      <w:r w:rsidR="004B51A8" w:rsidRPr="004B51A8">
        <w:rPr>
          <w:b/>
          <w:lang w:eastAsia="ru-RU"/>
        </w:rPr>
        <w:t xml:space="preserve"> </w:t>
      </w:r>
      <w:r w:rsidR="004B51A8">
        <w:rPr>
          <w:lang w:eastAsia="ru-RU"/>
        </w:rPr>
        <w:t>можуть</w:t>
      </w:r>
      <w:r w:rsidR="00FB4A11" w:rsidRPr="008E184E">
        <w:rPr>
          <w:lang w:eastAsia="ru-RU"/>
        </w:rPr>
        <w:t xml:space="preserve"> погірш</w:t>
      </w:r>
      <w:r w:rsidR="004B51A8">
        <w:rPr>
          <w:lang w:eastAsia="ru-RU"/>
        </w:rPr>
        <w:t>и</w:t>
      </w:r>
      <w:r w:rsidR="00FB4A11" w:rsidRPr="008E184E">
        <w:rPr>
          <w:lang w:eastAsia="ru-RU"/>
        </w:rPr>
        <w:t>т</w:t>
      </w:r>
      <w:r w:rsidR="004B51A8">
        <w:rPr>
          <w:lang w:eastAsia="ru-RU"/>
        </w:rPr>
        <w:t>и</w:t>
      </w:r>
      <w:r w:rsidR="00FB4A11" w:rsidRPr="008E184E">
        <w:rPr>
          <w:lang w:eastAsia="ru-RU"/>
        </w:rPr>
        <w:t xml:space="preserve"> конкурентне середовище у сфері постачання природного газу, </w:t>
      </w:r>
      <w:r w:rsidR="004B51A8">
        <w:rPr>
          <w:lang w:eastAsia="ru-RU"/>
        </w:rPr>
        <w:t>поновити можливість</w:t>
      </w:r>
      <w:r w:rsidR="00FB4A11" w:rsidRPr="008E184E">
        <w:rPr>
          <w:lang w:eastAsia="ru-RU"/>
        </w:rPr>
        <w:t xml:space="preserve"> недобросов</w:t>
      </w:r>
      <w:r w:rsidR="004B51A8">
        <w:rPr>
          <w:lang w:eastAsia="ru-RU"/>
        </w:rPr>
        <w:t>існого</w:t>
      </w:r>
      <w:r w:rsidR="00FB4A11" w:rsidRPr="008E184E">
        <w:rPr>
          <w:lang w:eastAsia="ru-RU"/>
        </w:rPr>
        <w:t xml:space="preserve"> перешкоджання доступу постачальників до ринку, віднов</w:t>
      </w:r>
      <w:r w:rsidR="004B51A8">
        <w:rPr>
          <w:lang w:eastAsia="ru-RU"/>
        </w:rPr>
        <w:t>ити</w:t>
      </w:r>
      <w:r w:rsidR="00FB4A11" w:rsidRPr="008E184E">
        <w:rPr>
          <w:lang w:eastAsia="ru-RU"/>
        </w:rPr>
        <w:t xml:space="preserve"> вплив та втручання Операторів ГРМ у питання вибору споживачами постачальників</w:t>
      </w:r>
      <w:r w:rsidR="00FB4A11">
        <w:rPr>
          <w:lang w:eastAsia="ru-RU"/>
        </w:rPr>
        <w:t xml:space="preserve"> газу</w:t>
      </w:r>
      <w:r w:rsidR="00FB4A11" w:rsidRPr="008E184E">
        <w:rPr>
          <w:lang w:eastAsia="ru-RU"/>
        </w:rPr>
        <w:t xml:space="preserve">, </w:t>
      </w:r>
      <w:r w:rsidR="004B51A8">
        <w:rPr>
          <w:lang w:eastAsia="ru-RU"/>
        </w:rPr>
        <w:t>а також призвести</w:t>
      </w:r>
      <w:r w:rsidR="00FB4A11" w:rsidRPr="008E184E">
        <w:rPr>
          <w:lang w:eastAsia="ru-RU"/>
        </w:rPr>
        <w:t xml:space="preserve"> до фінансової </w:t>
      </w:r>
      <w:r w:rsidR="004B51A8">
        <w:rPr>
          <w:lang w:eastAsia="ru-RU"/>
        </w:rPr>
        <w:t>нестабільності</w:t>
      </w:r>
      <w:r w:rsidR="00FB4A11" w:rsidRPr="008E184E">
        <w:rPr>
          <w:lang w:eastAsia="ru-RU"/>
        </w:rPr>
        <w:t xml:space="preserve"> через появу непогашених заборгованостей </w:t>
      </w:r>
      <w:r w:rsidR="004B51A8">
        <w:rPr>
          <w:lang w:eastAsia="ru-RU"/>
        </w:rPr>
        <w:t>та ініціювання</w:t>
      </w:r>
      <w:r w:rsidR="00FB4A11" w:rsidRPr="008E184E">
        <w:rPr>
          <w:lang w:eastAsia="ru-RU"/>
        </w:rPr>
        <w:t xml:space="preserve"> затяжн</w:t>
      </w:r>
      <w:r w:rsidR="004B51A8">
        <w:rPr>
          <w:lang w:eastAsia="ru-RU"/>
        </w:rPr>
        <w:t>их</w:t>
      </w:r>
      <w:r w:rsidR="00FB4A11" w:rsidRPr="008E184E">
        <w:rPr>
          <w:lang w:eastAsia="ru-RU"/>
        </w:rPr>
        <w:t xml:space="preserve"> судов</w:t>
      </w:r>
      <w:r w:rsidR="004B51A8">
        <w:rPr>
          <w:lang w:eastAsia="ru-RU"/>
        </w:rPr>
        <w:t>их</w:t>
      </w:r>
      <w:r w:rsidR="00FB4A11" w:rsidRPr="008E184E">
        <w:rPr>
          <w:lang w:eastAsia="ru-RU"/>
        </w:rPr>
        <w:t xml:space="preserve"> процес</w:t>
      </w:r>
      <w:r w:rsidR="004B51A8">
        <w:rPr>
          <w:lang w:eastAsia="ru-RU"/>
        </w:rPr>
        <w:t>ів підприємств</w:t>
      </w:r>
      <w:r w:rsidR="00FB4A11" w:rsidRPr="008E184E">
        <w:rPr>
          <w:lang w:eastAsia="ru-RU"/>
        </w:rPr>
        <w:t xml:space="preserve"> з простоями виробництв</w:t>
      </w:r>
      <w:r w:rsidR="004B51A8">
        <w:rPr>
          <w:lang w:eastAsia="ru-RU"/>
        </w:rPr>
        <w:t>а</w:t>
      </w:r>
      <w:r w:rsidR="00FB4A11" w:rsidRPr="008E184E">
        <w:rPr>
          <w:lang w:eastAsia="ru-RU"/>
        </w:rPr>
        <w:t xml:space="preserve"> і зменшенням активності на ринку.</w:t>
      </w:r>
      <w:r>
        <w:rPr>
          <w:lang w:eastAsia="ru-RU"/>
        </w:rPr>
        <w:t xml:space="preserve"> Запропоновані</w:t>
      </w:r>
      <w:r w:rsidR="00FB4A11" w:rsidRPr="008E184E">
        <w:rPr>
          <w:lang w:eastAsia="ru-RU"/>
        </w:rPr>
        <w:t xml:space="preserve"> зміни підлягають ретельному вивченню із заслуховуванням думки </w:t>
      </w:r>
      <w:r w:rsidR="00FB4A11" w:rsidRPr="00DF34E4">
        <w:rPr>
          <w:lang w:eastAsia="ru-RU"/>
        </w:rPr>
        <w:t xml:space="preserve">представників всіх суб’єктів ринку природного газу (споживачів, постачальників, Оператора ГТС, Регулятора) та чітким розумінням їх впливу на ринок. </w:t>
      </w:r>
    </w:p>
    <w:p w14:paraId="38940A75" w14:textId="77777777" w:rsidR="00FB4A11" w:rsidRPr="00DF34E4" w:rsidRDefault="00FB4A11" w:rsidP="00FB4A11">
      <w:pPr>
        <w:pStyle w:val="NoSpacing"/>
        <w:ind w:left="720" w:firstLine="556"/>
        <w:jc w:val="both"/>
      </w:pPr>
      <w:r w:rsidRPr="00DF34E4">
        <w:t xml:space="preserve">Зважаючи на вищесказане, просимо Вас </w:t>
      </w:r>
      <w:r w:rsidRPr="00DF34E4">
        <w:rPr>
          <w:b/>
        </w:rPr>
        <w:t xml:space="preserve">врахувати </w:t>
      </w:r>
      <w:r w:rsidR="00DF34E4" w:rsidRPr="00DF34E4">
        <w:rPr>
          <w:b/>
        </w:rPr>
        <w:t>коментарі</w:t>
      </w:r>
      <w:r w:rsidRPr="00DF34E4">
        <w:rPr>
          <w:b/>
        </w:rPr>
        <w:t xml:space="preserve"> </w:t>
      </w:r>
      <w:r w:rsidRPr="00DF34E4">
        <w:t>компаній – членів Палати</w:t>
      </w:r>
      <w:r w:rsidRPr="00DF34E4">
        <w:rPr>
          <w:b/>
        </w:rPr>
        <w:t xml:space="preserve"> та </w:t>
      </w:r>
      <w:r w:rsidR="00DF34E4" w:rsidRPr="00DF34E4">
        <w:rPr>
          <w:b/>
        </w:rPr>
        <w:t xml:space="preserve">залучити експертів </w:t>
      </w:r>
      <w:r w:rsidR="00DF34E4" w:rsidRPr="00DF34E4">
        <w:t>компаній – членів Палати до обговорення даного законопроекту в разі його проведення</w:t>
      </w:r>
      <w:r w:rsidRPr="00DF34E4">
        <w:t>.</w:t>
      </w:r>
    </w:p>
    <w:p w14:paraId="2261F9EE" w14:textId="77777777" w:rsidR="00FB4A11" w:rsidRDefault="00FB4A11" w:rsidP="00FB4A11">
      <w:pPr>
        <w:ind w:left="720" w:firstLine="556"/>
        <w:jc w:val="both"/>
      </w:pPr>
      <w:r w:rsidRPr="00DF34E4">
        <w:t>Будь ласка,</w:t>
      </w:r>
      <w:r w:rsidRPr="00E62490">
        <w:t xml:space="preserve"> ще раз прийміть запевнення у нашій глибокій повазі та побажання успіху. </w:t>
      </w:r>
    </w:p>
    <w:p w14:paraId="23BDE79E" w14:textId="77777777" w:rsidR="00FB4A11" w:rsidRDefault="00FB4A11" w:rsidP="00FB4A11">
      <w:pPr>
        <w:ind w:left="720" w:firstLine="556"/>
        <w:jc w:val="both"/>
        <w:rPr>
          <w:lang w:val="ru-RU"/>
        </w:rPr>
      </w:pPr>
      <w:r w:rsidRPr="00152222">
        <w:rPr>
          <w:lang w:val="ru-RU"/>
        </w:rPr>
        <w:t xml:space="preserve">У </w:t>
      </w:r>
      <w:proofErr w:type="spellStart"/>
      <w:r w:rsidRPr="00152222">
        <w:rPr>
          <w:lang w:val="ru-RU"/>
        </w:rPr>
        <w:t>разі</w:t>
      </w:r>
      <w:proofErr w:type="spellEnd"/>
      <w:r w:rsidRPr="00152222">
        <w:rPr>
          <w:lang w:val="ru-RU"/>
        </w:rPr>
        <w:t xml:space="preserve"> </w:t>
      </w:r>
      <w:proofErr w:type="spellStart"/>
      <w:r w:rsidRPr="00152222">
        <w:rPr>
          <w:lang w:val="ru-RU"/>
        </w:rPr>
        <w:t>запитань</w:t>
      </w:r>
      <w:proofErr w:type="spellEnd"/>
      <w:r w:rsidRPr="00152222">
        <w:rPr>
          <w:lang w:val="ru-RU"/>
        </w:rPr>
        <w:t xml:space="preserve"> </w:t>
      </w:r>
      <w:proofErr w:type="spellStart"/>
      <w:r w:rsidRPr="00152222">
        <w:rPr>
          <w:lang w:val="ru-RU"/>
        </w:rPr>
        <w:t>щодо</w:t>
      </w:r>
      <w:proofErr w:type="spellEnd"/>
      <w:r w:rsidRPr="00152222">
        <w:rPr>
          <w:lang w:val="ru-RU"/>
        </w:rPr>
        <w:t xml:space="preserve"> </w:t>
      </w:r>
      <w:proofErr w:type="spellStart"/>
      <w:r w:rsidRPr="00152222">
        <w:rPr>
          <w:lang w:val="ru-RU"/>
        </w:rPr>
        <w:t>вищезазначеного</w:t>
      </w:r>
      <w:proofErr w:type="spellEnd"/>
      <w:r w:rsidRPr="00152222">
        <w:rPr>
          <w:lang w:val="ru-RU"/>
        </w:rPr>
        <w:t xml:space="preserve">, просимо Вас </w:t>
      </w:r>
      <w:proofErr w:type="spellStart"/>
      <w:r w:rsidRPr="00152222">
        <w:rPr>
          <w:lang w:val="ru-RU"/>
        </w:rPr>
        <w:t>визначити</w:t>
      </w:r>
      <w:proofErr w:type="spellEnd"/>
      <w:r w:rsidRPr="00152222">
        <w:rPr>
          <w:lang w:val="ru-RU"/>
        </w:rPr>
        <w:t xml:space="preserve"> </w:t>
      </w:r>
      <w:proofErr w:type="spellStart"/>
      <w:r w:rsidRPr="00152222">
        <w:rPr>
          <w:lang w:val="ru-RU"/>
        </w:rPr>
        <w:t>відповідальну</w:t>
      </w:r>
      <w:proofErr w:type="spellEnd"/>
      <w:r w:rsidRPr="00152222">
        <w:rPr>
          <w:lang w:val="ru-RU"/>
        </w:rPr>
        <w:t xml:space="preserve"> особу, яка могла б </w:t>
      </w:r>
      <w:proofErr w:type="spellStart"/>
      <w:r w:rsidRPr="00152222">
        <w:rPr>
          <w:lang w:val="ru-RU"/>
        </w:rPr>
        <w:t>зв’язатись</w:t>
      </w:r>
      <w:proofErr w:type="spellEnd"/>
      <w:r w:rsidRPr="00152222">
        <w:rPr>
          <w:lang w:val="ru-RU"/>
        </w:rPr>
        <w:t xml:space="preserve"> з нами за телефоном 490-58-00 </w:t>
      </w:r>
      <w:proofErr w:type="spellStart"/>
      <w:r w:rsidRPr="00152222">
        <w:rPr>
          <w:lang w:val="ru-RU"/>
        </w:rPr>
        <w:t>або</w:t>
      </w:r>
      <w:proofErr w:type="spellEnd"/>
      <w:r w:rsidRPr="00152222">
        <w:rPr>
          <w:lang w:val="ru-RU"/>
        </w:rPr>
        <w:t xml:space="preserve"> </w:t>
      </w:r>
      <w:proofErr w:type="spellStart"/>
      <w:r w:rsidRPr="00152222">
        <w:rPr>
          <w:lang w:val="ru-RU"/>
        </w:rPr>
        <w:t>електронною</w:t>
      </w:r>
      <w:proofErr w:type="spellEnd"/>
      <w:r w:rsidRPr="00152222">
        <w:rPr>
          <w:lang w:val="ru-RU"/>
        </w:rPr>
        <w:t xml:space="preserve"> </w:t>
      </w:r>
      <w:proofErr w:type="spellStart"/>
      <w:r w:rsidRPr="00152222">
        <w:rPr>
          <w:lang w:val="ru-RU"/>
        </w:rPr>
        <w:t>поштою</w:t>
      </w:r>
      <w:proofErr w:type="spellEnd"/>
      <w:r w:rsidRPr="00152222">
        <w:rPr>
          <w:lang w:val="ru-RU"/>
        </w:rPr>
        <w:t xml:space="preserve"> </w:t>
      </w:r>
      <w:hyperlink r:id="rId7" w:history="1">
        <w:r w:rsidRPr="006C4AD8">
          <w:rPr>
            <w:rStyle w:val="Hyperlink"/>
            <w:lang w:val="ru-RU"/>
          </w:rPr>
          <w:t>vlevakina@chamber.ua</w:t>
        </w:r>
      </w:hyperlink>
      <w:r w:rsidRPr="00152222">
        <w:rPr>
          <w:lang w:val="ru-RU"/>
        </w:rPr>
        <w:t xml:space="preserve">, контактна особа – Владислава </w:t>
      </w:r>
      <w:proofErr w:type="spellStart"/>
      <w:r w:rsidRPr="00152222">
        <w:rPr>
          <w:lang w:val="ru-RU"/>
        </w:rPr>
        <w:t>Левакіна</w:t>
      </w:r>
      <w:proofErr w:type="spellEnd"/>
      <w:r w:rsidRPr="00152222">
        <w:rPr>
          <w:lang w:val="ru-RU"/>
        </w:rPr>
        <w:t xml:space="preserve">, </w:t>
      </w:r>
      <w:proofErr w:type="spellStart"/>
      <w:r w:rsidRPr="00152222">
        <w:rPr>
          <w:lang w:val="ru-RU"/>
        </w:rPr>
        <w:t>молодший</w:t>
      </w:r>
      <w:proofErr w:type="spellEnd"/>
      <w:r w:rsidRPr="00152222">
        <w:rPr>
          <w:lang w:val="ru-RU"/>
        </w:rPr>
        <w:t xml:space="preserve"> менеджер </w:t>
      </w:r>
      <w:proofErr w:type="spellStart"/>
      <w:r w:rsidRPr="00152222">
        <w:rPr>
          <w:lang w:val="ru-RU"/>
        </w:rPr>
        <w:t>Палати</w:t>
      </w:r>
      <w:proofErr w:type="spellEnd"/>
      <w:r w:rsidRPr="00152222">
        <w:rPr>
          <w:lang w:val="ru-RU"/>
        </w:rPr>
        <w:t xml:space="preserve"> з </w:t>
      </w:r>
      <w:proofErr w:type="spellStart"/>
      <w:r w:rsidRPr="00152222">
        <w:rPr>
          <w:lang w:val="ru-RU"/>
        </w:rPr>
        <w:t>питань</w:t>
      </w:r>
      <w:proofErr w:type="spellEnd"/>
      <w:r w:rsidRPr="00152222">
        <w:rPr>
          <w:lang w:val="ru-RU"/>
        </w:rPr>
        <w:t xml:space="preserve"> </w:t>
      </w:r>
      <w:proofErr w:type="spellStart"/>
      <w:r w:rsidRPr="00152222">
        <w:rPr>
          <w:lang w:val="ru-RU"/>
        </w:rPr>
        <w:t>стратегічного</w:t>
      </w:r>
      <w:proofErr w:type="spellEnd"/>
      <w:r w:rsidRPr="00152222">
        <w:rPr>
          <w:lang w:val="ru-RU"/>
        </w:rPr>
        <w:t xml:space="preserve"> </w:t>
      </w:r>
      <w:proofErr w:type="spellStart"/>
      <w:r w:rsidRPr="00152222">
        <w:rPr>
          <w:lang w:val="ru-RU"/>
        </w:rPr>
        <w:t>розвитку</w:t>
      </w:r>
      <w:proofErr w:type="spellEnd"/>
      <w:r w:rsidRPr="00152222">
        <w:rPr>
          <w:lang w:val="ru-RU"/>
        </w:rPr>
        <w:t xml:space="preserve"> (</w:t>
      </w:r>
      <w:proofErr w:type="spellStart"/>
      <w:r w:rsidRPr="00152222">
        <w:rPr>
          <w:lang w:val="ru-RU"/>
        </w:rPr>
        <w:t>енергетика</w:t>
      </w:r>
      <w:proofErr w:type="spellEnd"/>
      <w:r w:rsidRPr="00152222">
        <w:rPr>
          <w:lang w:val="ru-RU"/>
        </w:rPr>
        <w:t>).</w:t>
      </w:r>
    </w:p>
    <w:p w14:paraId="476B6F2A" w14:textId="063BD7A6" w:rsidR="00FB4A11" w:rsidRDefault="00FB4A11" w:rsidP="00FB4A11">
      <w:pPr>
        <w:ind w:left="720" w:firstLine="556"/>
        <w:jc w:val="both"/>
        <w:rPr>
          <w:lang w:val="ru-RU"/>
        </w:rPr>
      </w:pPr>
    </w:p>
    <w:p w14:paraId="40CCA68A" w14:textId="77777777" w:rsidR="004E05F6" w:rsidRDefault="004E05F6" w:rsidP="00FB4A11">
      <w:pPr>
        <w:ind w:left="720" w:firstLine="556"/>
        <w:jc w:val="both"/>
        <w:rPr>
          <w:lang w:val="ru-RU"/>
        </w:rPr>
      </w:pPr>
    </w:p>
    <w:p w14:paraId="7F948521" w14:textId="7261CE70" w:rsidR="00FB4A11" w:rsidRDefault="00FB4A11" w:rsidP="00FB4A11">
      <w:pPr>
        <w:spacing w:line="276" w:lineRule="auto"/>
        <w:ind w:left="720"/>
        <w:jc w:val="both"/>
        <w:rPr>
          <w:b/>
        </w:rPr>
      </w:pPr>
      <w:r w:rsidRPr="00FA1646">
        <w:rPr>
          <w:b/>
        </w:rPr>
        <w:t>З найкращими побажаннями,</w:t>
      </w:r>
    </w:p>
    <w:p w14:paraId="6F75ED69" w14:textId="77777777" w:rsidR="004E05F6" w:rsidRDefault="004E05F6" w:rsidP="000E2E7C">
      <w:pPr>
        <w:spacing w:line="276" w:lineRule="auto"/>
        <w:ind w:left="720"/>
        <w:jc w:val="both"/>
        <w:rPr>
          <w:b/>
        </w:rPr>
      </w:pPr>
    </w:p>
    <w:p w14:paraId="7FC4523F" w14:textId="56254932" w:rsidR="00DC0B2A" w:rsidRDefault="00FB4A11" w:rsidP="000E2E7C">
      <w:pPr>
        <w:spacing w:line="276" w:lineRule="auto"/>
        <w:ind w:left="720"/>
        <w:jc w:val="both"/>
      </w:pPr>
      <w:r w:rsidRPr="00FA1646">
        <w:rPr>
          <w:b/>
        </w:rPr>
        <w:t>Президент</w:t>
      </w:r>
      <w:r w:rsidRPr="00FA1646">
        <w:rPr>
          <w:b/>
        </w:rPr>
        <w:tab/>
      </w:r>
      <w:r w:rsidRPr="00FA1646">
        <w:rPr>
          <w:b/>
        </w:rPr>
        <w:tab/>
      </w:r>
      <w:r w:rsidRPr="00FA1646">
        <w:rPr>
          <w:b/>
        </w:rPr>
        <w:tab/>
      </w:r>
      <w:r w:rsidRPr="00FA1646">
        <w:rPr>
          <w:b/>
        </w:rPr>
        <w:tab/>
      </w:r>
      <w:r w:rsidRPr="00FA1646">
        <w:rPr>
          <w:b/>
        </w:rPr>
        <w:tab/>
      </w:r>
      <w:r w:rsidRPr="00FA1646">
        <w:rPr>
          <w:b/>
        </w:rPr>
        <w:tab/>
      </w:r>
      <w:r w:rsidRPr="00FA1646">
        <w:rPr>
          <w:b/>
        </w:rPr>
        <w:tab/>
      </w:r>
      <w:r w:rsidRPr="00FA1646">
        <w:rPr>
          <w:b/>
        </w:rPr>
        <w:tab/>
        <w:t xml:space="preserve">           </w:t>
      </w:r>
      <w:r w:rsidRPr="00FA1646">
        <w:rPr>
          <w:b/>
        </w:rPr>
        <w:tab/>
        <w:t xml:space="preserve">  </w:t>
      </w:r>
      <w:r>
        <w:rPr>
          <w:b/>
        </w:rPr>
        <w:t xml:space="preserve">                   </w:t>
      </w:r>
      <w:r w:rsidRPr="00FA1646">
        <w:rPr>
          <w:b/>
        </w:rPr>
        <w:t xml:space="preserve">Андрій </w:t>
      </w:r>
      <w:proofErr w:type="spellStart"/>
      <w:r w:rsidRPr="00FA1646">
        <w:rPr>
          <w:b/>
        </w:rPr>
        <w:t>Гундер</w:t>
      </w:r>
      <w:proofErr w:type="spellEnd"/>
    </w:p>
    <w:sectPr w:rsidR="00DC0B2A" w:rsidSect="00CB38A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35D0" w14:textId="77777777" w:rsidR="00611B88" w:rsidRDefault="00611B88" w:rsidP="00FB4A11">
      <w:r>
        <w:separator/>
      </w:r>
    </w:p>
  </w:endnote>
  <w:endnote w:type="continuationSeparator" w:id="0">
    <w:p w14:paraId="30E5CE51" w14:textId="77777777" w:rsidR="00611B88" w:rsidRDefault="00611B88" w:rsidP="00F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D08" w14:textId="77777777" w:rsidR="00FB448A" w:rsidRDefault="00E52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80F4" w14:textId="77777777" w:rsidR="00B57472" w:rsidRPr="00843624" w:rsidRDefault="00DF34E4"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14:paraId="2370D6DA" w14:textId="77777777" w:rsidR="00DC5AAA" w:rsidRPr="006E325A" w:rsidRDefault="00DF34E4" w:rsidP="00DC5AAA">
    <w:pPr>
      <w:ind w:left="1560" w:hanging="1560"/>
      <w:jc w:val="both"/>
      <w:rPr>
        <w:rFonts w:ascii="Arial" w:hAnsi="Arial" w:cs="Arial"/>
        <w:i/>
        <w:color w:val="404040"/>
        <w:sz w:val="16"/>
        <w:szCs w:val="16"/>
      </w:rPr>
    </w:pPr>
    <w:bookmarkStart w:id="2"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Заступник голови;</w:t>
    </w:r>
    <w:r w:rsidRPr="006E325A">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3A6960">
      <w:rPr>
        <w:rFonts w:ascii="Arial" w:hAnsi="Arial" w:cs="Arial"/>
        <w:i/>
        <w:color w:val="404040"/>
        <w:sz w:val="16"/>
        <w:szCs w:val="16"/>
      </w:rPr>
      <w:t xml:space="preserve"> - </w:t>
    </w:r>
    <w:r w:rsidRPr="003A6960">
      <w:rPr>
        <w:rFonts w:ascii="Arial" w:hAnsi="Arial" w:cs="Arial"/>
        <w:b/>
        <w:i/>
        <w:color w:val="404040"/>
        <w:sz w:val="16"/>
        <w:szCs w:val="16"/>
      </w:rPr>
      <w:t>Заступник голови;</w:t>
    </w:r>
    <w:r w:rsidRPr="006E325A">
      <w:rPr>
        <w:rFonts w:ascii="Arial" w:hAnsi="Arial" w:cs="Arial"/>
        <w:b/>
        <w:i/>
        <w:color w:val="404040"/>
        <w:sz w:val="16"/>
        <w:szCs w:val="16"/>
      </w:rPr>
      <w:t xml:space="preserve"> 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Pr>
        <w:rFonts w:ascii="Arial" w:hAnsi="Arial" w:cs="Arial"/>
        <w:b/>
        <w:i/>
        <w:color w:val="404040"/>
        <w:sz w:val="16"/>
        <w:szCs w:val="16"/>
      </w:rPr>
      <w:t>Алістер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Ukraine B.V.; </w:t>
    </w:r>
    <w:r w:rsidRPr="00843624">
      <w:rPr>
        <w:rFonts w:ascii="Arial" w:hAnsi="Arial" w:cs="Arial"/>
        <w:b/>
        <w:i/>
        <w:color w:val="404040"/>
        <w:sz w:val="16"/>
        <w:szCs w:val="16"/>
      </w:rPr>
      <w:t xml:space="preserve">Євген Шевченко, </w:t>
    </w:r>
    <w:proofErr w:type="spellStart"/>
    <w:r w:rsidRPr="00843624">
      <w:rPr>
        <w:rFonts w:ascii="Arial" w:hAnsi="Arial" w:cs="Arial"/>
        <w:i/>
        <w:color w:val="404040"/>
        <w:sz w:val="16"/>
        <w:szCs w:val="16"/>
      </w:rPr>
      <w:t>Carlsberg</w:t>
    </w:r>
    <w:proofErr w:type="spellEnd"/>
    <w:r w:rsidRPr="006E325A">
      <w:rPr>
        <w:rFonts w:ascii="Arial" w:hAnsi="Arial" w:cs="Arial"/>
        <w:b/>
        <w:i/>
        <w:color w:val="404040"/>
        <w:sz w:val="16"/>
        <w:szCs w:val="16"/>
      </w:rPr>
      <w:t>.</w:t>
    </w:r>
  </w:p>
  <w:p w14:paraId="3AEF243D" w14:textId="77777777" w:rsidR="00DC5AAA" w:rsidRPr="00843624" w:rsidRDefault="00DF34E4" w:rsidP="00DC5AAA">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2"/>
  <w:p w14:paraId="034E1719" w14:textId="77777777" w:rsidR="00B57472" w:rsidRPr="005F4AD6" w:rsidRDefault="00E522DA"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AE16" w14:textId="77777777" w:rsidR="00FB448A" w:rsidRDefault="00E5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C1AA" w14:textId="77777777" w:rsidR="00611B88" w:rsidRDefault="00611B88" w:rsidP="00FB4A11">
      <w:r>
        <w:separator/>
      </w:r>
    </w:p>
  </w:footnote>
  <w:footnote w:type="continuationSeparator" w:id="0">
    <w:p w14:paraId="3B661B57" w14:textId="77777777" w:rsidR="00611B88" w:rsidRDefault="00611B88" w:rsidP="00F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913D" w14:textId="77777777" w:rsidR="00FB448A" w:rsidRDefault="00E522DA">
    <w:pPr>
      <w:pStyle w:val="Header"/>
    </w:pPr>
    <w:r>
      <w:rPr>
        <w:noProof/>
      </w:rPr>
      <w:pict w14:anchorId="19F1D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54126" o:spid="_x0000_s2052" type="#_x0000_t136" style="position:absolute;margin-left:0;margin-top:0;width:542.4pt;height:216.9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B155" w14:textId="77777777" w:rsidR="00712510" w:rsidRPr="00712510" w:rsidRDefault="00E522DA" w:rsidP="00712510">
    <w:pPr>
      <w:pStyle w:val="Header"/>
      <w:rPr>
        <w:lang w:val="en-US"/>
      </w:rPr>
    </w:pPr>
    <w:r>
      <w:rPr>
        <w:noProof/>
      </w:rPr>
      <w:pict w14:anchorId="6EA35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54127" o:spid="_x0000_s2053"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B4A11">
      <w:rPr>
        <w:noProof/>
      </w:rPr>
      <w:drawing>
        <wp:anchor distT="0" distB="0" distL="114300" distR="114300" simplePos="0" relativeHeight="251660288" behindDoc="0" locked="0" layoutInCell="1" allowOverlap="1" wp14:anchorId="0C34BE4C" wp14:editId="5E751AB0">
          <wp:simplePos x="0" y="0"/>
          <wp:positionH relativeFrom="column">
            <wp:posOffset>-360045</wp:posOffset>
          </wp:positionH>
          <wp:positionV relativeFrom="page">
            <wp:posOffset>88900</wp:posOffset>
          </wp:positionV>
          <wp:extent cx="1720215" cy="688340"/>
          <wp:effectExtent l="0" t="0" r="0"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A11">
      <w:rPr>
        <w:noProof/>
      </w:rPr>
      <w:drawing>
        <wp:anchor distT="0" distB="0" distL="114300" distR="114300" simplePos="0" relativeHeight="251659264" behindDoc="0" locked="0" layoutInCell="1" allowOverlap="1" wp14:anchorId="4D8DAACD" wp14:editId="4EDE64A5">
          <wp:simplePos x="0" y="0"/>
          <wp:positionH relativeFrom="column">
            <wp:posOffset>1301115</wp:posOffset>
          </wp:positionH>
          <wp:positionV relativeFrom="page">
            <wp:posOffset>88900</wp:posOffset>
          </wp:positionV>
          <wp:extent cx="5888355" cy="939800"/>
          <wp:effectExtent l="0" t="0" r="0" b="0"/>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CF71" w14:textId="77777777" w:rsidR="00FB448A" w:rsidRDefault="00E522DA">
    <w:pPr>
      <w:pStyle w:val="Header"/>
    </w:pPr>
    <w:r>
      <w:rPr>
        <w:noProof/>
      </w:rPr>
      <w:pict w14:anchorId="44C7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54125" o:spid="_x0000_s2051"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769"/>
    <w:multiLevelType w:val="hybridMultilevel"/>
    <w:tmpl w:val="32E4C7FC"/>
    <w:lvl w:ilvl="0" w:tplc="9B0CA49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29A3729"/>
    <w:multiLevelType w:val="hybridMultilevel"/>
    <w:tmpl w:val="9F5066A4"/>
    <w:lvl w:ilvl="0" w:tplc="9006A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B924637"/>
    <w:multiLevelType w:val="hybridMultilevel"/>
    <w:tmpl w:val="7676F342"/>
    <w:lvl w:ilvl="0" w:tplc="CC34837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11"/>
    <w:rsid w:val="00060FD6"/>
    <w:rsid w:val="000E2E7C"/>
    <w:rsid w:val="000F49DC"/>
    <w:rsid w:val="00157949"/>
    <w:rsid w:val="00166ED5"/>
    <w:rsid w:val="00167EB5"/>
    <w:rsid w:val="001D356B"/>
    <w:rsid w:val="00243080"/>
    <w:rsid w:val="002E0978"/>
    <w:rsid w:val="002E6D14"/>
    <w:rsid w:val="00314694"/>
    <w:rsid w:val="003A204F"/>
    <w:rsid w:val="004B51A8"/>
    <w:rsid w:val="004E05F6"/>
    <w:rsid w:val="004F083B"/>
    <w:rsid w:val="00611B88"/>
    <w:rsid w:val="00765683"/>
    <w:rsid w:val="007B09E8"/>
    <w:rsid w:val="007F3078"/>
    <w:rsid w:val="00815653"/>
    <w:rsid w:val="008D798C"/>
    <w:rsid w:val="00AB7F70"/>
    <w:rsid w:val="00AD0117"/>
    <w:rsid w:val="00AD737C"/>
    <w:rsid w:val="00C2022A"/>
    <w:rsid w:val="00C449A7"/>
    <w:rsid w:val="00C710BC"/>
    <w:rsid w:val="00D80DBE"/>
    <w:rsid w:val="00D968FF"/>
    <w:rsid w:val="00DF34E4"/>
    <w:rsid w:val="00E11191"/>
    <w:rsid w:val="00E522DA"/>
    <w:rsid w:val="00E91C19"/>
    <w:rsid w:val="00F82B52"/>
    <w:rsid w:val="00FB4A11"/>
    <w:rsid w:val="00FC02B4"/>
    <w:rsid w:val="00FC1353"/>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C8FBCAB"/>
  <w15:chartTrackingRefBased/>
  <w15:docId w15:val="{F7635B8B-F4EE-4147-BE0B-FA9B1F01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A11"/>
    <w:pPr>
      <w:spacing w:after="0" w:line="240" w:lineRule="auto"/>
    </w:pPr>
    <w:rPr>
      <w:rFonts w:ascii="Times New Roman" w:eastAsia="Times New Roman" w:hAnsi="Times New Roman" w:cs="Times New Roman"/>
      <w:sz w:val="24"/>
      <w:szCs w:val="24"/>
      <w:lang w:val="uk-UA" w:eastAsia="uk-UA"/>
    </w:rPr>
  </w:style>
  <w:style w:type="paragraph" w:styleId="Heading3">
    <w:name w:val="heading 3"/>
    <w:basedOn w:val="Normal"/>
    <w:next w:val="Normal"/>
    <w:link w:val="Heading3Char"/>
    <w:uiPriority w:val="9"/>
    <w:unhideWhenUsed/>
    <w:qFormat/>
    <w:rsid w:val="00FB4A11"/>
    <w:pPr>
      <w:keepNext/>
      <w:keepLines/>
      <w:spacing w:before="40" w:line="259" w:lineRule="auto"/>
      <w:outlineLvl w:val="2"/>
    </w:pPr>
    <w:rPr>
      <w:rFonts w:asciiTheme="majorHAnsi" w:eastAsiaTheme="majorEastAsia" w:hAnsiTheme="majorHAnsi" w:cstheme="majorBidi"/>
      <w:color w:val="1F3763" w:themeColor="accent1" w:themeShade="7F"/>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4A11"/>
    <w:pPr>
      <w:tabs>
        <w:tab w:val="center" w:pos="4677"/>
        <w:tab w:val="right" w:pos="9355"/>
      </w:tabs>
    </w:pPr>
  </w:style>
  <w:style w:type="character" w:customStyle="1" w:styleId="HeaderChar">
    <w:name w:val="Header Char"/>
    <w:basedOn w:val="DefaultParagraphFont"/>
    <w:link w:val="Header"/>
    <w:rsid w:val="00FB4A11"/>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FB4A11"/>
    <w:pPr>
      <w:tabs>
        <w:tab w:val="center" w:pos="4677"/>
        <w:tab w:val="right" w:pos="9355"/>
      </w:tabs>
    </w:pPr>
  </w:style>
  <w:style w:type="character" w:customStyle="1" w:styleId="FooterChar">
    <w:name w:val="Footer Char"/>
    <w:basedOn w:val="DefaultParagraphFont"/>
    <w:link w:val="Footer"/>
    <w:uiPriority w:val="99"/>
    <w:rsid w:val="00FB4A11"/>
    <w:rPr>
      <w:rFonts w:ascii="Times New Roman" w:eastAsia="Times New Roman" w:hAnsi="Times New Roman" w:cs="Times New Roman"/>
      <w:sz w:val="24"/>
      <w:szCs w:val="24"/>
      <w:lang w:val="uk-UA" w:eastAsia="uk-UA"/>
    </w:rPr>
  </w:style>
  <w:style w:type="paragraph" w:customStyle="1" w:styleId="Normal1">
    <w:name w:val="Normal1"/>
    <w:basedOn w:val="Normal"/>
    <w:rsid w:val="00FB4A11"/>
    <w:pPr>
      <w:spacing w:before="100" w:beforeAutospacing="1" w:after="100" w:afterAutospacing="1"/>
    </w:pPr>
    <w:rPr>
      <w:lang w:val="ru-RU" w:eastAsia="ru-RU"/>
    </w:rPr>
  </w:style>
  <w:style w:type="character" w:styleId="Hyperlink">
    <w:name w:val="Hyperlink"/>
    <w:uiPriority w:val="99"/>
    <w:unhideWhenUsed/>
    <w:rsid w:val="00FB4A11"/>
    <w:rPr>
      <w:color w:val="0000FF"/>
      <w:u w:val="single"/>
    </w:rPr>
  </w:style>
  <w:style w:type="paragraph" w:styleId="NoSpacing">
    <w:name w:val="No Spacing"/>
    <w:uiPriority w:val="1"/>
    <w:qFormat/>
    <w:rsid w:val="00FB4A11"/>
    <w:pPr>
      <w:spacing w:after="0" w:line="240" w:lineRule="auto"/>
    </w:pPr>
    <w:rPr>
      <w:rFonts w:ascii="Times New Roman" w:eastAsia="Times New Roman" w:hAnsi="Times New Roman" w:cs="Times New Roman"/>
      <w:sz w:val="24"/>
      <w:szCs w:val="24"/>
      <w:lang w:val="uk-UA" w:eastAsia="uk-UA"/>
    </w:rPr>
  </w:style>
  <w:style w:type="paragraph" w:styleId="FootnoteText">
    <w:name w:val="footnote text"/>
    <w:basedOn w:val="Normal"/>
    <w:link w:val="FootnoteTextChar"/>
    <w:rsid w:val="00FB4A11"/>
    <w:rPr>
      <w:sz w:val="20"/>
      <w:szCs w:val="20"/>
    </w:rPr>
  </w:style>
  <w:style w:type="character" w:customStyle="1" w:styleId="FootnoteTextChar">
    <w:name w:val="Footnote Text Char"/>
    <w:basedOn w:val="DefaultParagraphFont"/>
    <w:link w:val="FootnoteText"/>
    <w:rsid w:val="00FB4A11"/>
    <w:rPr>
      <w:rFonts w:ascii="Times New Roman" w:eastAsia="Times New Roman" w:hAnsi="Times New Roman" w:cs="Times New Roman"/>
      <w:sz w:val="20"/>
      <w:szCs w:val="20"/>
      <w:lang w:val="uk-UA" w:eastAsia="uk-UA"/>
    </w:rPr>
  </w:style>
  <w:style w:type="character" w:styleId="FootnoteReference">
    <w:name w:val="footnote reference"/>
    <w:rsid w:val="00FB4A11"/>
    <w:rPr>
      <w:vertAlign w:val="superscript"/>
    </w:rPr>
  </w:style>
  <w:style w:type="character" w:customStyle="1" w:styleId="Heading3Char">
    <w:name w:val="Heading 3 Char"/>
    <w:basedOn w:val="DefaultParagraphFont"/>
    <w:link w:val="Heading3"/>
    <w:uiPriority w:val="9"/>
    <w:rsid w:val="00FB4A11"/>
    <w:rPr>
      <w:rFonts w:asciiTheme="majorHAnsi" w:eastAsiaTheme="majorEastAsia" w:hAnsiTheme="majorHAnsi" w:cstheme="majorBidi"/>
      <w:color w:val="1F3763" w:themeColor="accent1" w:themeShade="7F"/>
      <w:sz w:val="24"/>
      <w:szCs w:val="24"/>
      <w:lang w:val="ru-RU"/>
    </w:rPr>
  </w:style>
  <w:style w:type="paragraph" w:customStyle="1" w:styleId="Blank-Adress-Block">
    <w:name w:val="Blank-Adress-Block"/>
    <w:basedOn w:val="Normal"/>
    <w:link w:val="Blank-Adress-Block0"/>
    <w:qFormat/>
    <w:rsid w:val="00FB4A11"/>
    <w:pPr>
      <w:spacing w:line="320" w:lineRule="exact"/>
    </w:pPr>
    <w:rPr>
      <w:rFonts w:ascii="Tahoma" w:hAnsi="Tahoma"/>
      <w:b/>
      <w:sz w:val="18"/>
      <w:szCs w:val="18"/>
    </w:rPr>
  </w:style>
  <w:style w:type="character" w:customStyle="1" w:styleId="Blank-Adress-Block0">
    <w:name w:val="Blank-Adress-Block Знак"/>
    <w:link w:val="Blank-Adress-Block"/>
    <w:rsid w:val="00FB4A11"/>
    <w:rPr>
      <w:rFonts w:ascii="Tahoma" w:eastAsia="Times New Roman" w:hAnsi="Tahoma" w:cs="Times New Roman"/>
      <w:b/>
      <w:sz w:val="18"/>
      <w:szCs w:val="18"/>
      <w:lang w:val="uk-UA" w:eastAsia="uk-UA"/>
    </w:rPr>
  </w:style>
  <w:style w:type="character" w:customStyle="1" w:styleId="NormalWebChar">
    <w:name w:val="Normal (Web) Char"/>
    <w:link w:val="NormalWeb"/>
    <w:uiPriority w:val="99"/>
    <w:locked/>
    <w:rsid w:val="00FB4A11"/>
    <w:rPr>
      <w:rFonts w:ascii="Verdana" w:hAnsi="Verdana"/>
      <w:sz w:val="17"/>
    </w:rPr>
  </w:style>
  <w:style w:type="paragraph" w:styleId="NormalWeb">
    <w:name w:val="Normal (Web)"/>
    <w:basedOn w:val="Normal"/>
    <w:link w:val="NormalWebChar"/>
    <w:uiPriority w:val="99"/>
    <w:unhideWhenUsed/>
    <w:rsid w:val="00FB4A11"/>
    <w:pPr>
      <w:spacing w:before="100" w:beforeAutospacing="1" w:after="100" w:afterAutospacing="1"/>
    </w:pPr>
    <w:rPr>
      <w:rFonts w:ascii="Verdana" w:eastAsiaTheme="minorHAnsi" w:hAnsi="Verdana" w:cstheme="minorBidi"/>
      <w:sz w:val="17"/>
      <w:szCs w:val="22"/>
      <w:lang w:val="en-US" w:eastAsia="en-US"/>
    </w:rPr>
  </w:style>
  <w:style w:type="character" w:styleId="CommentReference">
    <w:name w:val="annotation reference"/>
    <w:basedOn w:val="DefaultParagraphFont"/>
    <w:uiPriority w:val="99"/>
    <w:semiHidden/>
    <w:unhideWhenUsed/>
    <w:rsid w:val="00167EB5"/>
    <w:rPr>
      <w:sz w:val="16"/>
      <w:szCs w:val="16"/>
    </w:rPr>
  </w:style>
  <w:style w:type="paragraph" w:styleId="CommentText">
    <w:name w:val="annotation text"/>
    <w:basedOn w:val="Normal"/>
    <w:link w:val="CommentTextChar"/>
    <w:uiPriority w:val="99"/>
    <w:semiHidden/>
    <w:unhideWhenUsed/>
    <w:rsid w:val="00167EB5"/>
    <w:rPr>
      <w:sz w:val="20"/>
      <w:szCs w:val="20"/>
    </w:rPr>
  </w:style>
  <w:style w:type="character" w:customStyle="1" w:styleId="CommentTextChar">
    <w:name w:val="Comment Text Char"/>
    <w:basedOn w:val="DefaultParagraphFont"/>
    <w:link w:val="CommentText"/>
    <w:uiPriority w:val="99"/>
    <w:semiHidden/>
    <w:rsid w:val="00167EB5"/>
    <w:rPr>
      <w:rFonts w:ascii="Times New Roman" w:eastAsia="Times New Roman" w:hAnsi="Times New Roman" w:cs="Times New Roman"/>
      <w:sz w:val="20"/>
      <w:szCs w:val="20"/>
      <w:lang w:val="uk-UA" w:eastAsia="uk-UA"/>
    </w:rPr>
  </w:style>
  <w:style w:type="paragraph" w:styleId="CommentSubject">
    <w:name w:val="annotation subject"/>
    <w:basedOn w:val="CommentText"/>
    <w:next w:val="CommentText"/>
    <w:link w:val="CommentSubjectChar"/>
    <w:uiPriority w:val="99"/>
    <w:semiHidden/>
    <w:unhideWhenUsed/>
    <w:rsid w:val="00167EB5"/>
    <w:rPr>
      <w:b/>
      <w:bCs/>
    </w:rPr>
  </w:style>
  <w:style w:type="character" w:customStyle="1" w:styleId="CommentSubjectChar">
    <w:name w:val="Comment Subject Char"/>
    <w:basedOn w:val="CommentTextChar"/>
    <w:link w:val="CommentSubject"/>
    <w:uiPriority w:val="99"/>
    <w:semiHidden/>
    <w:rsid w:val="00167EB5"/>
    <w:rPr>
      <w:rFonts w:ascii="Times New Roman" w:eastAsia="Times New Roman" w:hAnsi="Times New Roman" w:cs="Times New Roman"/>
      <w:b/>
      <w:bCs/>
      <w:sz w:val="20"/>
      <w:szCs w:val="20"/>
      <w:lang w:val="uk-UA" w:eastAsia="uk-UA"/>
    </w:rPr>
  </w:style>
  <w:style w:type="paragraph" w:styleId="BalloonText">
    <w:name w:val="Balloon Text"/>
    <w:basedOn w:val="Normal"/>
    <w:link w:val="BalloonTextChar"/>
    <w:uiPriority w:val="99"/>
    <w:semiHidden/>
    <w:unhideWhenUsed/>
    <w:rsid w:val="0016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B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12278</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cp:revision>
  <dcterms:created xsi:type="dcterms:W3CDTF">2018-05-11T10:48:00Z</dcterms:created>
  <dcterms:modified xsi:type="dcterms:W3CDTF">2018-05-11T10:48:00Z</dcterms:modified>
</cp:coreProperties>
</file>