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44" w:rsidRDefault="00321F44" w:rsidP="00321F44">
      <w:pPr>
        <w:rPr>
          <w:lang w:val="en-US"/>
        </w:rPr>
      </w:pPr>
    </w:p>
    <w:p w:rsidR="00321F44" w:rsidRPr="00715EC7" w:rsidRDefault="00321F44" w:rsidP="00321F44">
      <w:pPr>
        <w:spacing w:after="120"/>
        <w:jc w:val="center"/>
        <w:rPr>
          <w:b/>
          <w:sz w:val="24"/>
          <w:szCs w:val="24"/>
          <w:lang w:val="en-US"/>
        </w:rPr>
      </w:pPr>
      <w:r>
        <w:rPr>
          <w:lang w:val="en-US"/>
        </w:rPr>
        <w:tab/>
      </w:r>
      <w:r>
        <w:rPr>
          <w:b/>
          <w:sz w:val="24"/>
          <w:szCs w:val="24"/>
        </w:rPr>
        <w:t>DRAFT PROPOSALS ON CONCEPT</w:t>
      </w:r>
      <w:r w:rsidRPr="00715EC7">
        <w:rPr>
          <w:b/>
          <w:sz w:val="24"/>
          <w:szCs w:val="24"/>
        </w:rPr>
        <w:t xml:space="preserve"> </w:t>
      </w:r>
      <w:r w:rsidRPr="00715EC7">
        <w:rPr>
          <w:b/>
          <w:sz w:val="24"/>
          <w:szCs w:val="24"/>
          <w:lang w:val="en-US"/>
        </w:rPr>
        <w:t xml:space="preserve">OF THE </w:t>
      </w:r>
      <w:r w:rsidR="006935BA">
        <w:rPr>
          <w:b/>
          <w:sz w:val="24"/>
          <w:szCs w:val="24"/>
          <w:lang w:val="en-US"/>
        </w:rPr>
        <w:t xml:space="preserve">DRAFT </w:t>
      </w:r>
      <w:r w:rsidRPr="00715EC7">
        <w:rPr>
          <w:b/>
          <w:sz w:val="24"/>
          <w:szCs w:val="24"/>
          <w:lang w:val="en-US"/>
        </w:rPr>
        <w:t xml:space="preserve">SUBSOIL CODE </w:t>
      </w:r>
    </w:p>
    <w:p w:rsidR="00321F44" w:rsidRDefault="00321F44" w:rsidP="00321F44">
      <w:pPr>
        <w:spacing w:after="120"/>
        <w:rPr>
          <w:b/>
          <w:sz w:val="24"/>
          <w:szCs w:val="24"/>
        </w:rPr>
      </w:pPr>
    </w:p>
    <w:p w:rsidR="00321F44" w:rsidRPr="00715EC7" w:rsidRDefault="00321F44" w:rsidP="00321F44">
      <w:pPr>
        <w:spacing w:after="120"/>
        <w:rPr>
          <w:b/>
          <w:sz w:val="24"/>
          <w:szCs w:val="24"/>
        </w:rPr>
      </w:pPr>
      <w:r w:rsidRPr="00715EC7">
        <w:rPr>
          <w:b/>
          <w:sz w:val="24"/>
          <w:szCs w:val="24"/>
        </w:rPr>
        <w:t>I. GEOLOGICAL INFORMATION:</w:t>
      </w:r>
    </w:p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>- Geological information is</w:t>
      </w:r>
      <w:r>
        <w:rPr>
          <w:sz w:val="24"/>
          <w:szCs w:val="24"/>
          <w:lang w:val="en-US"/>
        </w:rPr>
        <w:t xml:space="preserve"> a</w:t>
      </w:r>
      <w:r w:rsidRPr="00715EC7">
        <w:rPr>
          <w:sz w:val="24"/>
          <w:szCs w:val="24"/>
          <w:lang w:val="en-US"/>
        </w:rPr>
        <w:t xml:space="preserve"> property; geological information created by the subsoil user belongs </w:t>
      </w:r>
      <w:r>
        <w:rPr>
          <w:sz w:val="24"/>
          <w:szCs w:val="24"/>
          <w:lang w:val="en-US"/>
        </w:rPr>
        <w:t>to the user</w:t>
      </w:r>
      <w:r w:rsidRPr="00715E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based </w:t>
      </w:r>
      <w:r w:rsidRPr="00715EC7">
        <w:rPr>
          <w:sz w:val="24"/>
          <w:szCs w:val="24"/>
          <w:lang w:val="en-US"/>
        </w:rPr>
        <w:t>on property right</w:t>
      </w:r>
      <w:r>
        <w:rPr>
          <w:sz w:val="24"/>
          <w:szCs w:val="24"/>
          <w:lang w:val="en-US"/>
        </w:rPr>
        <w:t>s</w:t>
      </w:r>
      <w:r w:rsidRPr="00715EC7">
        <w:rPr>
          <w:sz w:val="24"/>
          <w:szCs w:val="24"/>
          <w:lang w:val="en-US"/>
        </w:rPr>
        <w:t xml:space="preserve"> (ownership, use and </w:t>
      </w:r>
      <w:r>
        <w:rPr>
          <w:sz w:val="24"/>
          <w:szCs w:val="24"/>
          <w:lang w:val="en-US"/>
        </w:rPr>
        <w:t>disposal</w:t>
      </w:r>
      <w:r w:rsidRPr="00715EC7">
        <w:rPr>
          <w:sz w:val="24"/>
          <w:szCs w:val="24"/>
          <w:lang w:val="en-US"/>
        </w:rPr>
        <w:t xml:space="preserve"> of geological information</w:t>
      </w:r>
      <w:r>
        <w:rPr>
          <w:sz w:val="24"/>
          <w:szCs w:val="24"/>
          <w:lang w:val="en-US"/>
        </w:rPr>
        <w:t xml:space="preserve"> are</w:t>
      </w:r>
      <w:r w:rsidRPr="00715EC7">
        <w:rPr>
          <w:sz w:val="24"/>
          <w:szCs w:val="24"/>
          <w:lang w:val="en-US"/>
        </w:rPr>
        <w:t xml:space="preserve"> regulated by general principles of the property right</w:t>
      </w:r>
      <w:r>
        <w:rPr>
          <w:sz w:val="24"/>
          <w:szCs w:val="24"/>
          <w:lang w:val="en-US"/>
        </w:rPr>
        <w:t>s</w:t>
      </w:r>
      <w:r w:rsidRPr="00715EC7">
        <w:rPr>
          <w:sz w:val="24"/>
          <w:szCs w:val="24"/>
          <w:lang w:val="en-US"/>
        </w:rPr>
        <w:t xml:space="preserve"> provided by the Civil </w:t>
      </w:r>
      <w:r>
        <w:rPr>
          <w:sz w:val="24"/>
          <w:szCs w:val="24"/>
          <w:lang w:val="en-US"/>
        </w:rPr>
        <w:t>C</w:t>
      </w:r>
      <w:r w:rsidRPr="00715EC7">
        <w:rPr>
          <w:sz w:val="24"/>
          <w:szCs w:val="24"/>
          <w:lang w:val="en-US"/>
        </w:rPr>
        <w:t>ode of Ukraine);</w:t>
      </w:r>
    </w:p>
    <w:p w:rsidR="00321F44" w:rsidRPr="00517076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</w:rPr>
        <w:t>- Geologica</w:t>
      </w:r>
      <w:r w:rsidRPr="00517076">
        <w:rPr>
          <w:sz w:val="24"/>
          <w:szCs w:val="24"/>
        </w:rPr>
        <w:t>l information is divided into primary and generalized;</w:t>
      </w:r>
    </w:p>
    <w:p w:rsidR="00321F44" w:rsidRPr="00517076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517076">
        <w:rPr>
          <w:sz w:val="24"/>
          <w:szCs w:val="24"/>
          <w:lang w:val="en-US"/>
        </w:rPr>
        <w:t xml:space="preserve">- The subsoil user submits </w:t>
      </w:r>
      <w:r w:rsidR="00517076" w:rsidRPr="00517076">
        <w:rPr>
          <w:sz w:val="24"/>
          <w:szCs w:val="24"/>
          <w:lang w:val="en-US"/>
        </w:rPr>
        <w:t>data (by</w:t>
      </w:r>
      <w:r w:rsidRPr="00517076">
        <w:rPr>
          <w:sz w:val="24"/>
          <w:szCs w:val="24"/>
          <w:lang w:val="en-US"/>
        </w:rPr>
        <w:t xml:space="preserve"> application</w:t>
      </w:r>
      <w:r w:rsidR="00517076" w:rsidRPr="00517076">
        <w:rPr>
          <w:sz w:val="24"/>
          <w:szCs w:val="24"/>
          <w:lang w:val="en-US"/>
        </w:rPr>
        <w:t>) on primary geological information</w:t>
      </w:r>
      <w:r w:rsidRPr="00517076">
        <w:rPr>
          <w:sz w:val="24"/>
          <w:szCs w:val="24"/>
          <w:lang w:val="en-US"/>
        </w:rPr>
        <w:t xml:space="preserve"> </w:t>
      </w:r>
      <w:r w:rsidR="00517076" w:rsidRPr="00517076">
        <w:rPr>
          <w:sz w:val="24"/>
          <w:szCs w:val="24"/>
          <w:lang w:val="en-US"/>
        </w:rPr>
        <w:t xml:space="preserve">to </w:t>
      </w:r>
      <w:r w:rsidRPr="00517076">
        <w:rPr>
          <w:sz w:val="24"/>
          <w:szCs w:val="24"/>
          <w:lang w:val="en-US"/>
        </w:rPr>
        <w:t xml:space="preserve">the </w:t>
      </w:r>
      <w:r w:rsidRPr="00517076">
        <w:rPr>
          <w:sz w:val="24"/>
          <w:szCs w:val="24"/>
        </w:rPr>
        <w:t>State Geological Information Fund</w:t>
      </w:r>
      <w:r w:rsidRPr="00517076">
        <w:rPr>
          <w:sz w:val="24"/>
          <w:szCs w:val="24"/>
          <w:lang w:val="en-US"/>
        </w:rPr>
        <w:t>;</w:t>
      </w:r>
    </w:p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</w:rPr>
        <w:t>- General</w:t>
      </w:r>
      <w:proofErr w:type="spellStart"/>
      <w:r w:rsidRPr="00715EC7">
        <w:rPr>
          <w:sz w:val="24"/>
          <w:szCs w:val="24"/>
          <w:lang w:val="en-US"/>
        </w:rPr>
        <w:t>ized</w:t>
      </w:r>
      <w:proofErr w:type="spellEnd"/>
      <w:r w:rsidRPr="00715EC7">
        <w:rPr>
          <w:sz w:val="24"/>
          <w:szCs w:val="24"/>
        </w:rPr>
        <w:t xml:space="preserve"> information </w:t>
      </w:r>
      <w:r w:rsidRPr="00715EC7">
        <w:rPr>
          <w:sz w:val="24"/>
          <w:szCs w:val="24"/>
          <w:lang w:val="en-US"/>
        </w:rPr>
        <w:t xml:space="preserve">is subject to transfer (with </w:t>
      </w:r>
      <w:r w:rsidR="00980D2C">
        <w:rPr>
          <w:sz w:val="24"/>
          <w:szCs w:val="24"/>
          <w:lang w:val="en-US"/>
        </w:rPr>
        <w:t xml:space="preserve">further disposal </w:t>
      </w:r>
      <w:r w:rsidRPr="00715EC7">
        <w:rPr>
          <w:sz w:val="24"/>
          <w:szCs w:val="24"/>
          <w:lang w:val="en-US"/>
        </w:rPr>
        <w:t xml:space="preserve">possibility) to </w:t>
      </w:r>
      <w:r w:rsidRPr="00715EC7">
        <w:rPr>
          <w:sz w:val="24"/>
          <w:szCs w:val="24"/>
        </w:rPr>
        <w:t>the State Geological Information Fund</w:t>
      </w:r>
      <w:r w:rsidR="00980D2C">
        <w:rPr>
          <w:sz w:val="24"/>
          <w:szCs w:val="24"/>
        </w:rPr>
        <w:t xml:space="preserve"> for</w:t>
      </w:r>
      <w:r w:rsidR="00980D2C" w:rsidRPr="00715EC7">
        <w:rPr>
          <w:sz w:val="24"/>
          <w:szCs w:val="24"/>
          <w:lang w:val="en-US"/>
        </w:rPr>
        <w:t xml:space="preserve"> storage</w:t>
      </w:r>
      <w:r w:rsidRPr="00715EC7">
        <w:rPr>
          <w:sz w:val="24"/>
          <w:szCs w:val="24"/>
        </w:rPr>
        <w:t>;</w:t>
      </w:r>
    </w:p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 xml:space="preserve">- The subsoil user creates and </w:t>
      </w:r>
      <w:r w:rsidRPr="00715EC7">
        <w:rPr>
          <w:sz w:val="24"/>
          <w:szCs w:val="24"/>
        </w:rPr>
        <w:t xml:space="preserve">transmits </w:t>
      </w:r>
      <w:r w:rsidRPr="00715EC7">
        <w:rPr>
          <w:sz w:val="24"/>
          <w:szCs w:val="24"/>
          <w:lang w:val="en-US"/>
        </w:rPr>
        <w:t xml:space="preserve">standard samples of rocks and minerals to the State </w:t>
      </w:r>
      <w:r w:rsidR="00980D2C" w:rsidRPr="00715EC7">
        <w:rPr>
          <w:sz w:val="24"/>
          <w:szCs w:val="24"/>
        </w:rPr>
        <w:t xml:space="preserve">Geological Information </w:t>
      </w:r>
      <w:r w:rsidRPr="00715EC7">
        <w:rPr>
          <w:sz w:val="24"/>
          <w:szCs w:val="24"/>
          <w:lang w:val="en-US"/>
        </w:rPr>
        <w:t>Fund;</w:t>
      </w:r>
    </w:p>
    <w:p w:rsidR="00321F44" w:rsidRPr="00980D2C" w:rsidRDefault="00321F44" w:rsidP="006935BA">
      <w:pPr>
        <w:spacing w:after="120"/>
        <w:jc w:val="both"/>
        <w:rPr>
          <w:sz w:val="24"/>
          <w:szCs w:val="24"/>
          <w:lang w:val="uk-UA"/>
        </w:rPr>
      </w:pPr>
      <w:r w:rsidRPr="00715EC7">
        <w:rPr>
          <w:sz w:val="24"/>
          <w:szCs w:val="24"/>
        </w:rPr>
        <w:t xml:space="preserve">- State Geological Information Fund creates and maintains </w:t>
      </w:r>
      <w:r w:rsidRPr="00715EC7">
        <w:rPr>
          <w:sz w:val="24"/>
          <w:szCs w:val="24"/>
          <w:lang w:val="en-US"/>
        </w:rPr>
        <w:t>the</w:t>
      </w:r>
      <w:r w:rsidRPr="00715EC7">
        <w:rPr>
          <w:sz w:val="24"/>
          <w:szCs w:val="24"/>
        </w:rPr>
        <w:t xml:space="preserve"> public electronic register of available geological information indicating its owner.</w:t>
      </w:r>
      <w:r w:rsidR="00980D2C">
        <w:rPr>
          <w:sz w:val="24"/>
          <w:szCs w:val="24"/>
          <w:lang w:val="uk-UA"/>
        </w:rPr>
        <w:t xml:space="preserve"> </w:t>
      </w:r>
    </w:p>
    <w:p w:rsidR="00321F44" w:rsidRPr="00715EC7" w:rsidRDefault="00321F44" w:rsidP="00321F44">
      <w:pPr>
        <w:spacing w:after="120"/>
        <w:rPr>
          <w:b/>
          <w:sz w:val="24"/>
          <w:szCs w:val="24"/>
          <w:lang w:val="en-US"/>
        </w:rPr>
      </w:pPr>
      <w:r w:rsidRPr="00715EC7">
        <w:rPr>
          <w:b/>
          <w:sz w:val="24"/>
          <w:szCs w:val="24"/>
          <w:lang w:val="en-US"/>
        </w:rPr>
        <w:t>II. THE RIGHT TO SUBSOIL USE:</w:t>
      </w:r>
    </w:p>
    <w:p w:rsidR="00321F44" w:rsidRPr="00715EC7" w:rsidRDefault="00321F44" w:rsidP="00321F44">
      <w:pPr>
        <w:spacing w:after="120"/>
        <w:rPr>
          <w:sz w:val="24"/>
          <w:szCs w:val="24"/>
          <w:lang w:val="en-US"/>
        </w:rPr>
      </w:pPr>
      <w:r w:rsidRPr="00715EC7">
        <w:rPr>
          <w:sz w:val="24"/>
          <w:szCs w:val="24"/>
          <w:u w:val="single"/>
          <w:lang w:val="en-US"/>
        </w:rPr>
        <w:t>Documents that Establish the Right to Subsoil Use:</w:t>
      </w:r>
      <w:r w:rsidRPr="00715EC7">
        <w:rPr>
          <w:sz w:val="24"/>
          <w:szCs w:val="24"/>
          <w:u w:val="single"/>
          <w:lang w:val="en-US"/>
        </w:rPr>
        <w:br/>
      </w:r>
      <w:r w:rsidRPr="00715EC7">
        <w:rPr>
          <w:sz w:val="24"/>
          <w:szCs w:val="24"/>
          <w:lang w:val="en-US"/>
        </w:rPr>
        <w:t>- Agreement on the subsoil use (optional: special permits and agreement on the subsoil use);</w:t>
      </w:r>
      <w:r w:rsidRPr="00715EC7">
        <w:rPr>
          <w:sz w:val="24"/>
          <w:szCs w:val="24"/>
          <w:u w:val="single"/>
          <w:lang w:val="en-US"/>
        </w:rPr>
        <w:br/>
      </w:r>
      <w:r w:rsidRPr="00715EC7">
        <w:rPr>
          <w:sz w:val="24"/>
          <w:szCs w:val="24"/>
          <w:lang w:val="en-US"/>
        </w:rPr>
        <w:t>- Production sharing agreements (PSA);</w:t>
      </w:r>
      <w:r w:rsidRPr="00715EC7">
        <w:rPr>
          <w:sz w:val="24"/>
          <w:szCs w:val="24"/>
          <w:u w:val="single"/>
          <w:lang w:val="en-US"/>
        </w:rPr>
        <w:br/>
      </w:r>
      <w:r w:rsidRPr="00715EC7">
        <w:rPr>
          <w:sz w:val="24"/>
          <w:szCs w:val="24"/>
          <w:lang w:val="en-US"/>
        </w:rPr>
        <w:t>- Previously issued special permits continue to operate</w:t>
      </w:r>
      <w:r w:rsidR="00980D2C">
        <w:rPr>
          <w:sz w:val="24"/>
          <w:szCs w:val="24"/>
          <w:lang w:val="en-US"/>
        </w:rPr>
        <w:t>;</w:t>
      </w:r>
      <w:r w:rsidRPr="00715EC7">
        <w:rPr>
          <w:sz w:val="24"/>
          <w:szCs w:val="24"/>
          <w:lang w:val="en-US"/>
        </w:rPr>
        <w:t xml:space="preserve"> </w:t>
      </w:r>
      <w:r w:rsidR="00980D2C">
        <w:rPr>
          <w:sz w:val="24"/>
          <w:szCs w:val="24"/>
          <w:lang w:val="en-US"/>
        </w:rPr>
        <w:t>subject to request of</w:t>
      </w:r>
      <w:r w:rsidRPr="00715EC7">
        <w:rPr>
          <w:sz w:val="24"/>
          <w:szCs w:val="24"/>
          <w:lang w:val="en-US"/>
        </w:rPr>
        <w:t xml:space="preserve"> a </w:t>
      </w:r>
      <w:r w:rsidR="00980D2C" w:rsidRPr="00715EC7">
        <w:rPr>
          <w:sz w:val="24"/>
          <w:szCs w:val="24"/>
          <w:lang w:val="en-US"/>
        </w:rPr>
        <w:t>subsoil</w:t>
      </w:r>
      <w:r w:rsidRPr="00715EC7">
        <w:rPr>
          <w:sz w:val="24"/>
          <w:szCs w:val="24"/>
          <w:lang w:val="en-US"/>
        </w:rPr>
        <w:t xml:space="preserve"> user </w:t>
      </w:r>
      <w:r w:rsidR="00980D2C">
        <w:rPr>
          <w:sz w:val="24"/>
          <w:szCs w:val="24"/>
          <w:lang w:val="en-US"/>
        </w:rPr>
        <w:t xml:space="preserve">it can be </w:t>
      </w:r>
      <w:r w:rsidRPr="00715EC7">
        <w:rPr>
          <w:sz w:val="24"/>
          <w:szCs w:val="24"/>
          <w:lang w:val="en-US"/>
        </w:rPr>
        <w:t xml:space="preserve">replaced </w:t>
      </w:r>
      <w:proofErr w:type="gramStart"/>
      <w:r w:rsidR="00980D2C">
        <w:rPr>
          <w:sz w:val="24"/>
          <w:szCs w:val="24"/>
          <w:lang w:val="en-US"/>
        </w:rPr>
        <w:t xml:space="preserve">by </w:t>
      </w:r>
      <w:r w:rsidRPr="00715EC7">
        <w:rPr>
          <w:sz w:val="24"/>
          <w:szCs w:val="24"/>
          <w:lang w:val="en-US"/>
        </w:rPr>
        <w:t xml:space="preserve"> contracts</w:t>
      </w:r>
      <w:proofErr w:type="gramEnd"/>
      <w:r w:rsidRPr="00715EC7">
        <w:rPr>
          <w:sz w:val="24"/>
          <w:szCs w:val="24"/>
          <w:lang w:val="en-US"/>
        </w:rPr>
        <w:t xml:space="preserve"> on subsoil use </w:t>
      </w:r>
      <w:r w:rsidR="00980D2C">
        <w:rPr>
          <w:sz w:val="24"/>
          <w:szCs w:val="24"/>
          <w:lang w:val="en-US"/>
        </w:rPr>
        <w:t>on</w:t>
      </w:r>
      <w:r w:rsidRPr="00715EC7">
        <w:rPr>
          <w:sz w:val="24"/>
          <w:szCs w:val="24"/>
          <w:lang w:val="en-US"/>
        </w:rPr>
        <w:t xml:space="preserve"> unpaid basis.</w:t>
      </w:r>
    </w:p>
    <w:p w:rsidR="00321F44" w:rsidRPr="00715EC7" w:rsidRDefault="00321F44" w:rsidP="00321F44">
      <w:pPr>
        <w:spacing w:after="120"/>
        <w:rPr>
          <w:sz w:val="24"/>
          <w:szCs w:val="24"/>
          <w:u w:val="single"/>
          <w:lang w:val="en-US"/>
        </w:rPr>
      </w:pPr>
      <w:r w:rsidRPr="00715EC7">
        <w:rPr>
          <w:sz w:val="24"/>
          <w:szCs w:val="24"/>
          <w:u w:val="single"/>
          <w:lang w:val="en-US"/>
        </w:rPr>
        <w:t>Types and Terms of Subsoil Use:</w:t>
      </w:r>
      <w:r w:rsidRPr="00715EC7">
        <w:rPr>
          <w:sz w:val="24"/>
          <w:szCs w:val="24"/>
          <w:u w:val="single"/>
          <w:lang w:val="en-US"/>
        </w:rPr>
        <w:br/>
      </w:r>
      <w:r w:rsidRPr="00715EC7">
        <w:rPr>
          <w:sz w:val="24"/>
          <w:szCs w:val="24"/>
          <w:u w:val="single"/>
          <w:lang w:val="en-US"/>
        </w:rPr>
        <w:br/>
      </w:r>
      <w:r w:rsidRPr="00715EC7">
        <w:rPr>
          <w:sz w:val="24"/>
          <w:szCs w:val="24"/>
          <w:lang w:val="en-US"/>
        </w:rPr>
        <w:t>- Geological exploration - 10 years;</w:t>
      </w:r>
      <w:r w:rsidRPr="00715EC7">
        <w:rPr>
          <w:sz w:val="24"/>
          <w:szCs w:val="24"/>
          <w:u w:val="single"/>
          <w:lang w:val="en-US"/>
        </w:rPr>
        <w:br/>
      </w:r>
      <w:r w:rsidRPr="00715EC7">
        <w:rPr>
          <w:sz w:val="24"/>
          <w:szCs w:val="24"/>
          <w:lang w:val="en-US"/>
        </w:rPr>
        <w:t>- Geological exploration with subsequent production - 25 years</w:t>
      </w:r>
      <w:r w:rsidR="00980D2C">
        <w:rPr>
          <w:sz w:val="24"/>
          <w:szCs w:val="24"/>
          <w:lang w:val="en-US"/>
        </w:rPr>
        <w:t>;</w:t>
      </w:r>
      <w:r w:rsidRPr="00715EC7">
        <w:rPr>
          <w:sz w:val="24"/>
          <w:szCs w:val="24"/>
          <w:lang w:val="en-US"/>
        </w:rPr>
        <w:t xml:space="preserve"> 40 years on shelf;</w:t>
      </w:r>
      <w:r w:rsidRPr="00715EC7">
        <w:rPr>
          <w:sz w:val="24"/>
          <w:szCs w:val="24"/>
          <w:u w:val="single"/>
          <w:lang w:val="en-US"/>
        </w:rPr>
        <w:br/>
      </w:r>
      <w:r w:rsidRPr="00715EC7">
        <w:rPr>
          <w:sz w:val="24"/>
          <w:szCs w:val="24"/>
          <w:lang w:val="en-US"/>
        </w:rPr>
        <w:t>- Production - 20 years</w:t>
      </w:r>
      <w:r w:rsidR="00980D2C">
        <w:rPr>
          <w:sz w:val="24"/>
          <w:szCs w:val="24"/>
          <w:lang w:val="en-US"/>
        </w:rPr>
        <w:t>;</w:t>
      </w:r>
      <w:r w:rsidRPr="00715EC7">
        <w:rPr>
          <w:sz w:val="24"/>
          <w:szCs w:val="24"/>
          <w:lang w:val="en-US"/>
        </w:rPr>
        <w:t xml:space="preserve"> 30 years shelf;</w:t>
      </w:r>
      <w:r w:rsidRPr="00715EC7">
        <w:rPr>
          <w:sz w:val="24"/>
          <w:szCs w:val="24"/>
          <w:u w:val="single"/>
          <w:lang w:val="en-US"/>
        </w:rPr>
        <w:br/>
      </w:r>
      <w:r w:rsidRPr="00715EC7">
        <w:rPr>
          <w:sz w:val="24"/>
          <w:szCs w:val="24"/>
          <w:lang w:val="en-US"/>
        </w:rPr>
        <w:t xml:space="preserve">- subsoil use not related to </w:t>
      </w:r>
      <w:r w:rsidR="00980D2C">
        <w:rPr>
          <w:sz w:val="24"/>
          <w:szCs w:val="24"/>
          <w:lang w:val="en-US"/>
        </w:rPr>
        <w:t>production/</w:t>
      </w:r>
      <w:r w:rsidRPr="00715EC7">
        <w:rPr>
          <w:sz w:val="24"/>
          <w:szCs w:val="24"/>
          <w:lang w:val="en-US"/>
        </w:rPr>
        <w:t>mining (underground storage facilities, the use of groundwater for personal, industrial, agricultural needs, medical resources) - 20, 50 years.</w:t>
      </w:r>
    </w:p>
    <w:p w:rsidR="00321F44" w:rsidRPr="00715EC7" w:rsidRDefault="00321F44" w:rsidP="00321F44">
      <w:pPr>
        <w:spacing w:after="120"/>
        <w:rPr>
          <w:sz w:val="24"/>
          <w:szCs w:val="24"/>
          <w:u w:val="single"/>
          <w:lang w:val="en-US"/>
        </w:rPr>
      </w:pPr>
      <w:r w:rsidRPr="00715EC7">
        <w:rPr>
          <w:sz w:val="24"/>
          <w:szCs w:val="24"/>
          <w:u w:val="single"/>
          <w:lang w:val="en-US"/>
        </w:rPr>
        <w:t>Subsoil Users:</w:t>
      </w:r>
    </w:p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 xml:space="preserve">- Foreign legal entities or individuals may be </w:t>
      </w:r>
      <w:r w:rsidR="00980D2C">
        <w:rPr>
          <w:sz w:val="24"/>
          <w:szCs w:val="24"/>
          <w:lang w:val="en-US"/>
        </w:rPr>
        <w:t xml:space="preserve">considered as subsoil users </w:t>
      </w:r>
      <w:r w:rsidRPr="00715EC7">
        <w:rPr>
          <w:sz w:val="24"/>
          <w:szCs w:val="24"/>
          <w:lang w:val="en-US"/>
        </w:rPr>
        <w:t>(with the obligation to be registered as a taxpayer / to open a representative office or establish a subsidiary company within 3 months after the receipt of subsoil use rights)</w:t>
      </w:r>
      <w:r w:rsidR="00980D2C">
        <w:rPr>
          <w:sz w:val="24"/>
          <w:szCs w:val="24"/>
          <w:lang w:val="en-US"/>
        </w:rPr>
        <w:t xml:space="preserve"> </w:t>
      </w:r>
    </w:p>
    <w:p w:rsidR="00321F44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>- The subsoil user in the subsoil usage agreement may be represented by two or more persons, each of whom receives a certain share of subsoil use rights</w:t>
      </w:r>
      <w:r w:rsidR="00980D2C">
        <w:rPr>
          <w:sz w:val="24"/>
          <w:szCs w:val="24"/>
          <w:lang w:val="en-US"/>
        </w:rPr>
        <w:t>;</w:t>
      </w:r>
      <w:r w:rsidRPr="00715EC7">
        <w:rPr>
          <w:sz w:val="24"/>
          <w:szCs w:val="24"/>
          <w:lang w:val="en-US"/>
        </w:rPr>
        <w:t xml:space="preserve"> in this case the operator is elected </w:t>
      </w:r>
      <w:r w:rsidR="00980D2C" w:rsidRPr="00715EC7">
        <w:rPr>
          <w:sz w:val="24"/>
          <w:szCs w:val="24"/>
          <w:lang w:val="en-US"/>
        </w:rPr>
        <w:t>among such persons</w:t>
      </w:r>
      <w:r w:rsidR="00980D2C">
        <w:rPr>
          <w:sz w:val="24"/>
          <w:szCs w:val="24"/>
          <w:lang w:val="en-US"/>
        </w:rPr>
        <w:t>;</w:t>
      </w:r>
      <w:r w:rsidR="00980D2C" w:rsidRPr="00715EC7">
        <w:rPr>
          <w:sz w:val="24"/>
          <w:szCs w:val="24"/>
          <w:lang w:val="en-US"/>
        </w:rPr>
        <w:t xml:space="preserve"> the operator</w:t>
      </w:r>
      <w:r w:rsidRPr="00715EC7">
        <w:rPr>
          <w:sz w:val="24"/>
          <w:szCs w:val="24"/>
          <w:lang w:val="en-US"/>
        </w:rPr>
        <w:t xml:space="preserve"> has the authority to represent all persons on </w:t>
      </w:r>
      <w:r w:rsidR="00980D2C">
        <w:rPr>
          <w:sz w:val="24"/>
          <w:szCs w:val="24"/>
          <w:lang w:val="en-US"/>
        </w:rPr>
        <w:t>behalf</w:t>
      </w:r>
      <w:r w:rsidRPr="00715EC7">
        <w:rPr>
          <w:sz w:val="24"/>
          <w:szCs w:val="24"/>
          <w:lang w:val="en-US"/>
        </w:rPr>
        <w:t xml:space="preserve"> of the subsoil user </w:t>
      </w:r>
      <w:r w:rsidR="00980D2C">
        <w:rPr>
          <w:sz w:val="24"/>
          <w:szCs w:val="24"/>
          <w:lang w:val="en-US"/>
        </w:rPr>
        <w:t>to</w:t>
      </w:r>
      <w:r w:rsidRPr="00715EC7">
        <w:rPr>
          <w:sz w:val="24"/>
          <w:szCs w:val="24"/>
          <w:lang w:val="en-US"/>
        </w:rPr>
        <w:t xml:space="preserve"> the state and third parties; relations between persons acting on </w:t>
      </w:r>
      <w:r w:rsidR="00980D2C">
        <w:rPr>
          <w:sz w:val="24"/>
          <w:szCs w:val="24"/>
          <w:lang w:val="en-US"/>
        </w:rPr>
        <w:t>behalf</w:t>
      </w:r>
      <w:r w:rsidRPr="00715EC7">
        <w:rPr>
          <w:sz w:val="24"/>
          <w:szCs w:val="24"/>
          <w:lang w:val="en-US"/>
        </w:rPr>
        <w:t xml:space="preserve"> of the subsoil user are regulated by the operating agreement</w:t>
      </w:r>
      <w:r w:rsidR="004C259F">
        <w:rPr>
          <w:sz w:val="24"/>
          <w:szCs w:val="24"/>
          <w:lang w:val="en-US"/>
        </w:rPr>
        <w:t>;</w:t>
      </w:r>
    </w:p>
    <w:p w:rsidR="004C259F" w:rsidRDefault="004C259F" w:rsidP="006935BA">
      <w:pPr>
        <w:spacing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S</w:t>
      </w:r>
      <w:r w:rsidRPr="00715EC7">
        <w:rPr>
          <w:sz w:val="24"/>
          <w:szCs w:val="24"/>
          <w:lang w:val="en-US"/>
        </w:rPr>
        <w:t>ubsoil user</w:t>
      </w:r>
      <w:r>
        <w:rPr>
          <w:sz w:val="24"/>
          <w:szCs w:val="24"/>
          <w:lang w:val="en-US"/>
        </w:rPr>
        <w:t>s can conclude investment contracts, joint activity agreements; the subsoil user (a person with whom the subsoil use contract is signed) should be a joint activity operator under joint activity agreements with state companies;</w:t>
      </w:r>
    </w:p>
    <w:p w:rsidR="004C259F" w:rsidRPr="004C259F" w:rsidRDefault="004C259F" w:rsidP="00321F44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State companies hold public auctions for partners under joint activity agreements.</w:t>
      </w:r>
    </w:p>
    <w:p w:rsidR="009D17F8" w:rsidRDefault="009D17F8" w:rsidP="00321F44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lastRenderedPageBreak/>
        <w:t>A</w:t>
      </w:r>
      <w:r w:rsidRPr="009D17F8">
        <w:rPr>
          <w:sz w:val="24"/>
          <w:szCs w:val="24"/>
          <w:u w:val="single"/>
          <w:lang w:val="en-US"/>
        </w:rPr>
        <w:t xml:space="preserve">cquisition </w:t>
      </w:r>
      <w:r w:rsidR="00321F44" w:rsidRPr="00715EC7">
        <w:rPr>
          <w:sz w:val="24"/>
          <w:szCs w:val="24"/>
          <w:u w:val="single"/>
          <w:lang w:val="en-US"/>
        </w:rPr>
        <w:t>of Subsoil Use Right:</w:t>
      </w:r>
      <w:r w:rsidR="00321F44" w:rsidRPr="00715EC7">
        <w:rPr>
          <w:sz w:val="24"/>
          <w:szCs w:val="24"/>
          <w:lang w:val="en-US"/>
        </w:rPr>
        <w:br/>
        <w:t xml:space="preserve">- </w:t>
      </w:r>
      <w:r w:rsidR="00980D2C">
        <w:rPr>
          <w:sz w:val="24"/>
          <w:szCs w:val="24"/>
          <w:lang w:val="en-US"/>
        </w:rPr>
        <w:t xml:space="preserve">based on </w:t>
      </w:r>
      <w:r w:rsidR="00321F44" w:rsidRPr="00715EC7">
        <w:rPr>
          <w:sz w:val="24"/>
          <w:szCs w:val="24"/>
          <w:lang w:val="en-US"/>
        </w:rPr>
        <w:t>results of the auction;</w:t>
      </w:r>
    </w:p>
    <w:p w:rsidR="00321F44" w:rsidRPr="00715EC7" w:rsidRDefault="009D17F8" w:rsidP="00321F44">
      <w:pPr>
        <w:spacing w:after="120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out of </w:t>
      </w:r>
      <w:r w:rsidRPr="00715EC7">
        <w:rPr>
          <w:sz w:val="24"/>
          <w:szCs w:val="24"/>
          <w:lang w:val="en-US"/>
        </w:rPr>
        <w:t>auction</w:t>
      </w:r>
      <w:r>
        <w:rPr>
          <w:sz w:val="24"/>
          <w:szCs w:val="24"/>
          <w:lang w:val="en-US"/>
        </w:rPr>
        <w:t>, subject to conditions strictly prescribed by legislation</w:t>
      </w:r>
      <w:r w:rsidRPr="00715EC7">
        <w:rPr>
          <w:sz w:val="24"/>
          <w:szCs w:val="24"/>
          <w:lang w:val="en-US"/>
        </w:rPr>
        <w:t>;</w:t>
      </w:r>
      <w:r w:rsidR="00321F44" w:rsidRPr="00715EC7">
        <w:rPr>
          <w:sz w:val="24"/>
          <w:szCs w:val="24"/>
          <w:lang w:val="en-US"/>
        </w:rPr>
        <w:br/>
        <w:t xml:space="preserve">- </w:t>
      </w:r>
      <w:r w:rsidR="00980D2C">
        <w:rPr>
          <w:sz w:val="24"/>
          <w:szCs w:val="24"/>
          <w:lang w:val="en-US"/>
        </w:rPr>
        <w:t xml:space="preserve">absence of </w:t>
      </w:r>
      <w:r w:rsidR="00321F44" w:rsidRPr="00715EC7">
        <w:rPr>
          <w:sz w:val="24"/>
          <w:szCs w:val="24"/>
          <w:lang w:val="en-US"/>
        </w:rPr>
        <w:t>preferences</w:t>
      </w:r>
      <w:r w:rsidR="00980D2C">
        <w:rPr>
          <w:sz w:val="24"/>
          <w:szCs w:val="24"/>
          <w:lang w:val="en-US"/>
        </w:rPr>
        <w:t xml:space="preserve"> for state companies to obtain </w:t>
      </w:r>
      <w:r w:rsidR="00321F44" w:rsidRPr="00715EC7">
        <w:rPr>
          <w:sz w:val="24"/>
          <w:szCs w:val="24"/>
          <w:lang w:val="en-US"/>
        </w:rPr>
        <w:t xml:space="preserve">subsoil use </w:t>
      </w:r>
      <w:r w:rsidR="00980D2C">
        <w:rPr>
          <w:sz w:val="24"/>
          <w:szCs w:val="24"/>
          <w:lang w:val="en-US"/>
        </w:rPr>
        <w:t xml:space="preserve">out of </w:t>
      </w:r>
      <w:r w:rsidR="00321F44" w:rsidRPr="00715EC7">
        <w:rPr>
          <w:sz w:val="24"/>
          <w:szCs w:val="24"/>
          <w:lang w:val="en-US"/>
        </w:rPr>
        <w:t>auction;</w:t>
      </w:r>
      <w:r w:rsidR="00321F44" w:rsidRPr="00715EC7">
        <w:rPr>
          <w:sz w:val="24"/>
          <w:szCs w:val="24"/>
          <w:lang w:val="en-US"/>
        </w:rPr>
        <w:br/>
        <w:t xml:space="preserve">- </w:t>
      </w:r>
      <w:r>
        <w:rPr>
          <w:sz w:val="24"/>
          <w:szCs w:val="24"/>
          <w:lang w:val="en-US"/>
        </w:rPr>
        <w:t xml:space="preserve">based on </w:t>
      </w:r>
      <w:r w:rsidR="00321F44" w:rsidRPr="00715EC7">
        <w:rPr>
          <w:sz w:val="24"/>
          <w:szCs w:val="24"/>
          <w:lang w:val="en-US"/>
        </w:rPr>
        <w:t xml:space="preserve">production sharing agreement </w:t>
      </w:r>
      <w:r>
        <w:rPr>
          <w:sz w:val="24"/>
          <w:szCs w:val="24"/>
          <w:lang w:val="en-US"/>
        </w:rPr>
        <w:t xml:space="preserve">to be concluded under </w:t>
      </w:r>
      <w:r w:rsidR="00321F44" w:rsidRPr="00715EC7">
        <w:rPr>
          <w:sz w:val="24"/>
          <w:szCs w:val="24"/>
          <w:lang w:val="en-US"/>
        </w:rPr>
        <w:t>the Law of Ukraine "On Production Sharing Agreements";</w:t>
      </w:r>
      <w:r w:rsidR="00321F44" w:rsidRPr="00715EC7">
        <w:rPr>
          <w:sz w:val="24"/>
          <w:szCs w:val="24"/>
          <w:lang w:val="en-US"/>
        </w:rPr>
        <w:br/>
        <w:t>- based on civil law transactions.</w:t>
      </w:r>
    </w:p>
    <w:p w:rsidR="00321F44" w:rsidRPr="00715EC7" w:rsidRDefault="00321F44" w:rsidP="00321F44">
      <w:pPr>
        <w:spacing w:after="120"/>
        <w:rPr>
          <w:sz w:val="24"/>
          <w:szCs w:val="24"/>
          <w:lang w:val="en-US"/>
        </w:rPr>
      </w:pPr>
      <w:r w:rsidRPr="00715EC7">
        <w:rPr>
          <w:sz w:val="24"/>
          <w:szCs w:val="24"/>
          <w:u w:val="single"/>
          <w:lang w:val="en-US"/>
        </w:rPr>
        <w:t>Auction:</w:t>
      </w:r>
      <w:r w:rsidRPr="00715EC7">
        <w:rPr>
          <w:sz w:val="24"/>
          <w:szCs w:val="24"/>
          <w:u w:val="single"/>
          <w:lang w:val="en-US"/>
        </w:rPr>
        <w:br/>
      </w:r>
      <w:r w:rsidRPr="00715EC7">
        <w:rPr>
          <w:sz w:val="24"/>
          <w:szCs w:val="24"/>
          <w:lang w:val="en-US"/>
        </w:rPr>
        <w:t>- All stages of auction are open</w:t>
      </w:r>
      <w:r w:rsidR="009D17F8">
        <w:rPr>
          <w:sz w:val="24"/>
          <w:szCs w:val="24"/>
          <w:lang w:val="en-US"/>
        </w:rPr>
        <w:t>, transparent</w:t>
      </w:r>
      <w:r w:rsidRPr="00715EC7">
        <w:rPr>
          <w:sz w:val="24"/>
          <w:szCs w:val="24"/>
          <w:lang w:val="en-US"/>
        </w:rPr>
        <w:t xml:space="preserve"> and public;</w:t>
      </w:r>
      <w:r w:rsidRPr="00715EC7">
        <w:rPr>
          <w:sz w:val="24"/>
          <w:szCs w:val="24"/>
          <w:lang w:val="en-US"/>
        </w:rPr>
        <w:br/>
        <w:t>- The central executive authority organize</w:t>
      </w:r>
      <w:r w:rsidR="009D17F8">
        <w:rPr>
          <w:sz w:val="24"/>
          <w:szCs w:val="24"/>
          <w:lang w:val="en-US"/>
        </w:rPr>
        <w:t>s</w:t>
      </w:r>
      <w:r w:rsidRPr="00715EC7">
        <w:rPr>
          <w:sz w:val="24"/>
          <w:szCs w:val="24"/>
          <w:lang w:val="en-US"/>
        </w:rPr>
        <w:t xml:space="preserve"> </w:t>
      </w:r>
      <w:r w:rsidR="009D17F8">
        <w:rPr>
          <w:sz w:val="24"/>
          <w:szCs w:val="24"/>
          <w:lang w:val="en-US"/>
        </w:rPr>
        <w:t>an</w:t>
      </w:r>
      <w:r w:rsidRPr="00715EC7">
        <w:rPr>
          <w:sz w:val="24"/>
          <w:szCs w:val="24"/>
          <w:lang w:val="en-US"/>
        </w:rPr>
        <w:t xml:space="preserve"> auction;</w:t>
      </w:r>
      <w:r w:rsidRPr="00715EC7">
        <w:rPr>
          <w:sz w:val="24"/>
          <w:szCs w:val="24"/>
          <w:lang w:val="en-US"/>
        </w:rPr>
        <w:br/>
        <w:t>- Auctions for subsoil area can be initiated by stakeholders;</w:t>
      </w:r>
      <w:r w:rsidRPr="00715EC7">
        <w:rPr>
          <w:sz w:val="24"/>
          <w:szCs w:val="24"/>
          <w:lang w:val="en-US"/>
        </w:rPr>
        <w:br/>
        <w:t>- The organizer of the auction establishes qualification requirements for participants and minim</w:t>
      </w:r>
      <w:r w:rsidR="009D17F8">
        <w:rPr>
          <w:sz w:val="24"/>
          <w:szCs w:val="24"/>
          <w:lang w:val="en-US"/>
        </w:rPr>
        <w:t xml:space="preserve">um </w:t>
      </w:r>
      <w:r w:rsidRPr="00715EC7">
        <w:rPr>
          <w:sz w:val="24"/>
          <w:szCs w:val="24"/>
          <w:lang w:val="en-US"/>
        </w:rPr>
        <w:t xml:space="preserve">obligations </w:t>
      </w:r>
      <w:r w:rsidR="009D17F8">
        <w:rPr>
          <w:sz w:val="24"/>
          <w:szCs w:val="24"/>
          <w:lang w:val="en-US"/>
        </w:rPr>
        <w:t xml:space="preserve">regarding works on the </w:t>
      </w:r>
      <w:r w:rsidRPr="00715EC7">
        <w:rPr>
          <w:sz w:val="24"/>
          <w:szCs w:val="24"/>
          <w:lang w:val="en-US"/>
        </w:rPr>
        <w:t>subsoil area (minim</w:t>
      </w:r>
      <w:r w:rsidR="009D17F8">
        <w:rPr>
          <w:sz w:val="24"/>
          <w:szCs w:val="24"/>
          <w:lang w:val="en-US"/>
        </w:rPr>
        <w:t>um</w:t>
      </w:r>
      <w:r w:rsidRPr="00715EC7">
        <w:rPr>
          <w:sz w:val="24"/>
          <w:szCs w:val="24"/>
          <w:lang w:val="en-US"/>
        </w:rPr>
        <w:t xml:space="preserve"> amount of works and/or liabilit</w:t>
      </w:r>
      <w:r w:rsidR="009D17F8">
        <w:rPr>
          <w:sz w:val="24"/>
          <w:szCs w:val="24"/>
          <w:lang w:val="en-US"/>
        </w:rPr>
        <w:t>y</w:t>
      </w:r>
      <w:r w:rsidRPr="00715EC7">
        <w:rPr>
          <w:sz w:val="24"/>
          <w:szCs w:val="24"/>
          <w:lang w:val="en-US"/>
        </w:rPr>
        <w:t>) no</w:t>
      </w:r>
      <w:r w:rsidR="009D17F8">
        <w:rPr>
          <w:sz w:val="24"/>
          <w:szCs w:val="24"/>
          <w:lang w:val="en-US"/>
        </w:rPr>
        <w:t>t</w:t>
      </w:r>
      <w:r w:rsidRPr="00715EC7">
        <w:rPr>
          <w:sz w:val="24"/>
          <w:szCs w:val="24"/>
          <w:lang w:val="en-US"/>
        </w:rPr>
        <w:t xml:space="preserve"> later than 90 days before </w:t>
      </w:r>
      <w:r w:rsidR="009D17F8">
        <w:rPr>
          <w:sz w:val="24"/>
          <w:szCs w:val="24"/>
          <w:lang w:val="en-US"/>
        </w:rPr>
        <w:t xml:space="preserve">an </w:t>
      </w:r>
      <w:r w:rsidRPr="00715EC7">
        <w:rPr>
          <w:sz w:val="24"/>
          <w:szCs w:val="24"/>
          <w:lang w:val="en-US"/>
        </w:rPr>
        <w:t>auction;</w:t>
      </w:r>
      <w:r w:rsidRPr="00715EC7">
        <w:rPr>
          <w:sz w:val="24"/>
          <w:szCs w:val="24"/>
          <w:lang w:val="en-US"/>
        </w:rPr>
        <w:br/>
        <w:t xml:space="preserve">- The auction is held </w:t>
      </w:r>
      <w:r w:rsidR="009D17F8">
        <w:rPr>
          <w:sz w:val="24"/>
          <w:szCs w:val="24"/>
          <w:lang w:val="en-US"/>
        </w:rPr>
        <w:t>if</w:t>
      </w:r>
      <w:r w:rsidRPr="00715EC7">
        <w:rPr>
          <w:sz w:val="24"/>
          <w:szCs w:val="24"/>
          <w:lang w:val="en-US"/>
        </w:rPr>
        <w:t xml:space="preserve"> at least one candidate</w:t>
      </w:r>
      <w:r w:rsidR="002E2520">
        <w:rPr>
          <w:sz w:val="24"/>
          <w:szCs w:val="24"/>
          <w:lang w:val="en-US"/>
        </w:rPr>
        <w:t xml:space="preserve"> is present</w:t>
      </w:r>
      <w:r w:rsidRPr="00715EC7">
        <w:rPr>
          <w:sz w:val="24"/>
          <w:szCs w:val="24"/>
          <w:lang w:val="en-US"/>
        </w:rPr>
        <w:t>;</w:t>
      </w:r>
      <w:r w:rsidRPr="00715EC7">
        <w:rPr>
          <w:sz w:val="24"/>
          <w:szCs w:val="24"/>
          <w:lang w:val="en-US"/>
        </w:rPr>
        <w:br/>
        <w:t>- The auction winner is the person who offered the highest price.</w:t>
      </w:r>
    </w:p>
    <w:p w:rsidR="00321F44" w:rsidRPr="00715EC7" w:rsidRDefault="00321F44" w:rsidP="00321F44">
      <w:pPr>
        <w:spacing w:after="120"/>
        <w:rPr>
          <w:sz w:val="24"/>
          <w:szCs w:val="24"/>
          <w:u w:val="single"/>
          <w:lang w:val="en-US"/>
        </w:rPr>
      </w:pPr>
      <w:r w:rsidRPr="00715EC7">
        <w:rPr>
          <w:sz w:val="24"/>
          <w:szCs w:val="24"/>
          <w:u w:val="single"/>
          <w:lang w:val="en-US"/>
        </w:rPr>
        <w:t xml:space="preserve">Cases of provision of subsoil use right </w:t>
      </w:r>
      <w:r w:rsidR="002E2520">
        <w:rPr>
          <w:sz w:val="24"/>
          <w:szCs w:val="24"/>
          <w:u w:val="single"/>
          <w:lang w:val="en-US"/>
        </w:rPr>
        <w:t>out of</w:t>
      </w:r>
      <w:r w:rsidRPr="00715EC7">
        <w:rPr>
          <w:sz w:val="24"/>
          <w:szCs w:val="24"/>
          <w:u w:val="single"/>
          <w:lang w:val="en-US"/>
        </w:rPr>
        <w:t xml:space="preserve"> auction:</w:t>
      </w:r>
    </w:p>
    <w:p w:rsidR="00321F44" w:rsidRPr="00715EC7" w:rsidRDefault="00321F44" w:rsidP="00321F44">
      <w:pPr>
        <w:spacing w:after="120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 xml:space="preserve">- </w:t>
      </w:r>
      <w:r w:rsidR="002E2520">
        <w:rPr>
          <w:sz w:val="24"/>
          <w:szCs w:val="24"/>
          <w:lang w:val="en-US"/>
        </w:rPr>
        <w:t>in case of p</w:t>
      </w:r>
      <w:r w:rsidRPr="00715EC7">
        <w:rPr>
          <w:sz w:val="24"/>
          <w:szCs w:val="24"/>
          <w:lang w:val="en-US"/>
        </w:rPr>
        <w:t>roduction if the applicant has performed geological study</w:t>
      </w:r>
      <w:r w:rsidR="002E2520">
        <w:rPr>
          <w:sz w:val="24"/>
          <w:szCs w:val="24"/>
          <w:lang w:val="en-US"/>
        </w:rPr>
        <w:t xml:space="preserve"> </w:t>
      </w:r>
      <w:r w:rsidRPr="00715EC7">
        <w:rPr>
          <w:sz w:val="24"/>
          <w:szCs w:val="24"/>
          <w:lang w:val="en-US"/>
        </w:rPr>
        <w:t xml:space="preserve">and calculation of reserves </w:t>
      </w:r>
      <w:r w:rsidR="002E2520">
        <w:rPr>
          <w:sz w:val="24"/>
          <w:szCs w:val="24"/>
          <w:lang w:val="en-US"/>
        </w:rPr>
        <w:t>–</w:t>
      </w:r>
      <w:r w:rsidRPr="00715EC7">
        <w:rPr>
          <w:sz w:val="24"/>
          <w:szCs w:val="24"/>
          <w:lang w:val="en-US"/>
        </w:rPr>
        <w:t xml:space="preserve"> </w:t>
      </w:r>
      <w:r w:rsidR="002E2520">
        <w:rPr>
          <w:sz w:val="24"/>
          <w:szCs w:val="24"/>
          <w:lang w:val="en-US"/>
        </w:rPr>
        <w:t xml:space="preserve">subject to application </w:t>
      </w:r>
      <w:r w:rsidRPr="00715EC7">
        <w:rPr>
          <w:sz w:val="24"/>
          <w:szCs w:val="24"/>
          <w:lang w:val="en-US"/>
        </w:rPr>
        <w:t>of the person who carried out geological exploration and calculation of reserves</w:t>
      </w:r>
      <w:r w:rsidR="002E2520">
        <w:rPr>
          <w:sz w:val="24"/>
          <w:szCs w:val="24"/>
          <w:lang w:val="en-US"/>
        </w:rPr>
        <w:t xml:space="preserve">; other </w:t>
      </w:r>
      <w:r w:rsidRPr="00715EC7">
        <w:rPr>
          <w:sz w:val="24"/>
          <w:szCs w:val="24"/>
          <w:lang w:val="en-US"/>
        </w:rPr>
        <w:t>approval</w:t>
      </w:r>
      <w:r w:rsidR="002E2520">
        <w:rPr>
          <w:sz w:val="24"/>
          <w:szCs w:val="24"/>
          <w:lang w:val="en-US"/>
        </w:rPr>
        <w:t>s</w:t>
      </w:r>
      <w:r w:rsidRPr="00715EC7">
        <w:rPr>
          <w:sz w:val="24"/>
          <w:szCs w:val="24"/>
          <w:lang w:val="en-US"/>
        </w:rPr>
        <w:t xml:space="preserve"> </w:t>
      </w:r>
      <w:r w:rsidR="002E2520">
        <w:rPr>
          <w:sz w:val="24"/>
          <w:szCs w:val="24"/>
          <w:lang w:val="en-US"/>
        </w:rPr>
        <w:t xml:space="preserve">are </w:t>
      </w:r>
      <w:r w:rsidRPr="00715EC7">
        <w:rPr>
          <w:sz w:val="24"/>
          <w:szCs w:val="24"/>
          <w:lang w:val="en-US"/>
        </w:rPr>
        <w:t>not required</w:t>
      </w:r>
      <w:r w:rsidR="002E2520">
        <w:rPr>
          <w:sz w:val="24"/>
          <w:szCs w:val="24"/>
          <w:lang w:val="en-US"/>
        </w:rPr>
        <w:t>;</w:t>
      </w:r>
      <w:r w:rsidRPr="00715EC7">
        <w:rPr>
          <w:sz w:val="24"/>
          <w:szCs w:val="24"/>
          <w:lang w:val="en-US"/>
        </w:rPr>
        <w:t xml:space="preserve"> the term of issuance - 20 working days from the moment of filing of the application.</w:t>
      </w:r>
    </w:p>
    <w:p w:rsidR="00321F44" w:rsidRDefault="00321F44" w:rsidP="00321F44">
      <w:pPr>
        <w:spacing w:after="120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 xml:space="preserve">- </w:t>
      </w:r>
      <w:r w:rsidR="002E2520" w:rsidRPr="00715EC7">
        <w:rPr>
          <w:sz w:val="24"/>
          <w:szCs w:val="24"/>
          <w:lang w:val="en-US"/>
        </w:rPr>
        <w:t xml:space="preserve">subsoil use not related to </w:t>
      </w:r>
      <w:r w:rsidR="002E2520">
        <w:rPr>
          <w:sz w:val="24"/>
          <w:szCs w:val="24"/>
          <w:lang w:val="en-US"/>
        </w:rPr>
        <w:t>production/</w:t>
      </w:r>
      <w:r w:rsidR="002E2520" w:rsidRPr="00715EC7">
        <w:rPr>
          <w:sz w:val="24"/>
          <w:szCs w:val="24"/>
          <w:lang w:val="en-US"/>
        </w:rPr>
        <w:t xml:space="preserve">mining </w:t>
      </w:r>
      <w:r w:rsidRPr="00715EC7">
        <w:rPr>
          <w:sz w:val="24"/>
          <w:szCs w:val="24"/>
          <w:lang w:val="en-US"/>
        </w:rPr>
        <w:t>(underground storage facilities, the use of groundwater for personal, industrial, agricultural needs, medical resources).</w:t>
      </w:r>
    </w:p>
    <w:p w:rsidR="00321F44" w:rsidRPr="00715EC7" w:rsidRDefault="00321F44" w:rsidP="00321F44">
      <w:pPr>
        <w:spacing w:after="120"/>
        <w:rPr>
          <w:sz w:val="24"/>
          <w:szCs w:val="24"/>
          <w:u w:val="single"/>
          <w:lang w:val="en-US"/>
        </w:rPr>
      </w:pPr>
      <w:r w:rsidRPr="00715EC7">
        <w:rPr>
          <w:sz w:val="24"/>
          <w:szCs w:val="24"/>
          <w:u w:val="single"/>
          <w:lang w:val="en-US"/>
        </w:rPr>
        <w:t>Civil-law contracts:</w:t>
      </w:r>
    </w:p>
    <w:p w:rsidR="00321F44" w:rsidRPr="00F95434" w:rsidRDefault="00321F44" w:rsidP="00321F44">
      <w:pPr>
        <w:spacing w:after="120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>- The right to use (its part) may be alienated to other persons</w:t>
      </w:r>
      <w:r w:rsidRPr="00F95434">
        <w:rPr>
          <w:sz w:val="24"/>
          <w:szCs w:val="24"/>
          <w:lang w:val="en-US"/>
        </w:rPr>
        <w:t>.</w:t>
      </w:r>
    </w:p>
    <w:p w:rsidR="00321F44" w:rsidRPr="00FC3D2B" w:rsidRDefault="00321F44" w:rsidP="006935BA">
      <w:pPr>
        <w:spacing w:after="120"/>
        <w:jc w:val="both"/>
        <w:rPr>
          <w:sz w:val="24"/>
          <w:szCs w:val="24"/>
          <w:lang w:val="uk-UA"/>
        </w:rPr>
      </w:pPr>
      <w:r w:rsidRPr="00715EC7">
        <w:rPr>
          <w:sz w:val="24"/>
          <w:szCs w:val="24"/>
          <w:lang w:val="en-US"/>
        </w:rPr>
        <w:t xml:space="preserve">- The subsoil user who has shown willingness to perform alienation is obliged to provide to authorized government authority the information about the acquirer of the rights; the state authority can refuse </w:t>
      </w:r>
      <w:r w:rsidR="00FC3D2B">
        <w:rPr>
          <w:sz w:val="24"/>
          <w:szCs w:val="24"/>
          <w:lang w:val="en-US"/>
        </w:rPr>
        <w:t xml:space="preserve">to </w:t>
      </w:r>
      <w:proofErr w:type="gramStart"/>
      <w:r w:rsidR="00FC3D2B">
        <w:rPr>
          <w:sz w:val="24"/>
          <w:szCs w:val="24"/>
          <w:lang w:val="en-US"/>
        </w:rPr>
        <w:t>issues</w:t>
      </w:r>
      <w:proofErr w:type="gramEnd"/>
      <w:r w:rsidRPr="00715EC7">
        <w:rPr>
          <w:sz w:val="24"/>
          <w:szCs w:val="24"/>
          <w:lang w:val="en-US"/>
        </w:rPr>
        <w:t xml:space="preserve"> the agreement on alienation if the acquirer is not capable to continue the accomplishment of terms of the contract on subsoil use.  </w:t>
      </w:r>
    </w:p>
    <w:p w:rsidR="00321F44" w:rsidRPr="00715EC7" w:rsidRDefault="00321F44" w:rsidP="00321F44">
      <w:pPr>
        <w:spacing w:after="120"/>
        <w:rPr>
          <w:sz w:val="24"/>
          <w:szCs w:val="24"/>
          <w:lang w:val="en-US"/>
        </w:rPr>
      </w:pPr>
      <w:r w:rsidRPr="00715EC7">
        <w:rPr>
          <w:sz w:val="24"/>
          <w:szCs w:val="24"/>
          <w:u w:val="single"/>
        </w:rPr>
        <w:t>Grounds for termination of subsoil use:</w:t>
      </w:r>
      <w:r w:rsidRPr="00715EC7">
        <w:rPr>
          <w:sz w:val="24"/>
          <w:szCs w:val="24"/>
          <w:lang w:val="en-US"/>
        </w:rPr>
        <w:br/>
      </w:r>
      <w:r w:rsidRPr="00715EC7">
        <w:rPr>
          <w:sz w:val="24"/>
          <w:szCs w:val="24"/>
          <w:lang w:val="en-US"/>
        </w:rPr>
        <w:br/>
      </w:r>
      <w:r w:rsidRPr="00715EC7">
        <w:rPr>
          <w:sz w:val="24"/>
          <w:szCs w:val="24"/>
        </w:rPr>
        <w:t xml:space="preserve">- </w:t>
      </w:r>
      <w:r w:rsidR="00FC3D2B">
        <w:rPr>
          <w:sz w:val="24"/>
          <w:szCs w:val="24"/>
        </w:rPr>
        <w:t>E</w:t>
      </w:r>
      <w:r w:rsidR="00FC3D2B" w:rsidRPr="00FC3D2B">
        <w:rPr>
          <w:sz w:val="24"/>
          <w:szCs w:val="24"/>
        </w:rPr>
        <w:t>xpiration of validity</w:t>
      </w:r>
      <w:r w:rsidRPr="00715EC7">
        <w:rPr>
          <w:sz w:val="24"/>
          <w:szCs w:val="24"/>
        </w:rPr>
        <w:t>;</w:t>
      </w:r>
      <w:r w:rsidRPr="00715EC7">
        <w:rPr>
          <w:sz w:val="24"/>
          <w:szCs w:val="24"/>
          <w:lang w:val="en-US"/>
        </w:rPr>
        <w:br/>
      </w:r>
      <w:r w:rsidRPr="00715EC7">
        <w:rPr>
          <w:sz w:val="24"/>
          <w:szCs w:val="24"/>
        </w:rPr>
        <w:t xml:space="preserve">- </w:t>
      </w:r>
      <w:r w:rsidR="00FC3D2B">
        <w:rPr>
          <w:sz w:val="24"/>
          <w:szCs w:val="24"/>
        </w:rPr>
        <w:t>W</w:t>
      </w:r>
      <w:r w:rsidR="00FC3D2B" w:rsidRPr="00FC3D2B">
        <w:rPr>
          <w:sz w:val="24"/>
          <w:szCs w:val="24"/>
        </w:rPr>
        <w:t xml:space="preserve">aiver of </w:t>
      </w:r>
      <w:r w:rsidR="00FC3D2B">
        <w:rPr>
          <w:sz w:val="24"/>
          <w:szCs w:val="24"/>
        </w:rPr>
        <w:t>subsoil user</w:t>
      </w:r>
      <w:r w:rsidR="00FC3D2B" w:rsidRPr="00FC3D2B">
        <w:rPr>
          <w:sz w:val="24"/>
          <w:szCs w:val="24"/>
        </w:rPr>
        <w:t>'s right</w:t>
      </w:r>
      <w:r w:rsidRPr="00715EC7">
        <w:rPr>
          <w:sz w:val="24"/>
          <w:szCs w:val="24"/>
        </w:rPr>
        <w:t>;</w:t>
      </w:r>
      <w:r w:rsidRPr="00715EC7">
        <w:rPr>
          <w:sz w:val="24"/>
          <w:szCs w:val="24"/>
          <w:lang w:val="en-US"/>
        </w:rPr>
        <w:br/>
        <w:t xml:space="preserve">- Liquidation of the legal person or death of the physical person </w:t>
      </w:r>
      <w:r w:rsidR="00FC3D2B">
        <w:rPr>
          <w:sz w:val="24"/>
          <w:szCs w:val="24"/>
          <w:lang w:val="en-US"/>
        </w:rPr>
        <w:t>who are</w:t>
      </w:r>
      <w:r w:rsidRPr="00715EC7">
        <w:rPr>
          <w:sz w:val="24"/>
          <w:szCs w:val="24"/>
          <w:lang w:val="en-US"/>
        </w:rPr>
        <w:t xml:space="preserve"> subsoil user</w:t>
      </w:r>
      <w:r w:rsidR="00FC3D2B">
        <w:rPr>
          <w:sz w:val="24"/>
          <w:szCs w:val="24"/>
          <w:lang w:val="en-US"/>
        </w:rPr>
        <w:t>s</w:t>
      </w:r>
      <w:r w:rsidRPr="00715EC7">
        <w:rPr>
          <w:sz w:val="24"/>
          <w:szCs w:val="24"/>
          <w:lang w:val="en-US"/>
        </w:rPr>
        <w:t>;</w:t>
      </w:r>
      <w:r w:rsidRPr="00715EC7">
        <w:rPr>
          <w:sz w:val="24"/>
          <w:szCs w:val="24"/>
          <w:lang w:val="en-US"/>
        </w:rPr>
        <w:br/>
        <w:t xml:space="preserve">- </w:t>
      </w:r>
      <w:r w:rsidR="00FC3D2B">
        <w:rPr>
          <w:sz w:val="24"/>
          <w:szCs w:val="24"/>
          <w:lang w:val="en-US"/>
        </w:rPr>
        <w:t>Upon c</w:t>
      </w:r>
      <w:proofErr w:type="spellStart"/>
      <w:r w:rsidR="006935BA" w:rsidRPr="00715EC7">
        <w:rPr>
          <w:sz w:val="24"/>
          <w:szCs w:val="24"/>
        </w:rPr>
        <w:t>ou</w:t>
      </w:r>
      <w:r w:rsidR="006935BA">
        <w:rPr>
          <w:sz w:val="24"/>
          <w:szCs w:val="24"/>
        </w:rPr>
        <w:t>rt’s</w:t>
      </w:r>
      <w:proofErr w:type="spellEnd"/>
      <w:r w:rsidRPr="00715EC7">
        <w:rPr>
          <w:sz w:val="24"/>
          <w:szCs w:val="24"/>
        </w:rPr>
        <w:t xml:space="preserve"> decision (</w:t>
      </w:r>
      <w:r w:rsidR="00FC3D2B">
        <w:rPr>
          <w:sz w:val="24"/>
          <w:szCs w:val="24"/>
        </w:rPr>
        <w:t xml:space="preserve">based </w:t>
      </w:r>
      <w:r w:rsidRPr="00715EC7">
        <w:rPr>
          <w:sz w:val="24"/>
          <w:szCs w:val="24"/>
          <w:lang w:val="en-US"/>
        </w:rPr>
        <w:t xml:space="preserve">on </w:t>
      </w:r>
      <w:r w:rsidR="00FC3D2B">
        <w:rPr>
          <w:sz w:val="24"/>
          <w:szCs w:val="24"/>
          <w:lang w:val="en-US"/>
        </w:rPr>
        <w:t xml:space="preserve">the </w:t>
      </w:r>
      <w:r w:rsidRPr="00715EC7">
        <w:rPr>
          <w:sz w:val="24"/>
          <w:szCs w:val="24"/>
          <w:lang w:val="en-US"/>
        </w:rPr>
        <w:t>fact of submission of false data</w:t>
      </w:r>
      <w:r w:rsidR="00FC3D2B">
        <w:rPr>
          <w:sz w:val="24"/>
          <w:szCs w:val="24"/>
        </w:rPr>
        <w:t>;</w:t>
      </w:r>
      <w:r w:rsidRPr="00715EC7">
        <w:rPr>
          <w:sz w:val="24"/>
          <w:szCs w:val="24"/>
        </w:rPr>
        <w:t xml:space="preserve"> invalidation of results of the auction, </w:t>
      </w:r>
      <w:r w:rsidRPr="00715EC7">
        <w:rPr>
          <w:sz w:val="24"/>
          <w:szCs w:val="24"/>
          <w:lang w:val="en-US"/>
        </w:rPr>
        <w:t>violation of essential terms of the contract on subsoil use by the subsoil user).</w:t>
      </w:r>
    </w:p>
    <w:p w:rsidR="00321F44" w:rsidRPr="00715EC7" w:rsidRDefault="00321F44" w:rsidP="00321F44">
      <w:pPr>
        <w:spacing w:after="120"/>
        <w:rPr>
          <w:b/>
          <w:sz w:val="24"/>
          <w:szCs w:val="24"/>
          <w:lang w:val="en-US"/>
        </w:rPr>
      </w:pPr>
      <w:r w:rsidRPr="00715EC7">
        <w:rPr>
          <w:b/>
          <w:sz w:val="24"/>
          <w:szCs w:val="24"/>
          <w:lang w:val="en-US"/>
        </w:rPr>
        <w:t xml:space="preserve">III. </w:t>
      </w:r>
      <w:r w:rsidR="00FC3D2B" w:rsidRPr="00715EC7">
        <w:rPr>
          <w:b/>
          <w:sz w:val="24"/>
          <w:szCs w:val="24"/>
          <w:lang w:val="en-US"/>
        </w:rPr>
        <w:t>INFRASTRUCTURE FACILITIES</w:t>
      </w:r>
      <w:r w:rsidRPr="00715EC7">
        <w:rPr>
          <w:b/>
          <w:sz w:val="24"/>
          <w:szCs w:val="24"/>
          <w:lang w:val="en-US"/>
        </w:rPr>
        <w:t>:</w:t>
      </w:r>
    </w:p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>- Wells, other mining and infrastructure facilities are owned by the person who carried out construction; such person is responsible for maintaining security at such facilities, including period after termination of subsoil use right;</w:t>
      </w:r>
    </w:p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 xml:space="preserve">- The subsoil user who is not the owner of wells, mining and infrastructure facilities has the right to </w:t>
      </w:r>
      <w:r w:rsidR="00FC3D2B" w:rsidRPr="00715EC7">
        <w:rPr>
          <w:sz w:val="24"/>
          <w:szCs w:val="24"/>
          <w:lang w:val="en-US"/>
        </w:rPr>
        <w:t>unrestricted access</w:t>
      </w:r>
      <w:r w:rsidRPr="00715EC7">
        <w:rPr>
          <w:sz w:val="24"/>
          <w:szCs w:val="24"/>
          <w:lang w:val="en-US"/>
        </w:rPr>
        <w:t xml:space="preserve"> to </w:t>
      </w:r>
      <w:r w:rsidR="00FC3D2B">
        <w:rPr>
          <w:sz w:val="24"/>
          <w:szCs w:val="24"/>
          <w:lang w:val="en-US"/>
        </w:rPr>
        <w:t xml:space="preserve">such </w:t>
      </w:r>
      <w:r w:rsidR="00FC3D2B" w:rsidRPr="00715EC7">
        <w:rPr>
          <w:sz w:val="24"/>
          <w:szCs w:val="24"/>
          <w:lang w:val="en-US"/>
        </w:rPr>
        <w:t xml:space="preserve">facilities </w:t>
      </w:r>
      <w:r w:rsidRPr="00715EC7">
        <w:rPr>
          <w:sz w:val="24"/>
          <w:szCs w:val="24"/>
          <w:lang w:val="en-US"/>
        </w:rPr>
        <w:t>and the first-priority lease or purchase</w:t>
      </w:r>
      <w:r w:rsidR="00FC3D2B">
        <w:rPr>
          <w:sz w:val="24"/>
          <w:szCs w:val="24"/>
          <w:lang w:val="en-US"/>
        </w:rPr>
        <w:t xml:space="preserve"> </w:t>
      </w:r>
      <w:r w:rsidR="00FC3D2B" w:rsidRPr="00715EC7">
        <w:rPr>
          <w:sz w:val="24"/>
          <w:szCs w:val="24"/>
          <w:lang w:val="en-US"/>
        </w:rPr>
        <w:t>right</w:t>
      </w:r>
      <w:r w:rsidRPr="00715EC7">
        <w:rPr>
          <w:sz w:val="24"/>
          <w:szCs w:val="24"/>
          <w:lang w:val="en-US"/>
        </w:rPr>
        <w:t>;</w:t>
      </w:r>
      <w:r w:rsidR="00FC3D2B">
        <w:rPr>
          <w:sz w:val="24"/>
          <w:szCs w:val="24"/>
          <w:lang w:val="en-US"/>
        </w:rPr>
        <w:t xml:space="preserve"> </w:t>
      </w:r>
    </w:p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 xml:space="preserve">- State Geological Information Fund creates and supports the electronic public register of existing wells, mining and other infrastructure facilities; </w:t>
      </w:r>
      <w:r w:rsidR="00FC3D2B">
        <w:rPr>
          <w:sz w:val="24"/>
          <w:szCs w:val="24"/>
          <w:lang w:val="en-US"/>
        </w:rPr>
        <w:t xml:space="preserve"> </w:t>
      </w:r>
    </w:p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lastRenderedPageBreak/>
        <w:t xml:space="preserve">- Oil and gas wells, </w:t>
      </w:r>
      <w:r w:rsidR="00FC3D2B">
        <w:rPr>
          <w:sz w:val="24"/>
          <w:szCs w:val="24"/>
          <w:lang w:val="en-US"/>
        </w:rPr>
        <w:t>as well as</w:t>
      </w:r>
      <w:r w:rsidRPr="00715EC7">
        <w:rPr>
          <w:sz w:val="24"/>
          <w:szCs w:val="24"/>
          <w:lang w:val="en-US"/>
        </w:rPr>
        <w:t xml:space="preserve"> objects of pipeline transport facilities, access roads, power lines and other production facilities connected with oil and gas wells</w:t>
      </w:r>
      <w:r w:rsidR="00FC3D2B">
        <w:rPr>
          <w:sz w:val="24"/>
          <w:szCs w:val="24"/>
          <w:lang w:val="en-US"/>
        </w:rPr>
        <w:t xml:space="preserve"> </w:t>
      </w:r>
      <w:r w:rsidR="00FC3D2B" w:rsidRPr="00715EC7">
        <w:rPr>
          <w:sz w:val="24"/>
          <w:szCs w:val="24"/>
          <w:lang w:val="en-US"/>
        </w:rPr>
        <w:t>operation</w:t>
      </w:r>
      <w:r w:rsidRPr="00715EC7">
        <w:rPr>
          <w:sz w:val="24"/>
          <w:szCs w:val="24"/>
          <w:lang w:val="en-US"/>
        </w:rPr>
        <w:t xml:space="preserve"> </w:t>
      </w:r>
      <w:r w:rsidR="00FC3D2B">
        <w:rPr>
          <w:sz w:val="24"/>
          <w:szCs w:val="24"/>
          <w:lang w:val="en-US"/>
        </w:rPr>
        <w:t>beyond localities</w:t>
      </w:r>
      <w:r w:rsidRPr="00715EC7">
        <w:rPr>
          <w:sz w:val="24"/>
          <w:szCs w:val="24"/>
          <w:lang w:val="en-US"/>
        </w:rPr>
        <w:t xml:space="preserve"> </w:t>
      </w:r>
      <w:r w:rsidR="00FC3D2B">
        <w:rPr>
          <w:sz w:val="24"/>
          <w:szCs w:val="24"/>
          <w:lang w:val="en-US"/>
        </w:rPr>
        <w:t>should not be considered as</w:t>
      </w:r>
      <w:r w:rsidRPr="00715EC7">
        <w:rPr>
          <w:sz w:val="24"/>
          <w:szCs w:val="24"/>
          <w:lang w:val="en-US"/>
        </w:rPr>
        <w:t xml:space="preserve"> objects of urban planning.</w:t>
      </w:r>
    </w:p>
    <w:p w:rsidR="00321F44" w:rsidRPr="00715EC7" w:rsidRDefault="00321F44" w:rsidP="00321F44">
      <w:pPr>
        <w:spacing w:after="120"/>
        <w:rPr>
          <w:b/>
          <w:sz w:val="24"/>
          <w:szCs w:val="24"/>
          <w:lang w:val="en-US"/>
        </w:rPr>
      </w:pPr>
    </w:p>
    <w:p w:rsidR="00321F44" w:rsidRPr="00715EC7" w:rsidRDefault="00321F44" w:rsidP="00321F44">
      <w:pPr>
        <w:spacing w:after="120"/>
        <w:rPr>
          <w:b/>
          <w:sz w:val="24"/>
          <w:szCs w:val="24"/>
          <w:lang w:val="en-US"/>
        </w:rPr>
      </w:pPr>
      <w:r w:rsidRPr="00715EC7">
        <w:rPr>
          <w:b/>
          <w:sz w:val="24"/>
          <w:szCs w:val="24"/>
          <w:lang w:val="en-US"/>
        </w:rPr>
        <w:t>IV. OTHER PROVISIONS:</w:t>
      </w:r>
    </w:p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>- Subsoil use activities are not subject to licensing;</w:t>
      </w:r>
    </w:p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 xml:space="preserve">- </w:t>
      </w:r>
      <w:r w:rsidR="00F96DF9">
        <w:rPr>
          <w:sz w:val="24"/>
          <w:szCs w:val="24"/>
          <w:lang w:val="en-US"/>
        </w:rPr>
        <w:t>N</w:t>
      </w:r>
      <w:r w:rsidRPr="00715EC7">
        <w:rPr>
          <w:sz w:val="24"/>
          <w:szCs w:val="24"/>
          <w:lang w:val="en-US"/>
        </w:rPr>
        <w:t>o requirement for registration of the mining lease;</w:t>
      </w:r>
    </w:p>
    <w:p w:rsidR="00321F44" w:rsidRPr="00517076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 xml:space="preserve">- </w:t>
      </w:r>
      <w:r w:rsidR="00C73455">
        <w:rPr>
          <w:sz w:val="24"/>
          <w:szCs w:val="24"/>
          <w:lang w:val="en-US"/>
        </w:rPr>
        <w:t>O</w:t>
      </w:r>
      <w:r w:rsidRPr="00715EC7">
        <w:rPr>
          <w:sz w:val="24"/>
          <w:szCs w:val="24"/>
          <w:lang w:val="en-US"/>
        </w:rPr>
        <w:t xml:space="preserve">bligation on disclosure of information according to requirements of the </w:t>
      </w:r>
      <w:r w:rsidR="00C73455">
        <w:rPr>
          <w:sz w:val="24"/>
          <w:szCs w:val="24"/>
          <w:lang w:val="en-US"/>
        </w:rPr>
        <w:t xml:space="preserve">Extractive Industry Transparency </w:t>
      </w:r>
      <w:r w:rsidRPr="00517076">
        <w:rPr>
          <w:sz w:val="24"/>
          <w:szCs w:val="24"/>
          <w:lang w:val="en-US"/>
        </w:rPr>
        <w:t>Initiative;</w:t>
      </w:r>
    </w:p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517076">
        <w:rPr>
          <w:sz w:val="24"/>
          <w:szCs w:val="24"/>
          <w:lang w:val="en-US"/>
        </w:rPr>
        <w:t xml:space="preserve">- </w:t>
      </w:r>
      <w:bookmarkStart w:id="0" w:name="_Hlk505951883"/>
      <w:r w:rsidRPr="00517076">
        <w:rPr>
          <w:sz w:val="24"/>
          <w:szCs w:val="24"/>
          <w:lang w:val="en-US"/>
        </w:rPr>
        <w:t xml:space="preserve">The basic </w:t>
      </w:r>
      <w:r w:rsidR="00C73455" w:rsidRPr="00517076">
        <w:rPr>
          <w:sz w:val="24"/>
          <w:szCs w:val="24"/>
          <w:lang w:val="en-US"/>
        </w:rPr>
        <w:t xml:space="preserve">legal </w:t>
      </w:r>
      <w:r w:rsidRPr="00517076">
        <w:rPr>
          <w:sz w:val="24"/>
          <w:szCs w:val="24"/>
          <w:lang w:val="en-US"/>
        </w:rPr>
        <w:t>document regulating the subsoil use should be the Subsoil Code (</w:t>
      </w:r>
      <w:r w:rsidR="00C73455" w:rsidRPr="00517076">
        <w:rPr>
          <w:sz w:val="24"/>
          <w:szCs w:val="24"/>
          <w:lang w:val="en-US"/>
        </w:rPr>
        <w:t xml:space="preserve">thus, </w:t>
      </w:r>
      <w:r w:rsidRPr="00517076">
        <w:rPr>
          <w:sz w:val="24"/>
          <w:szCs w:val="24"/>
          <w:lang w:val="en-US"/>
        </w:rPr>
        <w:t xml:space="preserve">cancellation of existing </w:t>
      </w:r>
      <w:r w:rsidR="00C73455" w:rsidRPr="00517076">
        <w:rPr>
          <w:sz w:val="24"/>
          <w:szCs w:val="24"/>
          <w:lang w:val="en-US"/>
        </w:rPr>
        <w:t>CMU R</w:t>
      </w:r>
      <w:r w:rsidRPr="00517076">
        <w:rPr>
          <w:sz w:val="24"/>
          <w:szCs w:val="24"/>
          <w:lang w:val="en-US"/>
        </w:rPr>
        <w:t>esolutions</w:t>
      </w:r>
      <w:r w:rsidR="00517076">
        <w:rPr>
          <w:sz w:val="24"/>
          <w:szCs w:val="24"/>
          <w:lang w:val="en-US"/>
        </w:rPr>
        <w:t xml:space="preserve"> related to subsoil use</w:t>
      </w:r>
      <w:bookmarkStart w:id="1" w:name="_GoBack"/>
      <w:bookmarkEnd w:id="1"/>
      <w:r w:rsidRPr="00517076">
        <w:rPr>
          <w:sz w:val="24"/>
          <w:szCs w:val="24"/>
          <w:lang w:val="en-US"/>
        </w:rPr>
        <w:t xml:space="preserve">, </w:t>
      </w:r>
      <w:r w:rsidR="00517076" w:rsidRPr="00517076">
        <w:rPr>
          <w:sz w:val="24"/>
          <w:szCs w:val="24"/>
          <w:lang w:val="en-US"/>
        </w:rPr>
        <w:t>the</w:t>
      </w:r>
      <w:r w:rsidRPr="00517076">
        <w:rPr>
          <w:sz w:val="24"/>
          <w:szCs w:val="24"/>
          <w:lang w:val="en-US"/>
        </w:rPr>
        <w:t xml:space="preserve"> Law "On Oil and Gas", Mining Law, current Subsoil Code)</w:t>
      </w:r>
      <w:r w:rsidR="00517076">
        <w:rPr>
          <w:sz w:val="24"/>
          <w:szCs w:val="24"/>
          <w:lang w:val="en-US"/>
        </w:rPr>
        <w:t>;</w:t>
      </w:r>
    </w:p>
    <w:bookmarkEnd w:id="0"/>
    <w:p w:rsidR="00321F44" w:rsidRPr="00715EC7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 xml:space="preserve">- The introduction of deposits into industrial development or exploration is performed by the subsoil user </w:t>
      </w:r>
      <w:r w:rsidR="00C73455">
        <w:rPr>
          <w:sz w:val="24"/>
          <w:szCs w:val="24"/>
          <w:lang w:val="en-US"/>
        </w:rPr>
        <w:t>under relevant</w:t>
      </w:r>
      <w:r w:rsidRPr="00715EC7">
        <w:rPr>
          <w:sz w:val="24"/>
          <w:szCs w:val="24"/>
          <w:lang w:val="en-US"/>
        </w:rPr>
        <w:t xml:space="preserve"> project, subject to state examination; central government authorities are informed </w:t>
      </w:r>
      <w:r w:rsidR="00C73455">
        <w:rPr>
          <w:sz w:val="24"/>
          <w:szCs w:val="24"/>
          <w:lang w:val="en-US"/>
        </w:rPr>
        <w:t xml:space="preserve">by </w:t>
      </w:r>
      <w:r w:rsidRPr="00715EC7">
        <w:rPr>
          <w:sz w:val="24"/>
          <w:szCs w:val="24"/>
          <w:lang w:val="en-US"/>
        </w:rPr>
        <w:t>application;</w:t>
      </w:r>
    </w:p>
    <w:p w:rsidR="00321F44" w:rsidRDefault="00321F44" w:rsidP="006935BA">
      <w:pPr>
        <w:spacing w:after="120"/>
        <w:jc w:val="both"/>
        <w:rPr>
          <w:sz w:val="24"/>
          <w:szCs w:val="24"/>
          <w:lang w:val="en-US"/>
        </w:rPr>
      </w:pPr>
      <w:r w:rsidRPr="00715EC7">
        <w:rPr>
          <w:sz w:val="24"/>
          <w:szCs w:val="24"/>
          <w:lang w:val="en-US"/>
        </w:rPr>
        <w:t xml:space="preserve">-  Simplified procedure of land </w:t>
      </w:r>
      <w:r w:rsidR="00517076">
        <w:rPr>
          <w:sz w:val="24"/>
          <w:szCs w:val="24"/>
          <w:lang w:val="en-US"/>
        </w:rPr>
        <w:t>allocation</w:t>
      </w:r>
      <w:r w:rsidRPr="00715EC7">
        <w:rPr>
          <w:sz w:val="24"/>
          <w:szCs w:val="24"/>
          <w:lang w:val="en-US"/>
        </w:rPr>
        <w:t xml:space="preserve"> </w:t>
      </w:r>
      <w:r w:rsidR="00517076" w:rsidRPr="00715EC7">
        <w:rPr>
          <w:sz w:val="24"/>
          <w:szCs w:val="24"/>
          <w:lang w:val="en-US"/>
        </w:rPr>
        <w:t>for</w:t>
      </w:r>
      <w:r w:rsidRPr="00715EC7">
        <w:rPr>
          <w:sz w:val="24"/>
          <w:szCs w:val="24"/>
          <w:lang w:val="en-US"/>
        </w:rPr>
        <w:t xml:space="preserve"> subsoil use. </w:t>
      </w:r>
    </w:p>
    <w:p w:rsidR="00321F44" w:rsidRPr="00715EC7" w:rsidRDefault="00321F44" w:rsidP="00321F44">
      <w:pPr>
        <w:spacing w:after="120"/>
        <w:rPr>
          <w:sz w:val="24"/>
          <w:szCs w:val="24"/>
          <w:lang w:val="en-US"/>
        </w:rPr>
      </w:pPr>
    </w:p>
    <w:p w:rsidR="00321F44" w:rsidRPr="007D15B7" w:rsidRDefault="00321F44" w:rsidP="00321F44">
      <w:pPr>
        <w:tabs>
          <w:tab w:val="left" w:pos="4485"/>
        </w:tabs>
        <w:rPr>
          <w:lang w:val="en-US"/>
        </w:rPr>
      </w:pPr>
    </w:p>
    <w:p w:rsidR="00321F44" w:rsidRPr="00637732" w:rsidRDefault="00321F44" w:rsidP="00321F44">
      <w:pPr>
        <w:rPr>
          <w:lang w:val="en-US"/>
        </w:rPr>
      </w:pPr>
    </w:p>
    <w:p w:rsidR="00DC0B2A" w:rsidRPr="00321F44" w:rsidRDefault="006935BA">
      <w:pPr>
        <w:rPr>
          <w:lang w:val="en-US"/>
        </w:rPr>
      </w:pPr>
    </w:p>
    <w:sectPr w:rsidR="00DC0B2A" w:rsidRPr="00321F44" w:rsidSect="00C22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425" w:right="929" w:bottom="709" w:left="567" w:header="1247" w:footer="62" w:gutter="0"/>
      <w:cols w:space="576" w:equalWidth="0">
        <w:col w:w="1077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935BA">
      <w:r>
        <w:separator/>
      </w:r>
    </w:p>
  </w:endnote>
  <w:endnote w:type="continuationSeparator" w:id="0">
    <w:p w:rsidR="00000000" w:rsidRDefault="0069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69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65" w:rsidRPr="004A140D" w:rsidRDefault="006935BA" w:rsidP="002F0A65">
    <w:pPr>
      <w:ind w:left="1440" w:hanging="1440"/>
      <w:jc w:val="both"/>
      <w:rPr>
        <w:i/>
        <w:color w:val="404040"/>
        <w:sz w:val="16"/>
        <w:szCs w:val="16"/>
        <w:lang w:val="en-US"/>
      </w:rPr>
    </w:pPr>
    <w:r w:rsidRPr="004A140D">
      <w:rPr>
        <w:i/>
        <w:color w:val="404040"/>
        <w:sz w:val="16"/>
        <w:szCs w:val="16"/>
        <w:lang w:val="en-US"/>
      </w:rPr>
      <w:t>__________________________________________________________________________________________________________________________________</w:t>
    </w:r>
  </w:p>
  <w:p w:rsidR="002F0A65" w:rsidRPr="004A140D" w:rsidRDefault="006935BA" w:rsidP="002F0A65">
    <w:pPr>
      <w:ind w:left="1560" w:hanging="1560"/>
      <w:jc w:val="both"/>
      <w:rPr>
        <w:rFonts w:ascii="Arial" w:hAnsi="Arial" w:cs="Arial"/>
        <w:b/>
        <w:bCs/>
        <w:i/>
        <w:iCs/>
        <w:color w:val="404040"/>
        <w:sz w:val="16"/>
        <w:szCs w:val="16"/>
      </w:rPr>
    </w:pP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Board of Directors: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Mr.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Grzegorz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Chmielarski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McDonald's Ukraine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–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Chairman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>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Mr.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Sevki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Acuner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European Bank for Reconstruction and Development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-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Vice Chairman; Mr. Martin Schumacher,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METRO Cash &amp; Carr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y -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Vice Chairman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; </w:t>
    </w:r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Ms. Iryna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Kozlova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,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PepsiCo Ukraine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–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Treasurer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;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Serhiy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Chorny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Baker &amp; McKenzie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- </w:t>
    </w:r>
    <w:r w:rsidRPr="00E37C10">
      <w:rPr>
        <w:rFonts w:ascii="Arial" w:hAnsi="Arial" w:cs="Arial"/>
        <w:b/>
        <w:bCs/>
        <w:i/>
        <w:iCs/>
        <w:color w:val="404040"/>
        <w:sz w:val="16"/>
        <w:szCs w:val="16"/>
      </w:rPr>
      <w:t>Secretary and</w:t>
    </w:r>
    <w:r w:rsidRPr="00C230FB"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C230FB">
      <w:rPr>
        <w:rFonts w:ascii="Arial" w:hAnsi="Arial" w:cs="Arial"/>
        <w:b/>
        <w:bCs/>
        <w:i/>
        <w:iCs/>
        <w:color w:val="404040"/>
        <w:sz w:val="16"/>
        <w:szCs w:val="16"/>
      </w:rPr>
      <w:t>Legal</w:t>
    </w:r>
    <w:r w:rsidRPr="00C230FB"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C230FB">
      <w:rPr>
        <w:rFonts w:ascii="Arial" w:hAnsi="Arial" w:cs="Arial"/>
        <w:b/>
        <w:bCs/>
        <w:i/>
        <w:iCs/>
        <w:color w:val="404040"/>
        <w:sz w:val="16"/>
        <w:szCs w:val="16"/>
      </w:rPr>
      <w:t>Advisor</w:t>
    </w:r>
    <w:r>
      <w:rPr>
        <w:rFonts w:ascii="Arial" w:hAnsi="Arial" w:cs="Arial"/>
        <w:bCs/>
        <w:i/>
        <w:iCs/>
        <w:color w:val="404040"/>
        <w:sz w:val="16"/>
        <w:szCs w:val="16"/>
      </w:rPr>
      <w:t>;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Ms. </w:t>
    </w:r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Nathalie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Alquier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Danone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;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Steven Fisher,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CITI</w:t>
    </w:r>
    <w:r>
      <w:rPr>
        <w:rFonts w:ascii="Arial" w:hAnsi="Arial" w:cs="Arial"/>
        <w:bCs/>
        <w:i/>
        <w:iCs/>
        <w:color w:val="404040"/>
        <w:sz w:val="16"/>
        <w:szCs w:val="16"/>
      </w:rPr>
      <w:t>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Guilhem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Granier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>,</w:t>
    </w:r>
    <w:r w:rsidRPr="00507477">
      <w:t xml:space="preserve"> </w:t>
    </w:r>
    <w:r w:rsidRPr="00CF6526">
      <w:rPr>
        <w:rFonts w:ascii="Arial" w:hAnsi="Arial" w:cs="Arial"/>
        <w:bCs/>
        <w:i/>
        <w:iCs/>
        <w:color w:val="404040"/>
        <w:sz w:val="16"/>
        <w:szCs w:val="16"/>
      </w:rPr>
      <w:t>Sanofi-Aventis Ukraine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;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Ms. Lenna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Koszarny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Horizon Capital</w:t>
    </w:r>
    <w:r>
      <w:rPr>
        <w:rFonts w:ascii="Arial" w:hAnsi="Arial" w:cs="Arial"/>
        <w:bCs/>
        <w:i/>
        <w:iCs/>
        <w:color w:val="404040"/>
        <w:sz w:val="16"/>
        <w:szCs w:val="16"/>
      </w:rPr>
      <w:t>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2967CB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Alastair McBain, </w:t>
    </w:r>
    <w:r w:rsidRPr="002967CB">
      <w:rPr>
        <w:rFonts w:ascii="Arial" w:hAnsi="Arial" w:cs="Arial"/>
        <w:bCs/>
        <w:i/>
        <w:iCs/>
        <w:color w:val="404040"/>
        <w:sz w:val="16"/>
        <w:szCs w:val="16"/>
      </w:rPr>
      <w:t>Arawak Energy Ukraine B.V.;</w:t>
    </w:r>
    <w:r w:rsidRPr="002967CB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Martin Schuldt,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Cargill;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Mr. Evgeniy Shevchenko,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Carlsberg.</w:t>
    </w:r>
  </w:p>
  <w:p w:rsidR="002F0A65" w:rsidRPr="004A140D" w:rsidRDefault="006935BA" w:rsidP="002F0A65">
    <w:pPr>
      <w:ind w:left="1560" w:hanging="1560"/>
      <w:jc w:val="both"/>
      <w:rPr>
        <w:rFonts w:ascii="Arial" w:hAnsi="Arial" w:cs="Arial"/>
        <w:b/>
        <w:bCs/>
        <w:i/>
        <w:iCs/>
        <w:color w:val="404040"/>
        <w:sz w:val="16"/>
        <w:szCs w:val="16"/>
      </w:rPr>
    </w:pP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President:                 Mr. Andy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Hunder</w:t>
    </w:r>
    <w:proofErr w:type="spellEnd"/>
  </w:p>
  <w:p w:rsidR="003C7FA5" w:rsidRPr="008400C7" w:rsidRDefault="006935BA" w:rsidP="007B6802">
    <w:pPr>
      <w:ind w:left="1440" w:hanging="1440"/>
      <w:jc w:val="both"/>
      <w:rPr>
        <w:i/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693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935BA">
      <w:r>
        <w:separator/>
      </w:r>
    </w:p>
  </w:footnote>
  <w:footnote w:type="continuationSeparator" w:id="0">
    <w:p w:rsidR="00000000" w:rsidRDefault="0069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6935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375454" o:spid="_x0000_s1028" type="#_x0000_t136" style="position:absolute;margin-left:0;margin-top:0;width:524.3pt;height:209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26" w:rsidRDefault="006935BA" w:rsidP="00C258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375455" o:spid="_x0000_s1029" type="#_x0000_t136" style="position:absolute;margin-left:0;margin-top:0;width:524.3pt;height:20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321F44"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-215265</wp:posOffset>
          </wp:positionH>
          <wp:positionV relativeFrom="page">
            <wp:posOffset>209550</wp:posOffset>
          </wp:positionV>
          <wp:extent cx="1470660" cy="601980"/>
          <wp:effectExtent l="0" t="0" r="0" b="7620"/>
          <wp:wrapNone/>
          <wp:docPr id="2" name="Picture 2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5" t="24812" r="77066" b="27669"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F44"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1217295</wp:posOffset>
          </wp:positionH>
          <wp:positionV relativeFrom="page">
            <wp:posOffset>209550</wp:posOffset>
          </wp:positionV>
          <wp:extent cx="5652135" cy="838200"/>
          <wp:effectExtent l="0" t="0" r="5715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8" t="24812" r="3738" b="9023"/>
                  <a:stretch>
                    <a:fillRect/>
                  </a:stretch>
                </pic:blipFill>
                <pic:spPr bwMode="auto">
                  <a:xfrm>
                    <a:off x="0" y="0"/>
                    <a:ext cx="56521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5826" w:rsidRPr="00C25826" w:rsidRDefault="006935BA" w:rsidP="00C258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6935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375453" o:spid="_x0000_s1027" type="#_x0000_t136" style="position:absolute;margin-left:0;margin-top:0;width:524.3pt;height:20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D36B0"/>
    <w:multiLevelType w:val="hybridMultilevel"/>
    <w:tmpl w:val="7848C04A"/>
    <w:lvl w:ilvl="0" w:tplc="53882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38823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5388231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44"/>
    <w:rsid w:val="000541EE"/>
    <w:rsid w:val="00141F3A"/>
    <w:rsid w:val="002E2520"/>
    <w:rsid w:val="0030526C"/>
    <w:rsid w:val="00321F44"/>
    <w:rsid w:val="003A204F"/>
    <w:rsid w:val="003D7611"/>
    <w:rsid w:val="004C259F"/>
    <w:rsid w:val="00512348"/>
    <w:rsid w:val="00517076"/>
    <w:rsid w:val="006935BA"/>
    <w:rsid w:val="007A13D6"/>
    <w:rsid w:val="00980D2C"/>
    <w:rsid w:val="009D17F8"/>
    <w:rsid w:val="00AE3144"/>
    <w:rsid w:val="00BE6736"/>
    <w:rsid w:val="00C23B4A"/>
    <w:rsid w:val="00C73455"/>
    <w:rsid w:val="00EB46E8"/>
    <w:rsid w:val="00F96DF9"/>
    <w:rsid w:val="00FC3D2B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FCDD8"/>
  <w15:chartTrackingRefBased/>
  <w15:docId w15:val="{A054C7FE-DAAB-4671-A3C0-FFA8664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1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1F4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321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1F4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2</cp:revision>
  <dcterms:created xsi:type="dcterms:W3CDTF">2018-04-16T08:02:00Z</dcterms:created>
  <dcterms:modified xsi:type="dcterms:W3CDTF">2018-04-16T08:02:00Z</dcterms:modified>
</cp:coreProperties>
</file>