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6444" w14:textId="77777777" w:rsidR="003F4F55" w:rsidRPr="00DB245C" w:rsidRDefault="003F4F55" w:rsidP="003F4F55">
      <w:pPr>
        <w:spacing w:line="276" w:lineRule="auto"/>
        <w:ind w:left="540"/>
        <w:jc w:val="center"/>
        <w:rPr>
          <w:rFonts w:ascii="Tahoma" w:hAnsi="Tahoma" w:cs="Tahoma"/>
          <w:sz w:val="20"/>
          <w:szCs w:val="20"/>
          <w:lang w:val="en-US"/>
        </w:rPr>
      </w:pPr>
    </w:p>
    <w:p w14:paraId="17EAC3D1" w14:textId="28A00CA9" w:rsidR="003F4F55" w:rsidRDefault="003F4F55" w:rsidP="003F4F55">
      <w:pPr>
        <w:spacing w:line="276" w:lineRule="auto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3F4F55">
        <w:rPr>
          <w:rFonts w:ascii="Tahoma" w:hAnsi="Tahoma" w:cs="Tahoma"/>
          <w:b/>
          <w:sz w:val="20"/>
          <w:szCs w:val="20"/>
        </w:rPr>
        <w:t>ПРОПОЗИЦІЇ ЩОДО ОСНОВНИХ ПОЛОЖЕНЬ НОВОГО КОДЕКСУ ПРО НАДРА</w:t>
      </w:r>
    </w:p>
    <w:p w14:paraId="1F12789A" w14:textId="77777777" w:rsidR="003F4F55" w:rsidRPr="003F4F55" w:rsidRDefault="003F4F55" w:rsidP="003F4F55">
      <w:pPr>
        <w:spacing w:line="276" w:lineRule="auto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14:paraId="1B165697" w14:textId="6CD533D2" w:rsidR="003F4F55" w:rsidRPr="003F4F55" w:rsidRDefault="003F4F55" w:rsidP="003F4F55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left="720" w:hanging="270"/>
        <w:jc w:val="both"/>
        <w:rPr>
          <w:rFonts w:ascii="Tahoma" w:hAnsi="Tahoma" w:cs="Tahoma"/>
          <w:b/>
          <w:sz w:val="20"/>
          <w:szCs w:val="20"/>
        </w:rPr>
      </w:pPr>
      <w:r w:rsidRPr="003F4F55">
        <w:rPr>
          <w:rFonts w:ascii="Tahoma" w:hAnsi="Tahoma" w:cs="Tahoma"/>
          <w:b/>
          <w:sz w:val="20"/>
          <w:szCs w:val="20"/>
        </w:rPr>
        <w:t>ОСНОВНІ ПРИНЦИПИ:</w:t>
      </w:r>
    </w:p>
    <w:p w14:paraId="43049DB8" w14:textId="11F1C7C8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  <w:u w:val="single"/>
        </w:rPr>
        <w:t>1.</w:t>
      </w:r>
      <w:r w:rsidRPr="003F4F55">
        <w:rPr>
          <w:rFonts w:ascii="Tahoma" w:hAnsi="Tahoma" w:cs="Tahoma"/>
          <w:sz w:val="20"/>
          <w:szCs w:val="20"/>
          <w:u w:val="single"/>
        </w:rPr>
        <w:tab/>
      </w:r>
      <w:r w:rsidRPr="003F4F55">
        <w:rPr>
          <w:rFonts w:ascii="Tahoma" w:hAnsi="Tahoma" w:cs="Tahoma"/>
          <w:sz w:val="20"/>
          <w:szCs w:val="20"/>
          <w:u w:val="single"/>
          <w:lang w:val="ru-RU"/>
        </w:rPr>
        <w:t xml:space="preserve"> </w:t>
      </w:r>
      <w:r w:rsidRPr="003F4F55">
        <w:rPr>
          <w:rFonts w:ascii="Tahoma" w:hAnsi="Tahoma" w:cs="Tahoma"/>
          <w:sz w:val="20"/>
          <w:szCs w:val="20"/>
          <w:u w:val="single"/>
        </w:rPr>
        <w:t>Кодекс про надра повинен бути основним нормативно-правовим актом</w:t>
      </w:r>
      <w:r w:rsidRPr="003F4F55">
        <w:rPr>
          <w:rFonts w:ascii="Tahoma" w:hAnsi="Tahoma" w:cs="Tahoma"/>
          <w:sz w:val="20"/>
          <w:szCs w:val="20"/>
        </w:rPr>
        <w:t xml:space="preserve">, що регулює користування надрами. </w:t>
      </w:r>
    </w:p>
    <w:p w14:paraId="232384E5" w14:textId="0EA06125" w:rsidR="003F4F55" w:rsidRPr="00C96166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>-</w:t>
      </w:r>
      <w:r w:rsidRPr="003F4F55">
        <w:rPr>
          <w:rFonts w:ascii="Tahoma" w:hAnsi="Tahoma" w:cs="Tahoma"/>
          <w:sz w:val="20"/>
          <w:szCs w:val="20"/>
        </w:rPr>
        <w:tab/>
        <w:t>ЗУ «Про нафту і газ», чинний Кодекс про надра, Гірничий закон, Постанови КМУ</w:t>
      </w:r>
      <w:r w:rsidR="0025639F" w:rsidRPr="00C96166">
        <w:rPr>
          <w:rFonts w:ascii="Tahoma" w:hAnsi="Tahoma" w:cs="Tahoma"/>
          <w:sz w:val="20"/>
          <w:szCs w:val="20"/>
        </w:rPr>
        <w:t xml:space="preserve"> (№615 </w:t>
      </w:r>
      <w:r w:rsidR="0025639F">
        <w:rPr>
          <w:rFonts w:ascii="Tahoma" w:hAnsi="Tahoma" w:cs="Tahoma"/>
          <w:sz w:val="20"/>
          <w:szCs w:val="20"/>
        </w:rPr>
        <w:t>і</w:t>
      </w:r>
      <w:r w:rsidR="0025639F" w:rsidRPr="00C96166">
        <w:rPr>
          <w:rFonts w:ascii="Tahoma" w:hAnsi="Tahoma" w:cs="Tahoma"/>
          <w:sz w:val="20"/>
          <w:szCs w:val="20"/>
        </w:rPr>
        <w:t xml:space="preserve"> 594 </w:t>
      </w:r>
      <w:r w:rsidR="0025639F">
        <w:rPr>
          <w:rFonts w:ascii="Tahoma" w:hAnsi="Tahoma" w:cs="Tahoma"/>
          <w:sz w:val="20"/>
          <w:szCs w:val="20"/>
        </w:rPr>
        <w:t>від 30.05.2011р., №423 від 13.06.1995р., №865 від 22.12.1994р.</w:t>
      </w:r>
      <w:r w:rsidR="0025639F" w:rsidRPr="00C96166">
        <w:rPr>
          <w:rFonts w:ascii="Tahoma" w:hAnsi="Tahoma" w:cs="Tahoma"/>
          <w:sz w:val="20"/>
          <w:szCs w:val="20"/>
        </w:rPr>
        <w:t>)</w:t>
      </w:r>
      <w:r w:rsidRPr="003F4F55">
        <w:rPr>
          <w:rFonts w:ascii="Tahoma" w:hAnsi="Tahoma" w:cs="Tahoma"/>
          <w:sz w:val="20"/>
          <w:szCs w:val="20"/>
        </w:rPr>
        <w:t xml:space="preserve"> </w:t>
      </w:r>
      <w:r w:rsidRPr="00C96166">
        <w:rPr>
          <w:rFonts w:ascii="Tahoma" w:hAnsi="Tahoma" w:cs="Tahoma"/>
          <w:sz w:val="20"/>
          <w:szCs w:val="20"/>
        </w:rPr>
        <w:t>повинні бути скасовані</w:t>
      </w:r>
      <w:r w:rsidR="00EF36BC" w:rsidRPr="00C96166">
        <w:t xml:space="preserve"> </w:t>
      </w:r>
      <w:r w:rsidR="00EF36BC" w:rsidRPr="00C96166">
        <w:rPr>
          <w:rFonts w:ascii="Tahoma" w:hAnsi="Tahoma" w:cs="Tahoma"/>
          <w:sz w:val="20"/>
          <w:szCs w:val="20"/>
        </w:rPr>
        <w:t xml:space="preserve">і </w:t>
      </w:r>
      <w:r w:rsidR="007A2CDB" w:rsidRPr="00C96166">
        <w:rPr>
          <w:rFonts w:ascii="Tahoma" w:hAnsi="Tahoma" w:cs="Tahoma"/>
          <w:sz w:val="20"/>
          <w:szCs w:val="20"/>
        </w:rPr>
        <w:t>кодифіковані у</w:t>
      </w:r>
      <w:r w:rsidR="005F4F94" w:rsidRPr="00C96166">
        <w:rPr>
          <w:rFonts w:ascii="Tahoma" w:hAnsi="Tahoma" w:cs="Tahoma"/>
          <w:sz w:val="20"/>
          <w:szCs w:val="20"/>
        </w:rPr>
        <w:t xml:space="preserve"> </w:t>
      </w:r>
      <w:r w:rsidR="00EF36BC" w:rsidRPr="00C96166">
        <w:rPr>
          <w:rFonts w:ascii="Tahoma" w:hAnsi="Tahoma" w:cs="Tahoma"/>
          <w:sz w:val="20"/>
          <w:szCs w:val="20"/>
        </w:rPr>
        <w:t>Кодекс</w:t>
      </w:r>
      <w:r w:rsidR="007A2CDB" w:rsidRPr="00C96166">
        <w:rPr>
          <w:rFonts w:ascii="Tahoma" w:hAnsi="Tahoma" w:cs="Tahoma"/>
          <w:sz w:val="20"/>
          <w:szCs w:val="20"/>
        </w:rPr>
        <w:t>і</w:t>
      </w:r>
      <w:r w:rsidR="00EF36BC" w:rsidRPr="00C96166">
        <w:rPr>
          <w:rFonts w:ascii="Tahoma" w:hAnsi="Tahoma" w:cs="Tahoma"/>
          <w:sz w:val="20"/>
          <w:szCs w:val="20"/>
        </w:rPr>
        <w:t xml:space="preserve"> про надра </w:t>
      </w:r>
      <w:r w:rsidR="00421A52" w:rsidRPr="00C96166">
        <w:rPr>
          <w:rFonts w:ascii="Tahoma" w:hAnsi="Tahoma" w:cs="Tahoma"/>
          <w:sz w:val="20"/>
          <w:szCs w:val="20"/>
        </w:rPr>
        <w:t>після його</w:t>
      </w:r>
      <w:r w:rsidR="00EF36BC" w:rsidRPr="00C96166">
        <w:rPr>
          <w:rFonts w:ascii="Tahoma" w:hAnsi="Tahoma" w:cs="Tahoma"/>
          <w:sz w:val="20"/>
          <w:szCs w:val="20"/>
        </w:rPr>
        <w:t xml:space="preserve"> </w:t>
      </w:r>
      <w:r w:rsidR="00421A52" w:rsidRPr="00C96166">
        <w:rPr>
          <w:rFonts w:ascii="Tahoma" w:hAnsi="Tahoma" w:cs="Tahoma"/>
          <w:sz w:val="20"/>
          <w:szCs w:val="20"/>
        </w:rPr>
        <w:t>прийняття</w:t>
      </w:r>
      <w:r w:rsidRPr="00C96166">
        <w:rPr>
          <w:rFonts w:ascii="Tahoma" w:hAnsi="Tahoma" w:cs="Tahoma"/>
          <w:sz w:val="20"/>
          <w:szCs w:val="20"/>
        </w:rPr>
        <w:t>;</w:t>
      </w:r>
    </w:p>
    <w:p w14:paraId="5E3AD45C" w14:textId="77777777" w:rsidR="003F4F55" w:rsidRPr="00C96166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14:paraId="24AE11FF" w14:textId="359FEF08" w:rsidR="003F4F55" w:rsidRPr="00C96166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C96166">
        <w:rPr>
          <w:rFonts w:ascii="Tahoma" w:hAnsi="Tahoma" w:cs="Tahoma"/>
          <w:sz w:val="20"/>
          <w:szCs w:val="20"/>
          <w:u w:val="single"/>
        </w:rPr>
        <w:t>2. Кодекс повинен забезпечити прозорість регулювання та відповідальність</w:t>
      </w:r>
      <w:r w:rsidR="008C478D">
        <w:rPr>
          <w:rFonts w:ascii="Tahoma" w:hAnsi="Tahoma" w:cs="Tahoma"/>
          <w:sz w:val="20"/>
          <w:szCs w:val="20"/>
          <w:u w:val="single"/>
        </w:rPr>
        <w:t>:</w:t>
      </w:r>
      <w:r w:rsidRPr="00C96166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44F51E15" w14:textId="765A8CD7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bookmarkStart w:id="0" w:name="_Hlk519694743"/>
      <w:r w:rsidRPr="00C96166">
        <w:rPr>
          <w:rFonts w:ascii="Tahoma" w:hAnsi="Tahoma" w:cs="Tahoma"/>
          <w:sz w:val="20"/>
          <w:szCs w:val="20"/>
        </w:rPr>
        <w:t xml:space="preserve">регулювання відносин </w:t>
      </w:r>
      <w:proofErr w:type="spellStart"/>
      <w:r w:rsidRPr="00C96166">
        <w:rPr>
          <w:rFonts w:ascii="Tahoma" w:hAnsi="Tahoma" w:cs="Tahoma"/>
          <w:sz w:val="20"/>
          <w:szCs w:val="20"/>
        </w:rPr>
        <w:t>надрокористування</w:t>
      </w:r>
      <w:bookmarkEnd w:id="0"/>
      <w:proofErr w:type="spellEnd"/>
      <w:r w:rsidRPr="00C96166">
        <w:rPr>
          <w:rFonts w:ascii="Tahoma" w:hAnsi="Tahoma" w:cs="Tahoma"/>
          <w:sz w:val="20"/>
          <w:szCs w:val="20"/>
        </w:rPr>
        <w:t xml:space="preserve">, в тому числі </w:t>
      </w:r>
      <w:r w:rsidR="0025639F" w:rsidRPr="00C96166">
        <w:rPr>
          <w:rFonts w:ascii="Tahoma" w:hAnsi="Tahoma" w:cs="Tahoma"/>
          <w:sz w:val="20"/>
          <w:szCs w:val="20"/>
        </w:rPr>
        <w:t>надання</w:t>
      </w:r>
      <w:r w:rsidR="0025639F" w:rsidRPr="00C96166">
        <w:rPr>
          <w:rFonts w:ascii="Tahoma" w:hAnsi="Tahoma" w:cs="Tahoma"/>
          <w:sz w:val="20"/>
          <w:szCs w:val="20"/>
        </w:rPr>
        <w:t xml:space="preserve"> </w:t>
      </w:r>
      <w:r w:rsidRPr="00C96166">
        <w:rPr>
          <w:rFonts w:ascii="Tahoma" w:hAnsi="Tahoma" w:cs="Tahoma"/>
          <w:sz w:val="20"/>
          <w:szCs w:val="20"/>
        </w:rPr>
        <w:t>спеціальних дозволів</w:t>
      </w:r>
      <w:r w:rsidR="0025639F" w:rsidRPr="00C96166">
        <w:rPr>
          <w:rFonts w:ascii="Tahoma" w:hAnsi="Tahoma" w:cs="Tahoma"/>
          <w:sz w:val="20"/>
          <w:szCs w:val="20"/>
        </w:rPr>
        <w:t xml:space="preserve"> на користування надрами</w:t>
      </w:r>
      <w:r w:rsidRPr="00C96166">
        <w:rPr>
          <w:rFonts w:ascii="Tahoma" w:hAnsi="Tahoma" w:cs="Tahoma"/>
          <w:sz w:val="20"/>
          <w:szCs w:val="20"/>
        </w:rPr>
        <w:t xml:space="preserve">, здійснює єдиний державний орган - </w:t>
      </w:r>
      <w:r w:rsidR="0025639F" w:rsidRPr="00C96166">
        <w:rPr>
          <w:rFonts w:ascii="Tahoma" w:hAnsi="Tahoma" w:cs="Tahoma"/>
          <w:sz w:val="20"/>
          <w:szCs w:val="20"/>
        </w:rPr>
        <w:t>принцип «</w:t>
      </w:r>
      <w:r w:rsidR="0025639F" w:rsidRPr="00C96166">
        <w:rPr>
          <w:rFonts w:ascii="Tahoma" w:hAnsi="Tahoma" w:cs="Tahoma"/>
          <w:sz w:val="20"/>
          <w:szCs w:val="20"/>
          <w:lang w:val="en-US"/>
        </w:rPr>
        <w:t>one</w:t>
      </w:r>
      <w:r w:rsidR="0025639F" w:rsidRPr="00C96166">
        <w:rPr>
          <w:rFonts w:ascii="Tahoma" w:hAnsi="Tahoma" w:cs="Tahoma"/>
          <w:sz w:val="20"/>
          <w:szCs w:val="20"/>
        </w:rPr>
        <w:t xml:space="preserve"> </w:t>
      </w:r>
      <w:r w:rsidR="0025639F" w:rsidRPr="00C96166">
        <w:rPr>
          <w:rFonts w:ascii="Tahoma" w:hAnsi="Tahoma" w:cs="Tahoma"/>
          <w:sz w:val="20"/>
          <w:szCs w:val="20"/>
          <w:lang w:val="en-US"/>
        </w:rPr>
        <w:t>stop</w:t>
      </w:r>
      <w:r w:rsidR="0025639F" w:rsidRPr="00C96166">
        <w:rPr>
          <w:rFonts w:ascii="Tahoma" w:hAnsi="Tahoma" w:cs="Tahoma"/>
          <w:sz w:val="20"/>
          <w:szCs w:val="20"/>
        </w:rPr>
        <w:t xml:space="preserve"> </w:t>
      </w:r>
      <w:r w:rsidR="0025639F" w:rsidRPr="00C96166">
        <w:rPr>
          <w:rFonts w:ascii="Tahoma" w:hAnsi="Tahoma" w:cs="Tahoma"/>
          <w:sz w:val="20"/>
          <w:szCs w:val="20"/>
          <w:lang w:val="en-US"/>
        </w:rPr>
        <w:t>shop</w:t>
      </w:r>
      <w:r w:rsidR="0025639F" w:rsidRPr="00C96166">
        <w:rPr>
          <w:rFonts w:ascii="Tahoma" w:hAnsi="Tahoma" w:cs="Tahoma"/>
          <w:sz w:val="20"/>
          <w:szCs w:val="20"/>
        </w:rPr>
        <w:t>»</w:t>
      </w:r>
      <w:r w:rsidRPr="00C96166">
        <w:rPr>
          <w:rFonts w:ascii="Tahoma" w:hAnsi="Tahoma" w:cs="Tahoma"/>
          <w:sz w:val="20"/>
          <w:szCs w:val="20"/>
        </w:rPr>
        <w:t xml:space="preserve">; </w:t>
      </w:r>
    </w:p>
    <w:p w14:paraId="0A8FD92F" w14:textId="357129AF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структура</w:t>
      </w:r>
      <w:r w:rsidR="0025639F" w:rsidRPr="00C96166">
        <w:rPr>
          <w:rFonts w:ascii="Tahoma" w:hAnsi="Tahoma" w:cs="Tahoma"/>
          <w:sz w:val="20"/>
          <w:szCs w:val="20"/>
        </w:rPr>
        <w:t xml:space="preserve"> такого</w:t>
      </w:r>
      <w:r w:rsidRPr="00C96166">
        <w:rPr>
          <w:rFonts w:ascii="Tahoma" w:hAnsi="Tahoma" w:cs="Tahoma"/>
          <w:sz w:val="20"/>
          <w:szCs w:val="20"/>
        </w:rPr>
        <w:t xml:space="preserve"> органу повинна бути чіткою та прозорою;</w:t>
      </w:r>
    </w:p>
    <w:p w14:paraId="4B8B937A" w14:textId="0ADA0DDE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Кодекс повинен встановлювати чіткі та </w:t>
      </w:r>
      <w:r w:rsidR="0025639F" w:rsidRPr="00C96166">
        <w:rPr>
          <w:rFonts w:ascii="Tahoma" w:hAnsi="Tahoma" w:cs="Tahoma"/>
          <w:sz w:val="20"/>
          <w:szCs w:val="20"/>
        </w:rPr>
        <w:t>зрозумілі</w:t>
      </w:r>
      <w:r w:rsidR="0025639F" w:rsidRPr="00C96166">
        <w:rPr>
          <w:rFonts w:ascii="Tahoma" w:hAnsi="Tahoma" w:cs="Tahoma"/>
          <w:sz w:val="20"/>
          <w:szCs w:val="20"/>
        </w:rPr>
        <w:t xml:space="preserve"> </w:t>
      </w:r>
      <w:r w:rsidRPr="00C96166">
        <w:rPr>
          <w:rFonts w:ascii="Tahoma" w:hAnsi="Tahoma" w:cs="Tahoma"/>
          <w:sz w:val="20"/>
          <w:szCs w:val="20"/>
        </w:rPr>
        <w:t>процедури для прийняття рішень (чіткі строки прийняття рішень, виключний перелік підстав для відмови у прийнятті рішень, тощо);</w:t>
      </w:r>
    </w:p>
    <w:p w14:paraId="44A57A06" w14:textId="00182165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наслідком порушення таких процедурних норм з боку державних органів є індивідуальна юридична відповідальність посадових осіб; </w:t>
      </w:r>
    </w:p>
    <w:p w14:paraId="1B4715B1" w14:textId="38C5CA7A" w:rsidR="003F4F55" w:rsidRP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 xml:space="preserve">при перевірках діяльності </w:t>
      </w:r>
      <w:proofErr w:type="spellStart"/>
      <w:r w:rsidRPr="003F4F55">
        <w:rPr>
          <w:rFonts w:ascii="Tahoma" w:hAnsi="Tahoma" w:cs="Tahoma"/>
          <w:sz w:val="20"/>
          <w:szCs w:val="20"/>
        </w:rPr>
        <w:t>надрокористувачів</w:t>
      </w:r>
      <w:proofErr w:type="spellEnd"/>
      <w:r w:rsidRPr="003F4F55">
        <w:rPr>
          <w:rFonts w:ascii="Tahoma" w:hAnsi="Tahoma" w:cs="Tahoma"/>
          <w:sz w:val="20"/>
          <w:szCs w:val="20"/>
        </w:rPr>
        <w:t xml:space="preserve"> державними органами повинен застосовуватись ризик-орієнтований підхід; </w:t>
      </w:r>
    </w:p>
    <w:p w14:paraId="5F24A871" w14:textId="064AC522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3F4F55">
        <w:rPr>
          <w:rFonts w:ascii="Tahoma" w:hAnsi="Tahoma" w:cs="Tahoma"/>
          <w:sz w:val="20"/>
          <w:szCs w:val="20"/>
          <w:u w:val="single"/>
        </w:rPr>
        <w:t>3.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F4F55">
        <w:rPr>
          <w:rFonts w:ascii="Tahoma" w:hAnsi="Tahoma" w:cs="Tahoma"/>
          <w:sz w:val="20"/>
          <w:szCs w:val="20"/>
          <w:u w:val="single"/>
        </w:rPr>
        <w:t>Кодекс повинен встановити ефективні засоби захисту інвестицій</w:t>
      </w:r>
      <w:r w:rsidR="008C478D">
        <w:rPr>
          <w:rFonts w:ascii="Tahoma" w:hAnsi="Tahoma" w:cs="Tahoma"/>
          <w:sz w:val="20"/>
          <w:szCs w:val="20"/>
          <w:u w:val="single"/>
        </w:rPr>
        <w:t>:</w:t>
      </w:r>
      <w:r w:rsidRPr="003F4F55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1C5ED7A3" w14:textId="261A27FF" w:rsidR="003F4F55" w:rsidRP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 xml:space="preserve">Кодекс повинен містити стабілізаційне застереження від змін у законодавстві протягом 3-5 річного строку з моменту прийняття Кодексу, якщо такі зміни не на користь </w:t>
      </w:r>
      <w:proofErr w:type="spellStart"/>
      <w:r w:rsidRPr="003F4F55">
        <w:rPr>
          <w:rFonts w:ascii="Tahoma" w:hAnsi="Tahoma" w:cs="Tahoma"/>
          <w:sz w:val="20"/>
          <w:szCs w:val="20"/>
        </w:rPr>
        <w:t>надрокористувача</w:t>
      </w:r>
      <w:proofErr w:type="spellEnd"/>
      <w:r w:rsidRPr="003F4F55">
        <w:rPr>
          <w:rFonts w:ascii="Tahoma" w:hAnsi="Tahoma" w:cs="Tahoma"/>
          <w:sz w:val="20"/>
          <w:szCs w:val="20"/>
        </w:rPr>
        <w:t xml:space="preserve">; </w:t>
      </w:r>
    </w:p>
    <w:p w14:paraId="7D8340DB" w14:textId="6A52B791" w:rsidR="003F4F55" w:rsidRP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>документ повинен встановити принцип  «належного урядування», який передбачає, що  ризик будь-якої помилки чи недобросовісності державного органу має покладатися на саму державу;</w:t>
      </w:r>
    </w:p>
    <w:p w14:paraId="7BF9A260" w14:textId="3A2DB378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  <w:u w:val="single"/>
        </w:rPr>
        <w:t>4.</w:t>
      </w:r>
      <w:r w:rsidRPr="003F4F55">
        <w:rPr>
          <w:rFonts w:ascii="Tahoma" w:hAnsi="Tahoma" w:cs="Tahoma"/>
          <w:sz w:val="20"/>
          <w:szCs w:val="20"/>
          <w:u w:val="single"/>
        </w:rPr>
        <w:tab/>
      </w:r>
      <w:r w:rsidRPr="003F4F55">
        <w:rPr>
          <w:rFonts w:ascii="Tahoma" w:hAnsi="Tahoma" w:cs="Tahoma"/>
          <w:sz w:val="20"/>
          <w:szCs w:val="20"/>
          <w:u w:val="single"/>
          <w:lang w:val="ru-RU"/>
        </w:rPr>
        <w:t xml:space="preserve"> </w:t>
      </w:r>
      <w:r w:rsidRPr="003F4F55">
        <w:rPr>
          <w:rFonts w:ascii="Tahoma" w:hAnsi="Tahoma" w:cs="Tahoma"/>
          <w:sz w:val="20"/>
          <w:szCs w:val="20"/>
          <w:u w:val="single"/>
        </w:rPr>
        <w:t>Кодекс повинен містити виключний перелік обов’язкових платежів за користування надрами</w:t>
      </w:r>
      <w:r w:rsidRPr="003F4F55">
        <w:rPr>
          <w:rFonts w:ascii="Tahoma" w:hAnsi="Tahoma" w:cs="Tahoma"/>
          <w:sz w:val="20"/>
          <w:szCs w:val="20"/>
        </w:rPr>
        <w:t xml:space="preserve"> (напр., початкова вартість спеціального дозволу, геологічної інформації, що знаходиться у розпорядженні держави, тощо)</w:t>
      </w:r>
      <w:r w:rsidR="008C478D">
        <w:rPr>
          <w:rFonts w:ascii="Tahoma" w:hAnsi="Tahoma" w:cs="Tahoma"/>
          <w:sz w:val="20"/>
          <w:szCs w:val="20"/>
        </w:rPr>
        <w:t>:</w:t>
      </w:r>
    </w:p>
    <w:p w14:paraId="32D72BEB" w14:textId="7C6DFAD2" w:rsidR="003F4F55" w:rsidRP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>усі платежі повинні розраховуватись у чіткий, уніфікований та прозорий спосіб;</w:t>
      </w:r>
    </w:p>
    <w:p w14:paraId="03BCB7B5" w14:textId="223C5608" w:rsidR="003F4F55" w:rsidRP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 xml:space="preserve">платежі податкового характеру повинні бути передбаченими також у Податковому кодексі. </w:t>
      </w:r>
    </w:p>
    <w:p w14:paraId="2CDE2257" w14:textId="54FC5014" w:rsidR="003F4F55" w:rsidRPr="003F4F55" w:rsidRDefault="003F4F55" w:rsidP="003F4F55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left="720" w:hanging="270"/>
        <w:jc w:val="both"/>
        <w:rPr>
          <w:rFonts w:ascii="Tahoma" w:hAnsi="Tahoma" w:cs="Tahoma"/>
          <w:b/>
          <w:sz w:val="20"/>
          <w:szCs w:val="20"/>
        </w:rPr>
      </w:pPr>
      <w:r w:rsidRPr="003F4F55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3F4F55">
        <w:rPr>
          <w:rFonts w:ascii="Tahoma" w:hAnsi="Tahoma" w:cs="Tahoma"/>
          <w:b/>
          <w:sz w:val="20"/>
          <w:szCs w:val="20"/>
        </w:rPr>
        <w:t xml:space="preserve">ПРАВО КОРИСТУВАННЯ НАДРАМИ: </w:t>
      </w:r>
    </w:p>
    <w:p w14:paraId="60D83101" w14:textId="77777777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3F4F55">
        <w:rPr>
          <w:rFonts w:ascii="Tahoma" w:hAnsi="Tahoma" w:cs="Tahoma"/>
          <w:sz w:val="20"/>
          <w:szCs w:val="20"/>
          <w:u w:val="single"/>
        </w:rPr>
        <w:t>1.</w:t>
      </w:r>
      <w:r w:rsidRPr="003F4F55">
        <w:rPr>
          <w:rFonts w:ascii="Tahoma" w:hAnsi="Tahoma" w:cs="Tahoma"/>
          <w:sz w:val="20"/>
          <w:szCs w:val="20"/>
          <w:u w:val="single"/>
        </w:rPr>
        <w:tab/>
        <w:t xml:space="preserve">  Документи, що встановлюють право на користування надрами:</w:t>
      </w:r>
    </w:p>
    <w:p w14:paraId="60DCE58D" w14:textId="26BF788D" w:rsidR="003F4F55" w:rsidRPr="00C96166" w:rsidRDefault="003F4F55" w:rsidP="00DB245C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 xml:space="preserve">Спеціальний дозвіл.  </w:t>
      </w:r>
      <w:r w:rsidR="005F4F94" w:rsidRPr="005F4F94">
        <w:rPr>
          <w:rFonts w:ascii="Tahoma" w:hAnsi="Tahoma" w:cs="Tahoma"/>
          <w:sz w:val="20"/>
          <w:szCs w:val="20"/>
        </w:rPr>
        <w:t xml:space="preserve">Необхідно запровадити </w:t>
      </w:r>
      <w:r w:rsidR="0033400D" w:rsidRPr="003F4F55">
        <w:rPr>
          <w:rFonts w:ascii="Tahoma" w:hAnsi="Tahoma" w:cs="Tahoma"/>
          <w:sz w:val="20"/>
          <w:szCs w:val="20"/>
        </w:rPr>
        <w:t xml:space="preserve">єдиний </w:t>
      </w:r>
      <w:r w:rsidR="0033400D">
        <w:rPr>
          <w:rFonts w:ascii="Tahoma" w:hAnsi="Tahoma" w:cs="Tahoma"/>
          <w:sz w:val="20"/>
          <w:szCs w:val="20"/>
        </w:rPr>
        <w:t>с</w:t>
      </w:r>
      <w:r w:rsidR="0033400D" w:rsidRPr="003F4F55">
        <w:rPr>
          <w:rFonts w:ascii="Tahoma" w:hAnsi="Tahoma" w:cs="Tahoma"/>
          <w:sz w:val="20"/>
          <w:szCs w:val="20"/>
        </w:rPr>
        <w:t>пеціальний дозвіл на користування надрами»</w:t>
      </w:r>
      <w:r w:rsidR="0033400D">
        <w:rPr>
          <w:rFonts w:ascii="Tahoma" w:hAnsi="Tahoma" w:cs="Tahoma"/>
          <w:sz w:val="20"/>
          <w:szCs w:val="20"/>
        </w:rPr>
        <w:t xml:space="preserve"> </w:t>
      </w:r>
      <w:r w:rsidR="0033400D">
        <w:rPr>
          <w:rFonts w:ascii="Tahoma" w:hAnsi="Tahoma" w:cs="Tahoma"/>
          <w:sz w:val="20"/>
          <w:szCs w:val="20"/>
        </w:rPr>
        <w:t xml:space="preserve">який замінить різні спецдозволи, </w:t>
      </w:r>
      <w:r w:rsidR="0033400D">
        <w:rPr>
          <w:rFonts w:ascii="Tahoma" w:hAnsi="Tahoma" w:cs="Tahoma"/>
          <w:sz w:val="20"/>
          <w:szCs w:val="20"/>
        </w:rPr>
        <w:t>що</w:t>
      </w:r>
      <w:r w:rsidR="0033400D">
        <w:rPr>
          <w:rFonts w:ascii="Tahoma" w:hAnsi="Tahoma" w:cs="Tahoma"/>
          <w:sz w:val="20"/>
          <w:szCs w:val="20"/>
        </w:rPr>
        <w:t xml:space="preserve"> існують на сьогодні (</w:t>
      </w:r>
      <w:r w:rsidR="0033400D" w:rsidRPr="005F4F94">
        <w:rPr>
          <w:rFonts w:ascii="Tahoma" w:hAnsi="Tahoma" w:cs="Tahoma"/>
          <w:sz w:val="20"/>
          <w:szCs w:val="20"/>
        </w:rPr>
        <w:t>"розвідка", "</w:t>
      </w:r>
      <w:r w:rsidR="0033400D">
        <w:rPr>
          <w:rFonts w:ascii="Tahoma" w:hAnsi="Tahoma" w:cs="Tahoma"/>
          <w:sz w:val="20"/>
          <w:szCs w:val="20"/>
        </w:rPr>
        <w:t xml:space="preserve">розвідка </w:t>
      </w:r>
      <w:r w:rsidR="0033400D" w:rsidRPr="005F4F94">
        <w:rPr>
          <w:rFonts w:ascii="Tahoma" w:hAnsi="Tahoma" w:cs="Tahoma"/>
          <w:sz w:val="20"/>
          <w:szCs w:val="20"/>
        </w:rPr>
        <w:t xml:space="preserve">з </w:t>
      </w:r>
      <w:r w:rsidR="00C96166" w:rsidRPr="00C96166">
        <w:rPr>
          <w:rFonts w:ascii="Tahoma" w:hAnsi="Tahoma" w:cs="Tahoma"/>
          <w:sz w:val="20"/>
          <w:szCs w:val="20"/>
        </w:rPr>
        <w:t>промисловою</w:t>
      </w:r>
      <w:r w:rsidR="0033400D" w:rsidRPr="005F4F94">
        <w:rPr>
          <w:rFonts w:ascii="Tahoma" w:hAnsi="Tahoma" w:cs="Tahoma"/>
          <w:sz w:val="20"/>
          <w:szCs w:val="20"/>
        </w:rPr>
        <w:t xml:space="preserve"> </w:t>
      </w:r>
      <w:r w:rsidR="0033400D">
        <w:rPr>
          <w:rFonts w:ascii="Tahoma" w:hAnsi="Tahoma" w:cs="Tahoma"/>
          <w:sz w:val="20"/>
          <w:szCs w:val="20"/>
        </w:rPr>
        <w:t>розробкою родовища</w:t>
      </w:r>
      <w:r w:rsidR="0033400D" w:rsidRPr="005F4F94">
        <w:rPr>
          <w:rFonts w:ascii="Tahoma" w:hAnsi="Tahoma" w:cs="Tahoma"/>
          <w:sz w:val="20"/>
          <w:szCs w:val="20"/>
        </w:rPr>
        <w:t>", "</w:t>
      </w:r>
      <w:r w:rsidR="0033400D">
        <w:rPr>
          <w:rFonts w:ascii="Tahoma" w:hAnsi="Tahoma" w:cs="Tahoma"/>
          <w:sz w:val="20"/>
          <w:szCs w:val="20"/>
        </w:rPr>
        <w:t>видобуток</w:t>
      </w:r>
      <w:r w:rsidR="0033400D" w:rsidRPr="005F4F94">
        <w:rPr>
          <w:rFonts w:ascii="Tahoma" w:hAnsi="Tahoma" w:cs="Tahoma"/>
          <w:sz w:val="20"/>
          <w:szCs w:val="20"/>
        </w:rPr>
        <w:t>"</w:t>
      </w:r>
      <w:r w:rsidR="0033400D">
        <w:rPr>
          <w:rFonts w:ascii="Tahoma" w:hAnsi="Tahoma" w:cs="Tahoma"/>
          <w:sz w:val="20"/>
          <w:szCs w:val="20"/>
        </w:rPr>
        <w:t>)</w:t>
      </w:r>
      <w:r w:rsidR="005F4F94" w:rsidRPr="005F4F94">
        <w:rPr>
          <w:rFonts w:ascii="Tahoma" w:hAnsi="Tahoma" w:cs="Tahoma"/>
          <w:sz w:val="20"/>
          <w:szCs w:val="20"/>
        </w:rPr>
        <w:t xml:space="preserve">, тоді як </w:t>
      </w:r>
      <w:r w:rsidR="0033400D">
        <w:rPr>
          <w:rFonts w:ascii="Tahoma" w:hAnsi="Tahoma" w:cs="Tahoma"/>
          <w:sz w:val="20"/>
          <w:szCs w:val="20"/>
        </w:rPr>
        <w:t>спеціальні дозволи на користування надрами, видані раніше,</w:t>
      </w:r>
      <w:r w:rsidR="005F4F94" w:rsidRPr="005F4F94">
        <w:rPr>
          <w:rFonts w:ascii="Tahoma" w:hAnsi="Tahoma" w:cs="Tahoma"/>
          <w:sz w:val="20"/>
          <w:szCs w:val="20"/>
        </w:rPr>
        <w:t xml:space="preserve"> </w:t>
      </w:r>
      <w:r w:rsidR="0033400D">
        <w:rPr>
          <w:rFonts w:ascii="Tahoma" w:hAnsi="Tahoma" w:cs="Tahoma"/>
          <w:sz w:val="20"/>
          <w:szCs w:val="20"/>
        </w:rPr>
        <w:t>залишатимуться в силі до</w:t>
      </w:r>
      <w:r w:rsidR="005F4F94" w:rsidRPr="005F4F94">
        <w:rPr>
          <w:rFonts w:ascii="Tahoma" w:hAnsi="Tahoma" w:cs="Tahoma"/>
          <w:sz w:val="20"/>
          <w:szCs w:val="20"/>
        </w:rPr>
        <w:t xml:space="preserve"> закінчення строку їх дії</w:t>
      </w:r>
      <w:r w:rsidR="005F4F94">
        <w:rPr>
          <w:rFonts w:ascii="Tahoma" w:hAnsi="Tahoma" w:cs="Tahoma"/>
          <w:sz w:val="20"/>
          <w:szCs w:val="20"/>
        </w:rPr>
        <w:t xml:space="preserve">. </w:t>
      </w:r>
      <w:r w:rsidRPr="003F4F55">
        <w:rPr>
          <w:rFonts w:ascii="Tahoma" w:hAnsi="Tahoma" w:cs="Tahoma"/>
          <w:sz w:val="20"/>
          <w:szCs w:val="20"/>
        </w:rPr>
        <w:t xml:space="preserve">Права на </w:t>
      </w:r>
      <w:r w:rsidR="0033400D">
        <w:rPr>
          <w:rFonts w:ascii="Tahoma" w:hAnsi="Tahoma" w:cs="Tahoma"/>
          <w:sz w:val="20"/>
          <w:szCs w:val="20"/>
        </w:rPr>
        <w:t>використання надрами</w:t>
      </w:r>
      <w:r w:rsidR="0033400D" w:rsidRPr="003F4F55">
        <w:rPr>
          <w:rFonts w:ascii="Tahoma" w:hAnsi="Tahoma" w:cs="Tahoma"/>
          <w:sz w:val="20"/>
          <w:szCs w:val="20"/>
        </w:rPr>
        <w:t xml:space="preserve"> </w:t>
      </w:r>
      <w:r w:rsidRPr="003F4F55">
        <w:rPr>
          <w:rFonts w:ascii="Tahoma" w:hAnsi="Tahoma" w:cs="Tahoma"/>
          <w:sz w:val="20"/>
          <w:szCs w:val="20"/>
        </w:rPr>
        <w:t>не повинні розділятись на етапи,</w:t>
      </w:r>
      <w:r w:rsidR="0033400D">
        <w:rPr>
          <w:rFonts w:ascii="Tahoma" w:hAnsi="Tahoma" w:cs="Tahoma"/>
          <w:sz w:val="20"/>
          <w:szCs w:val="20"/>
        </w:rPr>
        <w:t xml:space="preserve"> а</w:t>
      </w:r>
      <w:r w:rsidRPr="003F4F5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4F55">
        <w:rPr>
          <w:rFonts w:ascii="Tahoma" w:hAnsi="Tahoma" w:cs="Tahoma"/>
          <w:sz w:val="20"/>
          <w:szCs w:val="20"/>
        </w:rPr>
        <w:t>надрокористувачі</w:t>
      </w:r>
      <w:proofErr w:type="spellEnd"/>
      <w:r w:rsidRPr="003F4F55">
        <w:rPr>
          <w:rFonts w:ascii="Tahoma" w:hAnsi="Tahoma" w:cs="Tahoma"/>
          <w:sz w:val="20"/>
          <w:szCs w:val="20"/>
        </w:rPr>
        <w:t xml:space="preserve"> самі вирішувати</w:t>
      </w:r>
      <w:r w:rsidR="0033400D">
        <w:rPr>
          <w:rFonts w:ascii="Tahoma" w:hAnsi="Tahoma" w:cs="Tahoma"/>
          <w:sz w:val="20"/>
          <w:szCs w:val="20"/>
        </w:rPr>
        <w:t>муть,</w:t>
      </w:r>
      <w:r w:rsidRPr="003F4F55">
        <w:rPr>
          <w:rFonts w:ascii="Tahoma" w:hAnsi="Tahoma" w:cs="Tahoma"/>
          <w:sz w:val="20"/>
          <w:szCs w:val="20"/>
        </w:rPr>
        <w:t xml:space="preserve"> коли переходити на черговий етап </w:t>
      </w:r>
      <w:proofErr w:type="spellStart"/>
      <w:r w:rsidRPr="00C96166">
        <w:rPr>
          <w:rFonts w:ascii="Tahoma" w:hAnsi="Tahoma" w:cs="Tahoma"/>
          <w:sz w:val="20"/>
          <w:szCs w:val="20"/>
        </w:rPr>
        <w:t>надрокористування</w:t>
      </w:r>
      <w:proofErr w:type="spellEnd"/>
      <w:r w:rsidRPr="00C96166">
        <w:rPr>
          <w:rFonts w:ascii="Tahoma" w:hAnsi="Tahoma" w:cs="Tahoma"/>
          <w:sz w:val="20"/>
          <w:szCs w:val="20"/>
        </w:rPr>
        <w:t xml:space="preserve"> (розвідка, видобування тощо). Строк</w:t>
      </w:r>
      <w:r w:rsidR="0033400D" w:rsidRPr="00C96166">
        <w:rPr>
          <w:rFonts w:ascii="Tahoma" w:hAnsi="Tahoma" w:cs="Tahoma"/>
          <w:sz w:val="20"/>
          <w:szCs w:val="20"/>
        </w:rPr>
        <w:t>и</w:t>
      </w:r>
      <w:r w:rsidRPr="00C96166">
        <w:rPr>
          <w:rFonts w:ascii="Tahoma" w:hAnsi="Tahoma" w:cs="Tahoma"/>
          <w:sz w:val="20"/>
          <w:szCs w:val="20"/>
        </w:rPr>
        <w:t xml:space="preserve"> на реалізацію прав на </w:t>
      </w:r>
      <w:proofErr w:type="spellStart"/>
      <w:r w:rsidRPr="00C96166">
        <w:rPr>
          <w:rFonts w:ascii="Tahoma" w:hAnsi="Tahoma" w:cs="Tahoma"/>
          <w:sz w:val="20"/>
          <w:szCs w:val="20"/>
        </w:rPr>
        <w:t>надрокористування</w:t>
      </w:r>
      <w:proofErr w:type="spellEnd"/>
      <w:r w:rsidRPr="00C96166">
        <w:rPr>
          <w:rFonts w:ascii="Tahoma" w:hAnsi="Tahoma" w:cs="Tahoma"/>
          <w:sz w:val="20"/>
          <w:szCs w:val="20"/>
        </w:rPr>
        <w:t xml:space="preserve"> </w:t>
      </w:r>
      <w:r w:rsidR="0033400D" w:rsidRPr="00C96166">
        <w:rPr>
          <w:rFonts w:ascii="Tahoma" w:hAnsi="Tahoma" w:cs="Tahoma"/>
          <w:sz w:val="20"/>
          <w:szCs w:val="20"/>
        </w:rPr>
        <w:t>на</w:t>
      </w:r>
      <w:r w:rsidR="008C478D">
        <w:rPr>
          <w:rFonts w:ascii="Tahoma" w:hAnsi="Tahoma" w:cs="Tahoma"/>
          <w:sz w:val="20"/>
          <w:szCs w:val="20"/>
        </w:rPr>
        <w:t xml:space="preserve"> </w:t>
      </w:r>
      <w:r w:rsidR="0033400D" w:rsidRPr="00C96166">
        <w:rPr>
          <w:rFonts w:ascii="Tahoma" w:hAnsi="Tahoma" w:cs="Tahoma"/>
          <w:sz w:val="20"/>
          <w:szCs w:val="20"/>
        </w:rPr>
        <w:t xml:space="preserve">окремих етапах </w:t>
      </w:r>
      <w:r w:rsidR="0033400D" w:rsidRPr="00C96166">
        <w:rPr>
          <w:rFonts w:ascii="Tahoma" w:hAnsi="Tahoma" w:cs="Tahoma"/>
          <w:sz w:val="20"/>
          <w:szCs w:val="20"/>
        </w:rPr>
        <w:t>повин</w:t>
      </w:r>
      <w:r w:rsidR="0033400D" w:rsidRPr="00C96166">
        <w:rPr>
          <w:rFonts w:ascii="Tahoma" w:hAnsi="Tahoma" w:cs="Tahoma"/>
          <w:sz w:val="20"/>
          <w:szCs w:val="20"/>
        </w:rPr>
        <w:t>ні</w:t>
      </w:r>
      <w:r w:rsidR="0033400D" w:rsidRPr="00C96166">
        <w:rPr>
          <w:rFonts w:ascii="Tahoma" w:hAnsi="Tahoma" w:cs="Tahoma"/>
          <w:sz w:val="20"/>
          <w:szCs w:val="20"/>
        </w:rPr>
        <w:t xml:space="preserve"> </w:t>
      </w:r>
      <w:r w:rsidRPr="00C96166">
        <w:rPr>
          <w:rFonts w:ascii="Tahoma" w:hAnsi="Tahoma" w:cs="Tahoma"/>
          <w:sz w:val="20"/>
          <w:szCs w:val="20"/>
        </w:rPr>
        <w:t>бути скасованим</w:t>
      </w:r>
      <w:r w:rsidR="0033400D" w:rsidRPr="00C96166">
        <w:rPr>
          <w:rFonts w:ascii="Tahoma" w:hAnsi="Tahoma" w:cs="Tahoma"/>
          <w:sz w:val="20"/>
          <w:szCs w:val="20"/>
        </w:rPr>
        <w:t>и</w:t>
      </w:r>
      <w:r w:rsidRPr="00C96166">
        <w:rPr>
          <w:rFonts w:ascii="Tahoma" w:hAnsi="Tahoma" w:cs="Tahoma"/>
          <w:sz w:val="20"/>
          <w:szCs w:val="20"/>
        </w:rPr>
        <w:t xml:space="preserve">. Загальний строк для спеціального дозволу повинен бути </w:t>
      </w:r>
      <w:r w:rsidR="00421A52" w:rsidRPr="00C96166">
        <w:rPr>
          <w:rFonts w:ascii="Tahoma" w:hAnsi="Tahoma" w:cs="Tahoma"/>
          <w:sz w:val="20"/>
          <w:szCs w:val="20"/>
        </w:rPr>
        <w:t>що</w:t>
      </w:r>
      <w:r w:rsidR="005F4F94" w:rsidRPr="00C96166">
        <w:rPr>
          <w:rFonts w:ascii="Tahoma" w:hAnsi="Tahoma" w:cs="Tahoma"/>
          <w:sz w:val="20"/>
          <w:szCs w:val="20"/>
        </w:rPr>
        <w:t>найменш</w:t>
      </w:r>
      <w:r w:rsidR="0033400D" w:rsidRPr="00C96166">
        <w:rPr>
          <w:rFonts w:ascii="Tahoma" w:hAnsi="Tahoma" w:cs="Tahoma"/>
          <w:sz w:val="20"/>
          <w:szCs w:val="20"/>
        </w:rPr>
        <w:t>е</w:t>
      </w:r>
      <w:r w:rsidR="00C96166" w:rsidRPr="00C96166">
        <w:rPr>
          <w:rFonts w:ascii="Tahoma" w:hAnsi="Tahoma" w:cs="Tahoma"/>
          <w:sz w:val="20"/>
          <w:szCs w:val="20"/>
        </w:rPr>
        <w:t xml:space="preserve"> </w:t>
      </w:r>
      <w:r w:rsidR="005F4F94" w:rsidRPr="00C96166">
        <w:rPr>
          <w:rFonts w:ascii="Tahoma" w:hAnsi="Tahoma" w:cs="Tahoma"/>
          <w:sz w:val="20"/>
          <w:szCs w:val="20"/>
        </w:rPr>
        <w:t>25 років</w:t>
      </w:r>
      <w:r w:rsidRPr="00C96166">
        <w:rPr>
          <w:rFonts w:ascii="Tahoma" w:hAnsi="Tahoma" w:cs="Tahoma"/>
          <w:sz w:val="20"/>
          <w:szCs w:val="20"/>
        </w:rPr>
        <w:t xml:space="preserve">. Окремий перехідних механізм необхідно передбачити для </w:t>
      </w:r>
      <w:proofErr w:type="spellStart"/>
      <w:r w:rsidRPr="00C96166">
        <w:rPr>
          <w:rFonts w:ascii="Tahoma" w:hAnsi="Tahoma" w:cs="Tahoma"/>
          <w:sz w:val="20"/>
          <w:szCs w:val="20"/>
        </w:rPr>
        <w:t>надрокористувачів</w:t>
      </w:r>
      <w:proofErr w:type="spellEnd"/>
      <w:r w:rsidRPr="00C96166">
        <w:rPr>
          <w:rFonts w:ascii="Tahoma" w:hAnsi="Tahoma" w:cs="Tahoma"/>
          <w:sz w:val="20"/>
          <w:szCs w:val="20"/>
        </w:rPr>
        <w:t>, які на момент прийняття Кодексу, є власниками спеціальних дозволів на геологічне вивчення, в тому числі дослідно-промислову розробку родовищ</w:t>
      </w:r>
      <w:r w:rsidR="00421A52" w:rsidRPr="00C96166">
        <w:rPr>
          <w:rFonts w:ascii="Tahoma" w:hAnsi="Tahoma" w:cs="Tahoma"/>
          <w:sz w:val="20"/>
          <w:szCs w:val="20"/>
        </w:rPr>
        <w:t xml:space="preserve">. Права на подовження терміну дії </w:t>
      </w:r>
      <w:r w:rsidR="0033400D" w:rsidRPr="00C96166">
        <w:rPr>
          <w:rFonts w:ascii="Tahoma" w:hAnsi="Tahoma" w:cs="Tahoma"/>
          <w:sz w:val="20"/>
          <w:szCs w:val="20"/>
        </w:rPr>
        <w:t xml:space="preserve">спеціального дозволу </w:t>
      </w:r>
      <w:r w:rsidR="00421A52" w:rsidRPr="00C96166">
        <w:rPr>
          <w:rFonts w:ascii="Tahoma" w:hAnsi="Tahoma" w:cs="Tahoma"/>
          <w:sz w:val="20"/>
          <w:szCs w:val="20"/>
        </w:rPr>
        <w:t xml:space="preserve">повинні надаватися та </w:t>
      </w:r>
      <w:r w:rsidR="0033400D" w:rsidRPr="00C96166">
        <w:rPr>
          <w:rFonts w:ascii="Tahoma" w:hAnsi="Tahoma" w:cs="Tahoma"/>
          <w:sz w:val="20"/>
          <w:szCs w:val="20"/>
        </w:rPr>
        <w:t xml:space="preserve">бути </w:t>
      </w:r>
      <w:r w:rsidR="00421A52" w:rsidRPr="00C96166">
        <w:rPr>
          <w:rFonts w:ascii="Tahoma" w:hAnsi="Tahoma" w:cs="Tahoma"/>
          <w:sz w:val="20"/>
          <w:szCs w:val="20"/>
        </w:rPr>
        <w:t>гарантован</w:t>
      </w:r>
      <w:r w:rsidR="0033400D" w:rsidRPr="00C96166">
        <w:rPr>
          <w:rFonts w:ascii="Tahoma" w:hAnsi="Tahoma" w:cs="Tahoma"/>
          <w:sz w:val="20"/>
          <w:szCs w:val="20"/>
        </w:rPr>
        <w:t>ими</w:t>
      </w:r>
      <w:r w:rsidR="00421A52" w:rsidRPr="00C96166">
        <w:rPr>
          <w:rFonts w:ascii="Tahoma" w:hAnsi="Tahoma" w:cs="Tahoma"/>
          <w:sz w:val="20"/>
          <w:szCs w:val="20"/>
        </w:rPr>
        <w:t xml:space="preserve"> користувачам надр, </w:t>
      </w:r>
      <w:r w:rsidR="0033400D" w:rsidRPr="00C96166">
        <w:rPr>
          <w:rFonts w:ascii="Tahoma" w:hAnsi="Tahoma" w:cs="Tahoma"/>
          <w:sz w:val="20"/>
          <w:szCs w:val="20"/>
        </w:rPr>
        <w:t>о</w:t>
      </w:r>
      <w:r w:rsidR="00421A52" w:rsidRPr="00C96166">
        <w:rPr>
          <w:rFonts w:ascii="Tahoma" w:hAnsi="Tahoma" w:cs="Tahoma"/>
          <w:sz w:val="20"/>
          <w:szCs w:val="20"/>
        </w:rPr>
        <w:t xml:space="preserve">крім </w:t>
      </w:r>
      <w:r w:rsidR="0033400D" w:rsidRPr="00C96166">
        <w:rPr>
          <w:rFonts w:ascii="Tahoma" w:hAnsi="Tahoma" w:cs="Tahoma"/>
          <w:sz w:val="20"/>
          <w:szCs w:val="20"/>
        </w:rPr>
        <w:t xml:space="preserve">як </w:t>
      </w:r>
      <w:r w:rsidR="00B93CD1" w:rsidRPr="00C96166">
        <w:rPr>
          <w:rFonts w:ascii="Tahoma" w:hAnsi="Tahoma" w:cs="Tahoma"/>
          <w:sz w:val="20"/>
          <w:szCs w:val="20"/>
        </w:rPr>
        <w:t>за певних умов, чітко</w:t>
      </w:r>
      <w:r w:rsidR="00421A52" w:rsidRPr="00C96166">
        <w:rPr>
          <w:rFonts w:ascii="Tahoma" w:hAnsi="Tahoma" w:cs="Tahoma"/>
          <w:sz w:val="20"/>
          <w:szCs w:val="20"/>
        </w:rPr>
        <w:t xml:space="preserve"> передбачених Кодексом про надра.</w:t>
      </w:r>
    </w:p>
    <w:p w14:paraId="155F4B89" w14:textId="1A8AA2D7" w:rsidR="003F4F55" w:rsidRP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Угода про розподіл продукції. Необхідно визначити критерії щодо номінації ділянки для УРП: інтенсивність</w:t>
      </w:r>
      <w:r w:rsidRPr="003F4F55">
        <w:rPr>
          <w:rFonts w:ascii="Tahoma" w:hAnsi="Tahoma" w:cs="Tahoma"/>
          <w:sz w:val="20"/>
          <w:szCs w:val="20"/>
        </w:rPr>
        <w:t xml:space="preserve"> капіталу, глибоководне буріння, буріння на шельфі.</w:t>
      </w:r>
    </w:p>
    <w:p w14:paraId="7C8BAF83" w14:textId="5395C92D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3F4F55">
        <w:rPr>
          <w:rFonts w:ascii="Tahoma" w:hAnsi="Tahoma" w:cs="Tahoma"/>
          <w:sz w:val="20"/>
          <w:szCs w:val="20"/>
          <w:u w:val="single"/>
        </w:rPr>
        <w:lastRenderedPageBreak/>
        <w:t>2.</w:t>
      </w:r>
      <w:r w:rsidRPr="003F4F55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F4F55">
        <w:rPr>
          <w:rFonts w:ascii="Tahoma" w:hAnsi="Tahoma" w:cs="Tahoma"/>
          <w:sz w:val="20"/>
          <w:szCs w:val="20"/>
          <w:u w:val="single"/>
        </w:rPr>
        <w:t xml:space="preserve">Користувачі надр: </w:t>
      </w:r>
    </w:p>
    <w:p w14:paraId="15D92D14" w14:textId="5048216A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 xml:space="preserve">можуть бути в тому числі і іноземні юридичні або фізичні особи (з зобов’язанням зареєструватись платником </w:t>
      </w:r>
      <w:r w:rsidRPr="00C96166">
        <w:rPr>
          <w:rFonts w:ascii="Tahoma" w:hAnsi="Tahoma" w:cs="Tahoma"/>
          <w:sz w:val="20"/>
          <w:szCs w:val="20"/>
        </w:rPr>
        <w:t>податків/відкрити представництво після отримання прав користування надрами).</w:t>
      </w:r>
    </w:p>
    <w:p w14:paraId="55794485" w14:textId="77777777" w:rsidR="003F4F55" w:rsidRPr="00C96166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C96166">
        <w:rPr>
          <w:rFonts w:ascii="Tahoma" w:hAnsi="Tahoma" w:cs="Tahoma"/>
          <w:sz w:val="20"/>
          <w:szCs w:val="20"/>
          <w:u w:val="single"/>
        </w:rPr>
        <w:t>3.</w:t>
      </w:r>
      <w:r w:rsidRPr="00C96166">
        <w:rPr>
          <w:rFonts w:ascii="Tahoma" w:hAnsi="Tahoma" w:cs="Tahoma"/>
          <w:sz w:val="20"/>
          <w:szCs w:val="20"/>
          <w:u w:val="single"/>
        </w:rPr>
        <w:tab/>
        <w:t xml:space="preserve">Набуття права користування надрами: </w:t>
      </w:r>
    </w:p>
    <w:p w14:paraId="284696AF" w14:textId="094C543B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за результатами проведення аукціону; </w:t>
      </w:r>
    </w:p>
    <w:p w14:paraId="6018C829" w14:textId="64EE01AB" w:rsidR="00421A52" w:rsidRPr="00C96166" w:rsidRDefault="00421A52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надання </w:t>
      </w:r>
      <w:r w:rsidR="00B93CD1" w:rsidRPr="00C96166">
        <w:rPr>
          <w:rFonts w:ascii="Tahoma" w:hAnsi="Tahoma" w:cs="Tahoma"/>
          <w:sz w:val="20"/>
          <w:szCs w:val="20"/>
        </w:rPr>
        <w:t>спеціальних дозволів на користування надрами</w:t>
      </w:r>
      <w:r w:rsidRPr="00C96166">
        <w:rPr>
          <w:rFonts w:ascii="Tahoma" w:hAnsi="Tahoma" w:cs="Tahoma"/>
          <w:sz w:val="20"/>
          <w:szCs w:val="20"/>
        </w:rPr>
        <w:t xml:space="preserve"> без проведення аукціону має відбуватися лише </w:t>
      </w:r>
      <w:r w:rsidR="00B93CD1" w:rsidRPr="00C96166">
        <w:rPr>
          <w:rFonts w:ascii="Tahoma" w:hAnsi="Tahoma" w:cs="Tahoma"/>
          <w:sz w:val="20"/>
          <w:szCs w:val="20"/>
        </w:rPr>
        <w:t xml:space="preserve">за вичерпного переліку підстав, </w:t>
      </w:r>
      <w:r w:rsidRPr="00C96166">
        <w:rPr>
          <w:rFonts w:ascii="Tahoma" w:hAnsi="Tahoma" w:cs="Tahoma"/>
          <w:sz w:val="20"/>
          <w:szCs w:val="20"/>
        </w:rPr>
        <w:t>чітко визначен</w:t>
      </w:r>
      <w:r w:rsidR="00B93CD1" w:rsidRPr="00C96166">
        <w:rPr>
          <w:rFonts w:ascii="Tahoma" w:hAnsi="Tahoma" w:cs="Tahoma"/>
          <w:sz w:val="20"/>
          <w:szCs w:val="20"/>
        </w:rPr>
        <w:t>ого</w:t>
      </w:r>
      <w:r w:rsidRPr="00C96166">
        <w:rPr>
          <w:rFonts w:ascii="Tahoma" w:hAnsi="Tahoma" w:cs="Tahoma"/>
          <w:sz w:val="20"/>
          <w:szCs w:val="20"/>
        </w:rPr>
        <w:t xml:space="preserve"> Кодексом </w:t>
      </w:r>
      <w:r w:rsidR="00F371F0" w:rsidRPr="00C96166">
        <w:rPr>
          <w:rFonts w:ascii="Tahoma" w:hAnsi="Tahoma" w:cs="Tahoma"/>
          <w:sz w:val="20"/>
          <w:szCs w:val="20"/>
        </w:rPr>
        <w:t xml:space="preserve">про </w:t>
      </w:r>
      <w:r w:rsidRPr="00C96166">
        <w:rPr>
          <w:rFonts w:ascii="Tahoma" w:hAnsi="Tahoma" w:cs="Tahoma"/>
          <w:sz w:val="20"/>
          <w:szCs w:val="20"/>
        </w:rPr>
        <w:t>н</w:t>
      </w:r>
      <w:r w:rsidR="00F371F0" w:rsidRPr="00C96166">
        <w:rPr>
          <w:rFonts w:ascii="Tahoma" w:hAnsi="Tahoma" w:cs="Tahoma"/>
          <w:sz w:val="20"/>
          <w:szCs w:val="20"/>
        </w:rPr>
        <w:t>а</w:t>
      </w:r>
      <w:r w:rsidRPr="00C96166">
        <w:rPr>
          <w:rFonts w:ascii="Tahoma" w:hAnsi="Tahoma" w:cs="Tahoma"/>
          <w:sz w:val="20"/>
          <w:szCs w:val="20"/>
        </w:rPr>
        <w:t>др</w:t>
      </w:r>
      <w:r w:rsidR="00F371F0" w:rsidRPr="00C96166">
        <w:rPr>
          <w:rFonts w:ascii="Tahoma" w:hAnsi="Tahoma" w:cs="Tahoma"/>
          <w:sz w:val="20"/>
          <w:szCs w:val="20"/>
        </w:rPr>
        <w:t>а</w:t>
      </w:r>
      <w:r w:rsidRPr="00C96166">
        <w:rPr>
          <w:rFonts w:ascii="Tahoma" w:hAnsi="Tahoma" w:cs="Tahoma"/>
          <w:sz w:val="20"/>
          <w:szCs w:val="20"/>
        </w:rPr>
        <w:t>.</w:t>
      </w:r>
    </w:p>
    <w:p w14:paraId="660BFD93" w14:textId="7A887356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укладення угоди про розподіл продукції за ЗУ «Про угоди про розподіл продукції»;</w:t>
      </w:r>
    </w:p>
    <w:p w14:paraId="750BD028" w14:textId="64CE553E" w:rsidR="003F4F55" w:rsidRPr="00C96166" w:rsidRDefault="003F4F55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на підставі цивільно-правових угод</w:t>
      </w:r>
      <w:r w:rsidR="00F371F0" w:rsidRPr="00C96166">
        <w:rPr>
          <w:rFonts w:ascii="Tahoma" w:hAnsi="Tahoma" w:cs="Tahoma"/>
          <w:sz w:val="20"/>
          <w:szCs w:val="20"/>
        </w:rPr>
        <w:t xml:space="preserve"> (відчуження прав на </w:t>
      </w:r>
      <w:proofErr w:type="spellStart"/>
      <w:r w:rsidR="00F371F0" w:rsidRPr="00C96166">
        <w:rPr>
          <w:rFonts w:ascii="Tahoma" w:hAnsi="Tahoma" w:cs="Tahoma"/>
          <w:sz w:val="20"/>
          <w:szCs w:val="20"/>
        </w:rPr>
        <w:t>надрокористування</w:t>
      </w:r>
      <w:proofErr w:type="spellEnd"/>
      <w:r w:rsidR="00F371F0" w:rsidRPr="00C96166">
        <w:rPr>
          <w:rFonts w:ascii="Tahoma" w:hAnsi="Tahoma" w:cs="Tahoma"/>
          <w:sz w:val="20"/>
          <w:szCs w:val="20"/>
        </w:rPr>
        <w:t xml:space="preserve"> третій стороні</w:t>
      </w:r>
      <w:r w:rsidR="00B93CD1" w:rsidRPr="00C96166">
        <w:rPr>
          <w:rFonts w:ascii="Tahoma" w:hAnsi="Tahoma" w:cs="Tahoma"/>
          <w:sz w:val="20"/>
          <w:szCs w:val="20"/>
          <w:lang w:val="ru-RU"/>
        </w:rPr>
        <w:t xml:space="preserve"> </w:t>
      </w:r>
      <w:r w:rsidR="00B93CD1" w:rsidRPr="00C96166">
        <w:rPr>
          <w:rFonts w:ascii="Tahoma" w:hAnsi="Tahoma" w:cs="Tahoma"/>
          <w:sz w:val="20"/>
          <w:szCs w:val="20"/>
        </w:rPr>
        <w:t>тощо</w:t>
      </w:r>
      <w:r w:rsidR="00F371F0" w:rsidRPr="00C96166">
        <w:rPr>
          <w:rFonts w:ascii="Tahoma" w:hAnsi="Tahoma" w:cs="Tahoma"/>
          <w:sz w:val="20"/>
          <w:szCs w:val="20"/>
        </w:rPr>
        <w:t>).</w:t>
      </w:r>
    </w:p>
    <w:p w14:paraId="1262CAFE" w14:textId="37F80610" w:rsidR="003F4F55" w:rsidRPr="00C96166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C96166">
        <w:rPr>
          <w:rFonts w:ascii="Tahoma" w:hAnsi="Tahoma" w:cs="Tahoma"/>
          <w:sz w:val="20"/>
          <w:szCs w:val="20"/>
          <w:u w:val="single"/>
        </w:rPr>
        <w:t>4.</w:t>
      </w:r>
      <w:r w:rsidRPr="00C96166">
        <w:rPr>
          <w:rFonts w:ascii="Tahoma" w:hAnsi="Tahoma" w:cs="Tahoma"/>
          <w:sz w:val="20"/>
          <w:szCs w:val="20"/>
          <w:u w:val="single"/>
        </w:rPr>
        <w:tab/>
        <w:t xml:space="preserve"> Аукціон: </w:t>
      </w:r>
    </w:p>
    <w:p w14:paraId="73123EB3" w14:textId="45CC5093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всі етапи аукціону є відкритими, прозорими та публічними;</w:t>
      </w:r>
    </w:p>
    <w:p w14:paraId="1DFC3D5C" w14:textId="228743B7" w:rsidR="003F4F55" w:rsidRPr="00C96166" w:rsidRDefault="00F371F0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Міністерство екології та природний ресурсів України виступає </w:t>
      </w:r>
      <w:r w:rsidR="003F4F55" w:rsidRPr="00C96166">
        <w:rPr>
          <w:rFonts w:ascii="Tahoma" w:hAnsi="Tahoma" w:cs="Tahoma"/>
          <w:sz w:val="20"/>
          <w:szCs w:val="20"/>
        </w:rPr>
        <w:t xml:space="preserve">організатором </w:t>
      </w:r>
      <w:r w:rsidRPr="00C96166">
        <w:rPr>
          <w:rFonts w:ascii="Tahoma" w:hAnsi="Tahoma" w:cs="Tahoma"/>
          <w:sz w:val="20"/>
          <w:szCs w:val="20"/>
        </w:rPr>
        <w:t xml:space="preserve">і проводить </w:t>
      </w:r>
      <w:r w:rsidR="003F4F55" w:rsidRPr="00C96166">
        <w:rPr>
          <w:rFonts w:ascii="Tahoma" w:hAnsi="Tahoma" w:cs="Tahoma"/>
          <w:sz w:val="20"/>
          <w:szCs w:val="20"/>
        </w:rPr>
        <w:t>аукціон;</w:t>
      </w:r>
    </w:p>
    <w:p w14:paraId="70CAAE49" w14:textId="6B86036F" w:rsidR="003F4F55" w:rsidRPr="00C96166" w:rsidRDefault="00F371F0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аукціон щодо ділянки надр може бути </w:t>
      </w:r>
      <w:r w:rsidR="003F4F55" w:rsidRPr="00C96166">
        <w:rPr>
          <w:rFonts w:ascii="Tahoma" w:hAnsi="Tahoma" w:cs="Tahoma"/>
          <w:sz w:val="20"/>
          <w:szCs w:val="20"/>
        </w:rPr>
        <w:t>ініці</w:t>
      </w:r>
      <w:r w:rsidRPr="00C96166">
        <w:rPr>
          <w:rFonts w:ascii="Tahoma" w:hAnsi="Tahoma" w:cs="Tahoma"/>
          <w:sz w:val="20"/>
          <w:szCs w:val="20"/>
        </w:rPr>
        <w:t>йованим</w:t>
      </w:r>
      <w:r w:rsidR="003F4F55" w:rsidRPr="00C96166">
        <w:rPr>
          <w:rFonts w:ascii="Tahoma" w:hAnsi="Tahoma" w:cs="Tahoma"/>
          <w:sz w:val="20"/>
          <w:szCs w:val="20"/>
        </w:rPr>
        <w:t xml:space="preserve"> </w:t>
      </w:r>
      <w:r w:rsidRPr="00C96166">
        <w:rPr>
          <w:rFonts w:ascii="Tahoma" w:hAnsi="Tahoma" w:cs="Tahoma"/>
          <w:sz w:val="20"/>
          <w:szCs w:val="20"/>
        </w:rPr>
        <w:t>заявкою</w:t>
      </w:r>
      <w:r w:rsidR="003F4F55" w:rsidRPr="00C96166">
        <w:rPr>
          <w:rFonts w:ascii="Tahoma" w:hAnsi="Tahoma" w:cs="Tahoma"/>
          <w:sz w:val="20"/>
          <w:szCs w:val="20"/>
        </w:rPr>
        <w:t xml:space="preserve"> зацікавл</w:t>
      </w:r>
      <w:r w:rsidRPr="00C96166">
        <w:rPr>
          <w:rFonts w:ascii="Tahoma" w:hAnsi="Tahoma" w:cs="Tahoma"/>
          <w:sz w:val="20"/>
          <w:szCs w:val="20"/>
        </w:rPr>
        <w:t>еної</w:t>
      </w:r>
      <w:r w:rsidR="003F4F55" w:rsidRPr="00C96166">
        <w:rPr>
          <w:rFonts w:ascii="Tahoma" w:hAnsi="Tahoma" w:cs="Tahoma"/>
          <w:sz w:val="20"/>
          <w:szCs w:val="20"/>
        </w:rPr>
        <w:t xml:space="preserve"> особи;</w:t>
      </w:r>
    </w:p>
    <w:p w14:paraId="2A8D2BBE" w14:textId="1ABF4B1E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організатор аукціону, не пізніше ніж за 90 днів до проведення аукціону, визначає кваліфікаційні вимоги до учасників аукціону та мінімальні зобов’язання щодо ділянки надр (мінімальний обсяг робіт та/або фінансові зобов’язання);</w:t>
      </w:r>
    </w:p>
    <w:p w14:paraId="04D3F05E" w14:textId="70B99613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повинні бути запроваджені електронні/цифрові аукціони;</w:t>
      </w:r>
    </w:p>
    <w:p w14:paraId="51B8FF8B" w14:textId="5412CFC5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вважається, що аукціон відбувся за наявності щонайменше одного претендента;</w:t>
      </w:r>
    </w:p>
    <w:p w14:paraId="41305695" w14:textId="3C138645" w:rsidR="003F4F55" w:rsidRP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переможцем аукціону є особа</w:t>
      </w:r>
      <w:r w:rsidRPr="003F4F55">
        <w:rPr>
          <w:rFonts w:ascii="Tahoma" w:hAnsi="Tahoma" w:cs="Tahoma"/>
          <w:sz w:val="20"/>
          <w:szCs w:val="20"/>
        </w:rPr>
        <w:t>, що запропонувала найвищу ціну.</w:t>
      </w:r>
    </w:p>
    <w:p w14:paraId="353BDBBF" w14:textId="17E7F03D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3F4F55">
        <w:rPr>
          <w:rFonts w:ascii="Tahoma" w:hAnsi="Tahoma" w:cs="Tahoma"/>
          <w:sz w:val="20"/>
          <w:szCs w:val="20"/>
          <w:u w:val="single"/>
        </w:rPr>
        <w:t>5.</w:t>
      </w:r>
      <w:r w:rsidRPr="003F4F55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F4F55">
        <w:rPr>
          <w:rFonts w:ascii="Tahoma" w:hAnsi="Tahoma" w:cs="Tahoma"/>
          <w:sz w:val="20"/>
          <w:szCs w:val="20"/>
          <w:u w:val="single"/>
        </w:rPr>
        <w:t>Підстави надання права користування надрами без аукціону:</w:t>
      </w:r>
    </w:p>
    <w:p w14:paraId="5469F08C" w14:textId="3EEE635B" w:rsidR="003F4F55" w:rsidRPr="003F4F55" w:rsidRDefault="00F371F0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виключних</w:t>
      </w:r>
      <w:r w:rsidR="00B93CD1">
        <w:rPr>
          <w:rFonts w:ascii="Tahoma" w:hAnsi="Tahoma" w:cs="Tahoma"/>
          <w:sz w:val="20"/>
          <w:szCs w:val="20"/>
        </w:rPr>
        <w:t xml:space="preserve"> та вичерпних</w:t>
      </w:r>
      <w:r>
        <w:rPr>
          <w:rFonts w:ascii="Tahoma" w:hAnsi="Tahoma" w:cs="Tahoma"/>
          <w:sz w:val="20"/>
          <w:szCs w:val="20"/>
        </w:rPr>
        <w:t xml:space="preserve"> підставах</w:t>
      </w:r>
      <w:r w:rsidR="00B93CD1">
        <w:rPr>
          <w:rFonts w:ascii="Tahoma" w:hAnsi="Tahoma" w:cs="Tahoma"/>
          <w:sz w:val="20"/>
          <w:szCs w:val="20"/>
        </w:rPr>
        <w:t>,</w:t>
      </w:r>
      <w:r w:rsidR="008C478D">
        <w:rPr>
          <w:rFonts w:ascii="Tahoma" w:hAnsi="Tahoma" w:cs="Tahoma"/>
          <w:sz w:val="20"/>
          <w:szCs w:val="20"/>
        </w:rPr>
        <w:t xml:space="preserve"> </w:t>
      </w:r>
      <w:r w:rsidRPr="00F371F0">
        <w:rPr>
          <w:rFonts w:ascii="Tahoma" w:hAnsi="Tahoma" w:cs="Tahoma"/>
          <w:sz w:val="20"/>
          <w:szCs w:val="20"/>
        </w:rPr>
        <w:t xml:space="preserve">чітко </w:t>
      </w:r>
      <w:r w:rsidR="00B93CD1">
        <w:rPr>
          <w:rFonts w:ascii="Tahoma" w:hAnsi="Tahoma" w:cs="Tahoma"/>
          <w:sz w:val="20"/>
          <w:szCs w:val="20"/>
        </w:rPr>
        <w:t>передбачених</w:t>
      </w:r>
      <w:r w:rsidRPr="00F371F0">
        <w:rPr>
          <w:rFonts w:ascii="Tahoma" w:hAnsi="Tahoma" w:cs="Tahoma"/>
          <w:sz w:val="20"/>
          <w:szCs w:val="20"/>
        </w:rPr>
        <w:t xml:space="preserve"> </w:t>
      </w:r>
      <w:r w:rsidR="00B93CD1">
        <w:rPr>
          <w:rFonts w:ascii="Tahoma" w:hAnsi="Tahoma" w:cs="Tahoma"/>
          <w:sz w:val="20"/>
          <w:szCs w:val="20"/>
        </w:rPr>
        <w:t xml:space="preserve">положеннями </w:t>
      </w:r>
      <w:r w:rsidRPr="00F371F0">
        <w:rPr>
          <w:rFonts w:ascii="Tahoma" w:hAnsi="Tahoma" w:cs="Tahoma"/>
          <w:sz w:val="20"/>
          <w:szCs w:val="20"/>
        </w:rPr>
        <w:t xml:space="preserve">Кодексу </w:t>
      </w:r>
      <w:r w:rsidR="006875F7">
        <w:rPr>
          <w:rFonts w:ascii="Tahoma" w:hAnsi="Tahoma" w:cs="Tahoma"/>
          <w:sz w:val="20"/>
          <w:szCs w:val="20"/>
        </w:rPr>
        <w:t xml:space="preserve">про </w:t>
      </w:r>
      <w:r w:rsidRPr="00F371F0">
        <w:rPr>
          <w:rFonts w:ascii="Tahoma" w:hAnsi="Tahoma" w:cs="Tahoma"/>
          <w:sz w:val="20"/>
          <w:szCs w:val="20"/>
        </w:rPr>
        <w:t>надр</w:t>
      </w:r>
      <w:r w:rsidR="006875F7">
        <w:rPr>
          <w:rFonts w:ascii="Tahoma" w:hAnsi="Tahoma" w:cs="Tahoma"/>
          <w:sz w:val="20"/>
          <w:szCs w:val="20"/>
        </w:rPr>
        <w:t>а</w:t>
      </w:r>
      <w:r w:rsidRPr="00F371F0">
        <w:rPr>
          <w:rFonts w:ascii="Tahoma" w:hAnsi="Tahoma" w:cs="Tahoma"/>
          <w:sz w:val="20"/>
          <w:szCs w:val="20"/>
        </w:rPr>
        <w:t xml:space="preserve">. Такі підстави повинні </w:t>
      </w:r>
      <w:r w:rsidR="00B93CD1">
        <w:rPr>
          <w:rFonts w:ascii="Tahoma" w:hAnsi="Tahoma" w:cs="Tahoma"/>
          <w:sz w:val="20"/>
          <w:szCs w:val="20"/>
        </w:rPr>
        <w:t>гарантувати</w:t>
      </w:r>
      <w:r w:rsidRPr="00F371F0">
        <w:rPr>
          <w:rFonts w:ascii="Tahoma" w:hAnsi="Tahoma" w:cs="Tahoma"/>
          <w:sz w:val="20"/>
          <w:szCs w:val="20"/>
        </w:rPr>
        <w:t xml:space="preserve"> механізм, коли ліцензії можуть бути отримані </w:t>
      </w:r>
      <w:r w:rsidR="008C478D">
        <w:rPr>
          <w:rFonts w:ascii="Tahoma" w:hAnsi="Tahoma" w:cs="Tahoma"/>
          <w:sz w:val="20"/>
          <w:szCs w:val="20"/>
        </w:rPr>
        <w:t xml:space="preserve">виключно </w:t>
      </w:r>
      <w:r w:rsidR="00B93CD1">
        <w:rPr>
          <w:rFonts w:ascii="Tahoma" w:hAnsi="Tahoma" w:cs="Tahoma"/>
          <w:sz w:val="20"/>
          <w:szCs w:val="20"/>
        </w:rPr>
        <w:t xml:space="preserve">на підставах </w:t>
      </w:r>
      <w:r w:rsidRPr="00F371F0">
        <w:rPr>
          <w:rFonts w:ascii="Tahoma" w:hAnsi="Tahoma" w:cs="Tahoma"/>
          <w:sz w:val="20"/>
          <w:szCs w:val="20"/>
        </w:rPr>
        <w:t>закон</w:t>
      </w:r>
      <w:r w:rsidR="00B93CD1">
        <w:rPr>
          <w:rFonts w:ascii="Tahoma" w:hAnsi="Tahoma" w:cs="Tahoma"/>
          <w:sz w:val="20"/>
          <w:szCs w:val="20"/>
        </w:rPr>
        <w:t>у</w:t>
      </w:r>
      <w:r w:rsidRPr="00F371F0">
        <w:rPr>
          <w:rFonts w:ascii="Tahoma" w:hAnsi="Tahoma" w:cs="Tahoma"/>
          <w:sz w:val="20"/>
          <w:szCs w:val="20"/>
        </w:rPr>
        <w:t>;</w:t>
      </w:r>
    </w:p>
    <w:p w14:paraId="7F3E139B" w14:textId="2A78997A" w:rsidR="003F4F55" w:rsidRPr="00C96166" w:rsidRDefault="006875F7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875F7">
        <w:rPr>
          <w:rFonts w:ascii="Tahoma" w:hAnsi="Tahoma" w:cs="Tahoma"/>
          <w:sz w:val="20"/>
          <w:szCs w:val="20"/>
        </w:rPr>
        <w:t xml:space="preserve">з урахуванням </w:t>
      </w:r>
      <w:r>
        <w:rPr>
          <w:rFonts w:ascii="Tahoma" w:hAnsi="Tahoma" w:cs="Tahoma"/>
          <w:sz w:val="20"/>
          <w:szCs w:val="20"/>
        </w:rPr>
        <w:t>вище</w:t>
      </w:r>
      <w:r w:rsidRPr="006875F7">
        <w:rPr>
          <w:rFonts w:ascii="Tahoma" w:hAnsi="Tahoma" w:cs="Tahoma"/>
          <w:sz w:val="20"/>
          <w:szCs w:val="20"/>
        </w:rPr>
        <w:t xml:space="preserve">викладеного, підстави для надання </w:t>
      </w:r>
      <w:r w:rsidR="00B93CD1">
        <w:rPr>
          <w:rFonts w:ascii="Tahoma" w:hAnsi="Tahoma" w:cs="Tahoma"/>
          <w:sz w:val="20"/>
          <w:szCs w:val="20"/>
        </w:rPr>
        <w:t xml:space="preserve">спеціальних дозволів </w:t>
      </w:r>
      <w:r w:rsidRPr="006875F7">
        <w:rPr>
          <w:rFonts w:ascii="Tahoma" w:hAnsi="Tahoma" w:cs="Tahoma"/>
          <w:sz w:val="20"/>
          <w:szCs w:val="20"/>
        </w:rPr>
        <w:t>без участі у аукціоні не повинні включати будь-яких преференцій для будь-якого кандидата (заявника)</w:t>
      </w:r>
      <w:r w:rsidR="00B93CD1">
        <w:rPr>
          <w:rFonts w:ascii="Tahoma" w:hAnsi="Tahoma" w:cs="Tahoma"/>
          <w:sz w:val="20"/>
          <w:szCs w:val="20"/>
        </w:rPr>
        <w:t xml:space="preserve"> в контексті державних або </w:t>
      </w:r>
      <w:r w:rsidR="00B93CD1" w:rsidRPr="00C96166">
        <w:rPr>
          <w:rFonts w:ascii="Tahoma" w:hAnsi="Tahoma" w:cs="Tahoma"/>
          <w:sz w:val="20"/>
          <w:szCs w:val="20"/>
        </w:rPr>
        <w:t>приватних компаній</w:t>
      </w:r>
      <w:r w:rsidRPr="00C96166">
        <w:rPr>
          <w:rFonts w:ascii="Tahoma" w:hAnsi="Tahoma" w:cs="Tahoma"/>
          <w:sz w:val="20"/>
          <w:szCs w:val="20"/>
        </w:rPr>
        <w:t>.</w:t>
      </w:r>
    </w:p>
    <w:p w14:paraId="0B831EF8" w14:textId="243171D0" w:rsidR="003F4F55" w:rsidRPr="00C96166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C96166">
        <w:rPr>
          <w:rFonts w:ascii="Tahoma" w:hAnsi="Tahoma" w:cs="Tahoma"/>
          <w:sz w:val="20"/>
          <w:szCs w:val="20"/>
          <w:u w:val="single"/>
        </w:rPr>
        <w:t>6.</w:t>
      </w:r>
      <w:r w:rsidRPr="00C96166">
        <w:rPr>
          <w:rFonts w:ascii="Tahoma" w:hAnsi="Tahoma" w:cs="Tahoma"/>
          <w:sz w:val="20"/>
          <w:szCs w:val="20"/>
          <w:u w:val="single"/>
        </w:rPr>
        <w:tab/>
        <w:t xml:space="preserve"> Підстави для припинення права користування надрами.</w:t>
      </w:r>
    </w:p>
    <w:p w14:paraId="4047B4BC" w14:textId="6FA4AE9D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закінчення строку дії дозволу;</w:t>
      </w:r>
    </w:p>
    <w:p w14:paraId="19ED6352" w14:textId="42C74048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відмова користувача надр;</w:t>
      </w:r>
    </w:p>
    <w:p w14:paraId="74ECA3B3" w14:textId="697F6E41" w:rsidR="006875F7" w:rsidRPr="00C96166" w:rsidRDefault="006875F7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ліквідація юридичної особи без </w:t>
      </w:r>
      <w:r w:rsidR="000677F5" w:rsidRPr="00C96166">
        <w:rPr>
          <w:rFonts w:ascii="Tahoma" w:hAnsi="Tahoma" w:cs="Tahoma"/>
          <w:sz w:val="20"/>
          <w:szCs w:val="20"/>
        </w:rPr>
        <w:t xml:space="preserve">переходу </w:t>
      </w:r>
      <w:r w:rsidRPr="00C96166">
        <w:rPr>
          <w:rFonts w:ascii="Tahoma" w:hAnsi="Tahoma" w:cs="Tahoma"/>
          <w:sz w:val="20"/>
          <w:szCs w:val="20"/>
        </w:rPr>
        <w:t>права на користування надрами трет</w:t>
      </w:r>
      <w:r w:rsidR="000677F5" w:rsidRPr="00C96166">
        <w:rPr>
          <w:rFonts w:ascii="Tahoma" w:hAnsi="Tahoma" w:cs="Tahoma"/>
          <w:sz w:val="20"/>
          <w:szCs w:val="20"/>
        </w:rPr>
        <w:t>ій</w:t>
      </w:r>
      <w:r w:rsidRPr="00C96166">
        <w:rPr>
          <w:rFonts w:ascii="Tahoma" w:hAnsi="Tahoma" w:cs="Tahoma"/>
          <w:sz w:val="20"/>
          <w:szCs w:val="20"/>
        </w:rPr>
        <w:t xml:space="preserve"> особ</w:t>
      </w:r>
      <w:r w:rsidR="000677F5" w:rsidRPr="00C96166">
        <w:rPr>
          <w:rFonts w:ascii="Tahoma" w:hAnsi="Tahoma" w:cs="Tahoma"/>
          <w:sz w:val="20"/>
          <w:szCs w:val="20"/>
        </w:rPr>
        <w:t>і</w:t>
      </w:r>
      <w:r w:rsidRPr="00C96166">
        <w:rPr>
          <w:rFonts w:ascii="Tahoma" w:hAnsi="Tahoma" w:cs="Tahoma"/>
          <w:sz w:val="20"/>
          <w:szCs w:val="20"/>
        </w:rPr>
        <w:t>;</w:t>
      </w:r>
    </w:p>
    <w:p w14:paraId="24AE154E" w14:textId="1152355E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за рішенням суду першої інстанції та Апеляційного суду, при умові набуття законної сили рішенням (щодо встановлення факту подання неправдивих відомостей, визнання недійсними результатів аукціону, порушення </w:t>
      </w:r>
      <w:proofErr w:type="spellStart"/>
      <w:r w:rsidRPr="00C96166">
        <w:rPr>
          <w:rFonts w:ascii="Tahoma" w:hAnsi="Tahoma" w:cs="Tahoma"/>
          <w:sz w:val="20"/>
          <w:szCs w:val="20"/>
        </w:rPr>
        <w:t>надрокористувачем</w:t>
      </w:r>
      <w:proofErr w:type="spellEnd"/>
      <w:r w:rsidRPr="00C96166">
        <w:rPr>
          <w:rFonts w:ascii="Tahoma" w:hAnsi="Tahoma" w:cs="Tahoma"/>
          <w:sz w:val="20"/>
          <w:szCs w:val="20"/>
        </w:rPr>
        <w:t xml:space="preserve"> чітко визначених та передбачених законодавством умов спеціального дозволу).</w:t>
      </w:r>
    </w:p>
    <w:p w14:paraId="138F7BB2" w14:textId="7A36D25F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  <w:u w:val="single"/>
        </w:rPr>
      </w:pPr>
      <w:r w:rsidRPr="003F4F55">
        <w:rPr>
          <w:rFonts w:ascii="Tahoma" w:hAnsi="Tahoma" w:cs="Tahoma"/>
          <w:sz w:val="20"/>
          <w:szCs w:val="20"/>
          <w:u w:val="single"/>
        </w:rPr>
        <w:t>7.</w:t>
      </w:r>
      <w:r w:rsidRPr="003F4F55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F4F55">
        <w:rPr>
          <w:rFonts w:ascii="Tahoma" w:hAnsi="Tahoma" w:cs="Tahoma"/>
          <w:sz w:val="20"/>
          <w:szCs w:val="20"/>
          <w:u w:val="single"/>
        </w:rPr>
        <w:t>Відчуження права користування:</w:t>
      </w:r>
    </w:p>
    <w:p w14:paraId="028922ED" w14:textId="58B5965E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право користування може бути відчужено іншим особам, якщо підстави для припинення права користування надрами, наведені у п.6,  </w:t>
      </w:r>
      <w:r w:rsidR="001679E9" w:rsidRPr="00C96166">
        <w:rPr>
          <w:rFonts w:ascii="Tahoma" w:hAnsi="Tahoma" w:cs="Tahoma"/>
          <w:sz w:val="20"/>
          <w:szCs w:val="20"/>
        </w:rPr>
        <w:t xml:space="preserve">будуть </w:t>
      </w:r>
      <w:r w:rsidRPr="00C96166">
        <w:rPr>
          <w:rFonts w:ascii="Tahoma" w:hAnsi="Tahoma" w:cs="Tahoma"/>
          <w:sz w:val="20"/>
          <w:szCs w:val="20"/>
        </w:rPr>
        <w:t xml:space="preserve">чітко </w:t>
      </w:r>
      <w:r w:rsidR="001679E9" w:rsidRPr="00C96166">
        <w:rPr>
          <w:rFonts w:ascii="Tahoma" w:hAnsi="Tahoma" w:cs="Tahoma"/>
          <w:sz w:val="20"/>
          <w:szCs w:val="20"/>
        </w:rPr>
        <w:t>передбач</w:t>
      </w:r>
      <w:r w:rsidR="001679E9" w:rsidRPr="00C96166">
        <w:rPr>
          <w:rFonts w:ascii="Tahoma" w:hAnsi="Tahoma" w:cs="Tahoma"/>
          <w:sz w:val="20"/>
          <w:szCs w:val="20"/>
        </w:rPr>
        <w:t>еними</w:t>
      </w:r>
      <w:r w:rsidR="001679E9" w:rsidRPr="00C96166">
        <w:rPr>
          <w:rFonts w:ascii="Tahoma" w:hAnsi="Tahoma" w:cs="Tahoma"/>
          <w:sz w:val="20"/>
          <w:szCs w:val="20"/>
        </w:rPr>
        <w:t xml:space="preserve"> </w:t>
      </w:r>
      <w:r w:rsidRPr="00C96166">
        <w:rPr>
          <w:rFonts w:ascii="Tahoma" w:hAnsi="Tahoma" w:cs="Tahoma"/>
          <w:sz w:val="20"/>
          <w:szCs w:val="20"/>
        </w:rPr>
        <w:t xml:space="preserve">законом; </w:t>
      </w:r>
    </w:p>
    <w:p w14:paraId="620D879B" w14:textId="589FAFE7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користувач надр, який виявив бажання здійснити відчуження, зобов’язаний надати уповноваженому органу державної влади відомості про набувача прав; </w:t>
      </w:r>
    </w:p>
    <w:p w14:paraId="3C183747" w14:textId="161679F2" w:rsidR="003F4F55" w:rsidRPr="00C96166" w:rsidRDefault="003F4F55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державний орган може відмовити у наданні згоди на відчуження</w:t>
      </w:r>
      <w:r w:rsidR="001679E9" w:rsidRPr="00C96166">
        <w:rPr>
          <w:rFonts w:ascii="Tahoma" w:hAnsi="Tahoma" w:cs="Tahoma"/>
          <w:sz w:val="20"/>
          <w:szCs w:val="20"/>
        </w:rPr>
        <w:t xml:space="preserve"> лише</w:t>
      </w:r>
      <w:r w:rsidR="006875F7" w:rsidRPr="00C96166">
        <w:rPr>
          <w:rFonts w:ascii="Tahoma" w:hAnsi="Tahoma" w:cs="Tahoma"/>
          <w:sz w:val="20"/>
          <w:szCs w:val="20"/>
        </w:rPr>
        <w:t xml:space="preserve"> у судо</w:t>
      </w:r>
      <w:r w:rsidR="00481C06" w:rsidRPr="00C96166">
        <w:rPr>
          <w:rFonts w:ascii="Tahoma" w:hAnsi="Tahoma" w:cs="Tahoma"/>
          <w:sz w:val="20"/>
          <w:szCs w:val="20"/>
        </w:rPr>
        <w:t>вому порядку,</w:t>
      </w:r>
      <w:r w:rsidRPr="00C96166">
        <w:rPr>
          <w:rFonts w:ascii="Tahoma" w:hAnsi="Tahoma" w:cs="Tahoma"/>
          <w:sz w:val="20"/>
          <w:szCs w:val="20"/>
        </w:rPr>
        <w:t xml:space="preserve"> </w:t>
      </w:r>
      <w:r w:rsidR="00481C06" w:rsidRPr="00C96166">
        <w:rPr>
          <w:rFonts w:ascii="Tahoma" w:hAnsi="Tahoma" w:cs="Tahoma"/>
          <w:sz w:val="20"/>
          <w:szCs w:val="20"/>
        </w:rPr>
        <w:t xml:space="preserve">на основі вичерпного переліку підстав, </w:t>
      </w:r>
      <w:r w:rsidRPr="00C96166">
        <w:rPr>
          <w:rFonts w:ascii="Tahoma" w:hAnsi="Tahoma" w:cs="Tahoma"/>
          <w:sz w:val="20"/>
          <w:szCs w:val="20"/>
        </w:rPr>
        <w:t xml:space="preserve">чітко передбачених у Кодексі про надра. </w:t>
      </w:r>
    </w:p>
    <w:p w14:paraId="0721B8CE" w14:textId="6D41C2A2" w:rsidR="003F4F55" w:rsidRPr="00C96166" w:rsidRDefault="003F4F55" w:rsidP="003F4F55">
      <w:pPr>
        <w:pStyle w:val="ListParagraph"/>
        <w:numPr>
          <w:ilvl w:val="0"/>
          <w:numId w:val="14"/>
        </w:numPr>
        <w:tabs>
          <w:tab w:val="left" w:pos="630"/>
          <w:tab w:val="left" w:pos="900"/>
        </w:tabs>
        <w:spacing w:before="0" w:beforeAutospacing="0" w:after="0" w:afterAutospacing="0" w:line="276" w:lineRule="auto"/>
        <w:ind w:left="720" w:hanging="270"/>
        <w:jc w:val="both"/>
        <w:rPr>
          <w:rFonts w:ascii="Tahoma" w:hAnsi="Tahoma" w:cs="Tahoma"/>
          <w:b/>
          <w:sz w:val="20"/>
          <w:szCs w:val="20"/>
        </w:rPr>
      </w:pPr>
      <w:r w:rsidRPr="00C96166">
        <w:rPr>
          <w:rFonts w:ascii="Tahoma" w:hAnsi="Tahoma" w:cs="Tahoma"/>
          <w:b/>
          <w:sz w:val="20"/>
          <w:szCs w:val="20"/>
          <w:lang w:val="en-US"/>
        </w:rPr>
        <w:t>ОБ’ЄКТИ</w:t>
      </w:r>
      <w:r w:rsidRPr="00C96166">
        <w:rPr>
          <w:rFonts w:ascii="Tahoma" w:hAnsi="Tahoma" w:cs="Tahoma"/>
          <w:b/>
          <w:sz w:val="20"/>
          <w:szCs w:val="20"/>
        </w:rPr>
        <w:t xml:space="preserve"> ІНФРАСТРУКТУРИ </w:t>
      </w:r>
    </w:p>
    <w:p w14:paraId="33BB6511" w14:textId="7C6B2AC4" w:rsidR="003F4F55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в</w:t>
      </w:r>
      <w:r w:rsidRPr="003F4F55">
        <w:rPr>
          <w:rFonts w:ascii="Tahoma" w:hAnsi="Tahoma" w:cs="Tahoma"/>
          <w:sz w:val="20"/>
          <w:szCs w:val="20"/>
        </w:rPr>
        <w:t>ласник свердловин та інших об’єктів інфраструктури, залишається відповіда</w:t>
      </w:r>
      <w:r w:rsidR="001679E9">
        <w:rPr>
          <w:rFonts w:ascii="Tahoma" w:hAnsi="Tahoma" w:cs="Tahoma"/>
          <w:sz w:val="20"/>
          <w:szCs w:val="20"/>
        </w:rPr>
        <w:t>льним</w:t>
      </w:r>
      <w:r w:rsidRPr="003F4F55">
        <w:rPr>
          <w:rFonts w:ascii="Tahoma" w:hAnsi="Tahoma" w:cs="Tahoma"/>
          <w:sz w:val="20"/>
          <w:szCs w:val="20"/>
        </w:rPr>
        <w:t xml:space="preserve"> за їх ліквідацію та утримання </w:t>
      </w:r>
      <w:r w:rsidR="001679E9">
        <w:rPr>
          <w:rFonts w:ascii="Tahoma" w:hAnsi="Tahoma" w:cs="Tahoma"/>
          <w:sz w:val="20"/>
          <w:szCs w:val="20"/>
        </w:rPr>
        <w:t>безпеки</w:t>
      </w:r>
      <w:r w:rsidRPr="003F4F55">
        <w:rPr>
          <w:rFonts w:ascii="Tahoma" w:hAnsi="Tahoma" w:cs="Tahoma"/>
          <w:sz w:val="20"/>
          <w:szCs w:val="20"/>
        </w:rPr>
        <w:t xml:space="preserve"> після закінчення прав користування надрами; </w:t>
      </w:r>
      <w:proofErr w:type="spellStart"/>
      <w:r w:rsidRPr="003F4F55">
        <w:rPr>
          <w:rFonts w:ascii="Tahoma" w:hAnsi="Tahoma" w:cs="Tahoma"/>
          <w:sz w:val="20"/>
          <w:szCs w:val="20"/>
        </w:rPr>
        <w:t>надрокористувач</w:t>
      </w:r>
      <w:proofErr w:type="spellEnd"/>
      <w:r w:rsidRPr="003F4F55">
        <w:rPr>
          <w:rFonts w:ascii="Tahoma" w:hAnsi="Tahoma" w:cs="Tahoma"/>
          <w:sz w:val="20"/>
          <w:szCs w:val="20"/>
        </w:rPr>
        <w:t xml:space="preserve"> </w:t>
      </w:r>
      <w:r w:rsidR="001679E9" w:rsidRPr="003F4F55">
        <w:rPr>
          <w:rFonts w:ascii="Tahoma" w:hAnsi="Tahoma" w:cs="Tahoma"/>
          <w:sz w:val="20"/>
          <w:szCs w:val="20"/>
        </w:rPr>
        <w:t>м</w:t>
      </w:r>
      <w:r w:rsidR="001679E9">
        <w:rPr>
          <w:rFonts w:ascii="Tahoma" w:hAnsi="Tahoma" w:cs="Tahoma"/>
          <w:sz w:val="20"/>
          <w:szCs w:val="20"/>
        </w:rPr>
        <w:t>ає переважне право</w:t>
      </w:r>
      <w:r w:rsidR="001679E9" w:rsidRPr="003F4F55">
        <w:rPr>
          <w:rFonts w:ascii="Tahoma" w:hAnsi="Tahoma" w:cs="Tahoma"/>
          <w:sz w:val="20"/>
          <w:szCs w:val="20"/>
        </w:rPr>
        <w:t xml:space="preserve"> </w:t>
      </w:r>
      <w:r w:rsidRPr="003F4F55">
        <w:rPr>
          <w:rFonts w:ascii="Tahoma" w:hAnsi="Tahoma" w:cs="Tahoma"/>
          <w:sz w:val="20"/>
          <w:szCs w:val="20"/>
        </w:rPr>
        <w:t>придбати такі свердловини та інші об’єкти інфраструктури у їх власників на підставі цивільно-правових угод</w:t>
      </w:r>
      <w:r w:rsidR="001679E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679E9">
        <w:rPr>
          <w:rFonts w:ascii="Tahoma" w:hAnsi="Tahoma" w:cs="Tahoma"/>
          <w:sz w:val="20"/>
          <w:szCs w:val="20"/>
        </w:rPr>
        <w:t>Надрокористувач</w:t>
      </w:r>
      <w:proofErr w:type="spellEnd"/>
      <w:r w:rsidR="001679E9">
        <w:rPr>
          <w:rFonts w:ascii="Tahoma" w:hAnsi="Tahoma" w:cs="Tahoma"/>
          <w:sz w:val="20"/>
          <w:szCs w:val="20"/>
        </w:rPr>
        <w:t xml:space="preserve">, який не є власником </w:t>
      </w:r>
      <w:r w:rsidR="001679E9" w:rsidRPr="003F4F55">
        <w:rPr>
          <w:rFonts w:ascii="Tahoma" w:hAnsi="Tahoma" w:cs="Tahoma"/>
          <w:sz w:val="20"/>
          <w:szCs w:val="20"/>
        </w:rPr>
        <w:t>свердловини та інш</w:t>
      </w:r>
      <w:r w:rsidR="001679E9">
        <w:rPr>
          <w:rFonts w:ascii="Tahoma" w:hAnsi="Tahoma" w:cs="Tahoma"/>
          <w:sz w:val="20"/>
          <w:szCs w:val="20"/>
        </w:rPr>
        <w:t>их</w:t>
      </w:r>
      <w:r w:rsidR="001679E9" w:rsidRPr="003F4F55">
        <w:rPr>
          <w:rFonts w:ascii="Tahoma" w:hAnsi="Tahoma" w:cs="Tahoma"/>
          <w:sz w:val="20"/>
          <w:szCs w:val="20"/>
        </w:rPr>
        <w:t xml:space="preserve"> об’єкт</w:t>
      </w:r>
      <w:r w:rsidR="001679E9">
        <w:rPr>
          <w:rFonts w:ascii="Tahoma" w:hAnsi="Tahoma" w:cs="Tahoma"/>
          <w:sz w:val="20"/>
          <w:szCs w:val="20"/>
        </w:rPr>
        <w:t>ів</w:t>
      </w:r>
      <w:r w:rsidR="001679E9" w:rsidRPr="003F4F55">
        <w:rPr>
          <w:rFonts w:ascii="Tahoma" w:hAnsi="Tahoma" w:cs="Tahoma"/>
          <w:sz w:val="20"/>
          <w:szCs w:val="20"/>
        </w:rPr>
        <w:t xml:space="preserve"> інфраструктури</w:t>
      </w:r>
      <w:r w:rsidR="001679E9">
        <w:rPr>
          <w:rFonts w:ascii="Tahoma" w:hAnsi="Tahoma" w:cs="Tahoma"/>
          <w:sz w:val="20"/>
          <w:szCs w:val="20"/>
        </w:rPr>
        <w:t xml:space="preserve">, має право на безперешкодний доступ до таких </w:t>
      </w:r>
      <w:r w:rsidR="001679E9" w:rsidRPr="003F4F55">
        <w:rPr>
          <w:rFonts w:ascii="Tahoma" w:hAnsi="Tahoma" w:cs="Tahoma"/>
          <w:sz w:val="20"/>
          <w:szCs w:val="20"/>
        </w:rPr>
        <w:t>свердловини та інш</w:t>
      </w:r>
      <w:r w:rsidR="001679E9">
        <w:rPr>
          <w:rFonts w:ascii="Tahoma" w:hAnsi="Tahoma" w:cs="Tahoma"/>
          <w:sz w:val="20"/>
          <w:szCs w:val="20"/>
        </w:rPr>
        <w:t>их</w:t>
      </w:r>
      <w:r w:rsidR="001679E9" w:rsidRPr="003F4F55">
        <w:rPr>
          <w:rFonts w:ascii="Tahoma" w:hAnsi="Tahoma" w:cs="Tahoma"/>
          <w:sz w:val="20"/>
          <w:szCs w:val="20"/>
        </w:rPr>
        <w:t xml:space="preserve"> об’єкт</w:t>
      </w:r>
      <w:r w:rsidR="001679E9">
        <w:rPr>
          <w:rFonts w:ascii="Tahoma" w:hAnsi="Tahoma" w:cs="Tahoma"/>
          <w:sz w:val="20"/>
          <w:szCs w:val="20"/>
        </w:rPr>
        <w:t>ів</w:t>
      </w:r>
      <w:r w:rsidR="001679E9" w:rsidRPr="003F4F55">
        <w:rPr>
          <w:rFonts w:ascii="Tahoma" w:hAnsi="Tahoma" w:cs="Tahoma"/>
          <w:sz w:val="20"/>
          <w:szCs w:val="20"/>
        </w:rPr>
        <w:t xml:space="preserve"> інфраструктури</w:t>
      </w:r>
      <w:r w:rsidR="001679E9">
        <w:rPr>
          <w:rFonts w:ascii="Tahoma" w:hAnsi="Tahoma" w:cs="Tahoma"/>
          <w:sz w:val="20"/>
          <w:szCs w:val="20"/>
        </w:rPr>
        <w:t>.</w:t>
      </w:r>
      <w:r w:rsidRPr="003F4F55">
        <w:rPr>
          <w:rFonts w:ascii="Tahoma" w:hAnsi="Tahoma" w:cs="Tahoma"/>
          <w:sz w:val="20"/>
          <w:szCs w:val="20"/>
        </w:rPr>
        <w:t xml:space="preserve"> </w:t>
      </w:r>
    </w:p>
    <w:p w14:paraId="541A1390" w14:textId="5A66606A" w:rsidR="001679E9" w:rsidRPr="003F4F55" w:rsidRDefault="001679E9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Після ліквідації/консервації свердловин</w:t>
      </w:r>
      <w:r w:rsidRPr="001679E9">
        <w:rPr>
          <w:rFonts w:ascii="Tahoma" w:hAnsi="Tahoma" w:cs="Tahoma"/>
          <w:sz w:val="20"/>
          <w:szCs w:val="20"/>
        </w:rPr>
        <w:t xml:space="preserve"> </w:t>
      </w:r>
      <w:r w:rsidRPr="003F4F55">
        <w:rPr>
          <w:rFonts w:ascii="Tahoma" w:hAnsi="Tahoma" w:cs="Tahoma"/>
          <w:sz w:val="20"/>
          <w:szCs w:val="20"/>
        </w:rPr>
        <w:t>та інш</w:t>
      </w:r>
      <w:r>
        <w:rPr>
          <w:rFonts w:ascii="Tahoma" w:hAnsi="Tahoma" w:cs="Tahoma"/>
          <w:sz w:val="20"/>
          <w:szCs w:val="20"/>
        </w:rPr>
        <w:t>их</w:t>
      </w:r>
      <w:r w:rsidRPr="003F4F55">
        <w:rPr>
          <w:rFonts w:ascii="Tahoma" w:hAnsi="Tahoma" w:cs="Tahoma"/>
          <w:sz w:val="20"/>
          <w:szCs w:val="20"/>
        </w:rPr>
        <w:t xml:space="preserve"> об’єкт</w:t>
      </w:r>
      <w:r>
        <w:rPr>
          <w:rFonts w:ascii="Tahoma" w:hAnsi="Tahoma" w:cs="Tahoma"/>
          <w:sz w:val="20"/>
          <w:szCs w:val="20"/>
        </w:rPr>
        <w:t>ів</w:t>
      </w:r>
      <w:r w:rsidRPr="003F4F55">
        <w:rPr>
          <w:rFonts w:ascii="Tahoma" w:hAnsi="Tahoma" w:cs="Tahoma"/>
          <w:sz w:val="20"/>
          <w:szCs w:val="20"/>
        </w:rPr>
        <w:t xml:space="preserve"> інфраструктури</w:t>
      </w:r>
      <w:r w:rsidR="00EE6DC3">
        <w:rPr>
          <w:rFonts w:ascii="Tahoma" w:hAnsi="Tahoma" w:cs="Tahoma"/>
          <w:sz w:val="20"/>
          <w:szCs w:val="20"/>
        </w:rPr>
        <w:t xml:space="preserve">, їх власник є відповідальним за усунення </w:t>
      </w:r>
      <w:proofErr w:type="spellStart"/>
      <w:r w:rsidR="00EE6DC3">
        <w:rPr>
          <w:rFonts w:ascii="Tahoma" w:hAnsi="Tahoma" w:cs="Tahoma"/>
          <w:sz w:val="20"/>
          <w:szCs w:val="20"/>
        </w:rPr>
        <w:t>флюїдопроявів</w:t>
      </w:r>
      <w:proofErr w:type="spellEnd"/>
      <w:r w:rsidR="00EE6DC3">
        <w:rPr>
          <w:rFonts w:ascii="Tahoma" w:hAnsi="Tahoma" w:cs="Tahoma"/>
          <w:sz w:val="20"/>
          <w:szCs w:val="20"/>
        </w:rPr>
        <w:t xml:space="preserve"> та інших аналогічних проблем. У випадку відсутності правонаступника,</w:t>
      </w:r>
      <w:r w:rsidR="008C478D">
        <w:rPr>
          <w:rFonts w:ascii="Tahoma" w:hAnsi="Tahoma" w:cs="Tahoma"/>
          <w:sz w:val="20"/>
          <w:szCs w:val="20"/>
        </w:rPr>
        <w:t xml:space="preserve"> </w:t>
      </w:r>
      <w:bookmarkStart w:id="1" w:name="_GoBack"/>
      <w:bookmarkEnd w:id="1"/>
      <w:r w:rsidR="00EE6DC3">
        <w:rPr>
          <w:rFonts w:ascii="Tahoma" w:hAnsi="Tahoma" w:cs="Tahoma"/>
          <w:sz w:val="20"/>
          <w:szCs w:val="20"/>
        </w:rPr>
        <w:t xml:space="preserve">така відповідальність покладатиметься на державний орган з </w:t>
      </w:r>
      <w:r w:rsidR="00EE6DC3" w:rsidRPr="003F4F55">
        <w:rPr>
          <w:rFonts w:ascii="Tahoma" w:hAnsi="Tahoma" w:cs="Tahoma"/>
          <w:sz w:val="20"/>
          <w:szCs w:val="20"/>
        </w:rPr>
        <w:t xml:space="preserve">регулювання відносин </w:t>
      </w:r>
      <w:proofErr w:type="spellStart"/>
      <w:r w:rsidR="00EE6DC3" w:rsidRPr="003F4F55">
        <w:rPr>
          <w:rFonts w:ascii="Tahoma" w:hAnsi="Tahoma" w:cs="Tahoma"/>
          <w:sz w:val="20"/>
          <w:szCs w:val="20"/>
        </w:rPr>
        <w:t>надрокористування</w:t>
      </w:r>
      <w:proofErr w:type="spellEnd"/>
      <w:r w:rsidR="00EE6DC3">
        <w:rPr>
          <w:rFonts w:ascii="Tahoma" w:hAnsi="Tahoma" w:cs="Tahoma"/>
          <w:sz w:val="20"/>
          <w:szCs w:val="20"/>
        </w:rPr>
        <w:t>.</w:t>
      </w:r>
    </w:p>
    <w:p w14:paraId="372119CA" w14:textId="68F476C3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 xml:space="preserve">Державний </w:t>
      </w:r>
      <w:r w:rsidRPr="00C96166">
        <w:rPr>
          <w:rFonts w:ascii="Tahoma" w:hAnsi="Tahoma" w:cs="Tahoma"/>
          <w:sz w:val="20"/>
          <w:szCs w:val="20"/>
        </w:rPr>
        <w:t>інформаційний геологічний фонд формує та підтримує електронний публічний реєстр наявних свердловин;</w:t>
      </w:r>
    </w:p>
    <w:p w14:paraId="0BE72158" w14:textId="752F917D" w:rsidR="003F4F55" w:rsidRPr="00C96166" w:rsidRDefault="003F4F55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свердловини, </w:t>
      </w:r>
      <w:proofErr w:type="spellStart"/>
      <w:r w:rsidRPr="00C96166">
        <w:rPr>
          <w:rFonts w:ascii="Tahoma" w:hAnsi="Tahoma" w:cs="Tahoma"/>
          <w:sz w:val="20"/>
          <w:szCs w:val="20"/>
        </w:rPr>
        <w:t>замірно</w:t>
      </w:r>
      <w:proofErr w:type="spellEnd"/>
      <w:r w:rsidRPr="00C96166">
        <w:rPr>
          <w:rFonts w:ascii="Tahoma" w:hAnsi="Tahoma" w:cs="Tahoma"/>
          <w:sz w:val="20"/>
          <w:szCs w:val="20"/>
        </w:rPr>
        <w:t xml:space="preserve">-сепараційні установки, а також об’єкти трубопровідного транспорту (в тому числі об’єкти інфраструктури, що необхідні для облаштування свердловин), під’їзні дороги, лінії електропередачі та інші виробничі споруди, пов’язані з експлуатацією свердловин </w:t>
      </w:r>
      <w:r w:rsidR="00481C06" w:rsidRPr="00C96166">
        <w:rPr>
          <w:rFonts w:ascii="Tahoma" w:hAnsi="Tahoma" w:cs="Tahoma"/>
          <w:sz w:val="20"/>
          <w:szCs w:val="20"/>
        </w:rPr>
        <w:t>не повинні розглядатися як об'єкти містобудування</w:t>
      </w:r>
      <w:r w:rsidR="00EE6DC3" w:rsidRPr="00C96166">
        <w:rPr>
          <w:rFonts w:ascii="Tahoma" w:hAnsi="Tahoma" w:cs="Tahoma"/>
          <w:sz w:val="20"/>
          <w:szCs w:val="20"/>
        </w:rPr>
        <w:t>,</w:t>
      </w:r>
      <w:r w:rsidR="00481C06" w:rsidRPr="00C96166">
        <w:rPr>
          <w:rFonts w:ascii="Tahoma" w:hAnsi="Tahoma" w:cs="Tahoma"/>
          <w:sz w:val="20"/>
          <w:szCs w:val="20"/>
        </w:rPr>
        <w:t xml:space="preserve"> і</w:t>
      </w:r>
      <w:r w:rsidR="00EE6DC3" w:rsidRPr="00C96166">
        <w:rPr>
          <w:rFonts w:ascii="Tahoma" w:hAnsi="Tahoma" w:cs="Tahoma"/>
          <w:sz w:val="20"/>
          <w:szCs w:val="20"/>
        </w:rPr>
        <w:t xml:space="preserve"> до них не повинні застосовуватись</w:t>
      </w:r>
      <w:r w:rsidR="00481C06" w:rsidRPr="00C96166">
        <w:rPr>
          <w:rFonts w:ascii="Tahoma" w:hAnsi="Tahoma" w:cs="Tahoma"/>
          <w:sz w:val="20"/>
          <w:szCs w:val="20"/>
        </w:rPr>
        <w:t xml:space="preserve"> відповідн</w:t>
      </w:r>
      <w:r w:rsidR="00EE6DC3" w:rsidRPr="00C96166">
        <w:rPr>
          <w:rFonts w:ascii="Tahoma" w:hAnsi="Tahoma" w:cs="Tahoma"/>
          <w:sz w:val="20"/>
          <w:szCs w:val="20"/>
        </w:rPr>
        <w:t>і</w:t>
      </w:r>
      <w:r w:rsidR="00481C06" w:rsidRPr="00C96166">
        <w:rPr>
          <w:rFonts w:ascii="Tahoma" w:hAnsi="Tahoma" w:cs="Tahoma"/>
          <w:sz w:val="20"/>
          <w:szCs w:val="20"/>
        </w:rPr>
        <w:t xml:space="preserve"> вимог</w:t>
      </w:r>
      <w:r w:rsidR="00EE6DC3" w:rsidRPr="00C96166">
        <w:rPr>
          <w:rFonts w:ascii="Tahoma" w:hAnsi="Tahoma" w:cs="Tahoma"/>
          <w:sz w:val="20"/>
          <w:szCs w:val="20"/>
        </w:rPr>
        <w:t>и</w:t>
      </w:r>
      <w:r w:rsidR="00481C06" w:rsidRPr="00C96166">
        <w:rPr>
          <w:rFonts w:ascii="Tahoma" w:hAnsi="Tahoma" w:cs="Tahoma"/>
          <w:sz w:val="20"/>
          <w:szCs w:val="20"/>
        </w:rPr>
        <w:t xml:space="preserve"> законодавства.</w:t>
      </w:r>
    </w:p>
    <w:p w14:paraId="6621662E" w14:textId="38CA95D9" w:rsidR="003F4F55" w:rsidRPr="00C96166" w:rsidRDefault="003F4F55" w:rsidP="003F4F55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left="900" w:hanging="450"/>
        <w:jc w:val="both"/>
        <w:rPr>
          <w:rFonts w:ascii="Tahoma" w:hAnsi="Tahoma" w:cs="Tahoma"/>
          <w:b/>
          <w:sz w:val="20"/>
          <w:szCs w:val="20"/>
        </w:rPr>
      </w:pPr>
      <w:r w:rsidRPr="00C96166">
        <w:rPr>
          <w:rFonts w:ascii="Tahoma" w:hAnsi="Tahoma" w:cs="Tahoma"/>
          <w:b/>
          <w:sz w:val="20"/>
          <w:szCs w:val="20"/>
        </w:rPr>
        <w:t>ГЕОЛОГІЧНА ІНФОРМАЦІЯ</w:t>
      </w:r>
    </w:p>
    <w:p w14:paraId="2A59D59E" w14:textId="3CED6803" w:rsidR="003F4F55" w:rsidRPr="00C96166" w:rsidRDefault="003F4F55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геологічна інформація є майном відповідно до Цивільного кодексу; геологічна інформація, створена </w:t>
      </w:r>
      <w:proofErr w:type="spellStart"/>
      <w:r w:rsidRPr="00C96166">
        <w:rPr>
          <w:rFonts w:ascii="Tahoma" w:hAnsi="Tahoma" w:cs="Tahoma"/>
          <w:sz w:val="20"/>
          <w:szCs w:val="20"/>
        </w:rPr>
        <w:t>надрокористувачем</w:t>
      </w:r>
      <w:proofErr w:type="spellEnd"/>
      <w:r w:rsidRPr="00C96166">
        <w:rPr>
          <w:rFonts w:ascii="Tahoma" w:hAnsi="Tahoma" w:cs="Tahoma"/>
          <w:sz w:val="20"/>
          <w:szCs w:val="20"/>
        </w:rPr>
        <w:t xml:space="preserve"> </w:t>
      </w:r>
      <w:r w:rsidR="00481C06" w:rsidRPr="00C96166">
        <w:rPr>
          <w:rFonts w:ascii="Tahoma" w:hAnsi="Tahoma" w:cs="Tahoma"/>
          <w:sz w:val="20"/>
          <w:szCs w:val="20"/>
        </w:rPr>
        <w:t>та зареєстрована як така в Державному реєстрі геологічної інформації</w:t>
      </w:r>
      <w:r w:rsidR="00EE6DC3" w:rsidRPr="00C96166">
        <w:rPr>
          <w:rFonts w:ascii="Tahoma" w:hAnsi="Tahoma" w:cs="Tahoma"/>
          <w:sz w:val="20"/>
          <w:szCs w:val="20"/>
        </w:rPr>
        <w:t xml:space="preserve">, </w:t>
      </w:r>
      <w:r w:rsidRPr="00C96166">
        <w:rPr>
          <w:rFonts w:ascii="Tahoma" w:hAnsi="Tahoma" w:cs="Tahoma"/>
          <w:sz w:val="20"/>
          <w:szCs w:val="20"/>
        </w:rPr>
        <w:t>належить йому на прав</w:t>
      </w:r>
      <w:r w:rsidR="00C96166" w:rsidRPr="00C96166">
        <w:rPr>
          <w:rFonts w:ascii="Tahoma" w:hAnsi="Tahoma" w:cs="Tahoma"/>
          <w:sz w:val="20"/>
          <w:szCs w:val="20"/>
        </w:rPr>
        <w:t>ах</w:t>
      </w:r>
      <w:r w:rsidRPr="00C96166">
        <w:rPr>
          <w:rFonts w:ascii="Tahoma" w:hAnsi="Tahoma" w:cs="Tahoma"/>
          <w:sz w:val="20"/>
          <w:szCs w:val="20"/>
        </w:rPr>
        <w:t xml:space="preserve"> власності (володіння, користування та розпорядження геологічною інформацією регулюється загальними засадами права власності, передбаченими Цивільним Кодексом України); </w:t>
      </w:r>
    </w:p>
    <w:p w14:paraId="5364DF3F" w14:textId="2E7C4171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>геологічна інформація поділяється на первинну та узагальнену; необхідно передбачити чіткі та вичерпні критерії розмежування первинної та узагальненої інформації;</w:t>
      </w:r>
    </w:p>
    <w:p w14:paraId="5FD54D59" w14:textId="1E6A29E4" w:rsidR="003F4F55" w:rsidRPr="00C96166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proofErr w:type="spellStart"/>
      <w:r w:rsidRPr="00C96166">
        <w:rPr>
          <w:rFonts w:ascii="Tahoma" w:hAnsi="Tahoma" w:cs="Tahoma"/>
          <w:sz w:val="20"/>
          <w:szCs w:val="20"/>
        </w:rPr>
        <w:t>надрокористувач</w:t>
      </w:r>
      <w:proofErr w:type="spellEnd"/>
      <w:r w:rsidRPr="00C96166">
        <w:rPr>
          <w:rFonts w:ascii="Tahoma" w:hAnsi="Tahoma" w:cs="Tahoma"/>
          <w:sz w:val="20"/>
          <w:szCs w:val="20"/>
        </w:rPr>
        <w:t xml:space="preserve"> подає у заявочному порядку відомості до Державного інформаційного геологічного фонду про наявну в нього первинну геологічну інформацію. Первинна геологічна інформація передається до Державного інформаційного геологічного фонду виключно за рішенням власника або у зв’язку з ліквідацією </w:t>
      </w:r>
      <w:r w:rsidR="00481C06" w:rsidRPr="00C96166">
        <w:rPr>
          <w:rFonts w:ascii="Tahoma" w:hAnsi="Tahoma" w:cs="Tahoma"/>
          <w:sz w:val="20"/>
          <w:szCs w:val="20"/>
        </w:rPr>
        <w:t xml:space="preserve">юридичної особи без </w:t>
      </w:r>
      <w:r w:rsidRPr="00C96166">
        <w:rPr>
          <w:rFonts w:ascii="Tahoma" w:hAnsi="Tahoma" w:cs="Tahoma"/>
          <w:sz w:val="20"/>
          <w:szCs w:val="20"/>
        </w:rPr>
        <w:t xml:space="preserve">правонаступників; </w:t>
      </w:r>
    </w:p>
    <w:p w14:paraId="15054AE4" w14:textId="5190D009" w:rsidR="003F4F55" w:rsidRPr="009F1551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C96166">
        <w:rPr>
          <w:rFonts w:ascii="Tahoma" w:hAnsi="Tahoma" w:cs="Tahoma"/>
          <w:sz w:val="20"/>
          <w:szCs w:val="20"/>
        </w:rPr>
        <w:t xml:space="preserve">узагальнена інформація </w:t>
      </w:r>
      <w:r w:rsidRPr="009F1551">
        <w:rPr>
          <w:rFonts w:ascii="Tahoma" w:hAnsi="Tahoma" w:cs="Tahoma"/>
          <w:sz w:val="20"/>
          <w:szCs w:val="20"/>
        </w:rPr>
        <w:t>підлягає передачі (з можливістю розпорядження) на зберігання до Державного інформаційного геологічного фонду;</w:t>
      </w:r>
    </w:p>
    <w:p w14:paraId="0716D477" w14:textId="2381026A" w:rsidR="003F4F55" w:rsidRPr="009F1551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proofErr w:type="spellStart"/>
      <w:r w:rsidRPr="009F1551">
        <w:rPr>
          <w:rFonts w:ascii="Tahoma" w:hAnsi="Tahoma" w:cs="Tahoma"/>
          <w:sz w:val="20"/>
          <w:szCs w:val="20"/>
        </w:rPr>
        <w:t>надрокористувач</w:t>
      </w:r>
      <w:proofErr w:type="spellEnd"/>
      <w:r w:rsidRPr="009F1551">
        <w:rPr>
          <w:rFonts w:ascii="Tahoma" w:hAnsi="Tahoma" w:cs="Tahoma"/>
          <w:sz w:val="20"/>
          <w:szCs w:val="20"/>
        </w:rPr>
        <w:t xml:space="preserve"> відповідає за передачу в державний фонд типових зразків різновидів гірських порід та корисних копалин;</w:t>
      </w:r>
    </w:p>
    <w:p w14:paraId="11E17F39" w14:textId="27465DFF" w:rsidR="003F4F55" w:rsidRPr="009F1551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9F1551">
        <w:rPr>
          <w:rFonts w:ascii="Tahoma" w:hAnsi="Tahoma" w:cs="Tahoma"/>
          <w:sz w:val="20"/>
          <w:szCs w:val="20"/>
        </w:rPr>
        <w:t xml:space="preserve">Державний інформаційний геологічний фонд відповідає за створення публічного електронного реєстру наявної геологічної інформації з зазначенням її власника. </w:t>
      </w:r>
    </w:p>
    <w:p w14:paraId="5F5633AB" w14:textId="1E9D7E7C" w:rsidR="003F4F55" w:rsidRPr="009F1551" w:rsidRDefault="003F4F55" w:rsidP="003F4F55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left="720" w:hanging="270"/>
        <w:jc w:val="both"/>
        <w:rPr>
          <w:rFonts w:ascii="Tahoma" w:hAnsi="Tahoma" w:cs="Tahoma"/>
          <w:b/>
          <w:sz w:val="20"/>
          <w:szCs w:val="20"/>
        </w:rPr>
      </w:pPr>
      <w:r w:rsidRPr="009F1551">
        <w:rPr>
          <w:rFonts w:ascii="Tahoma" w:hAnsi="Tahoma" w:cs="Tahoma"/>
          <w:b/>
          <w:sz w:val="20"/>
          <w:szCs w:val="20"/>
        </w:rPr>
        <w:t xml:space="preserve">ІНШІ ПОЛОЖЕННЯ </w:t>
      </w:r>
    </w:p>
    <w:p w14:paraId="0908FEA4" w14:textId="69D5D715" w:rsidR="003F4F55" w:rsidRPr="009F1551" w:rsidRDefault="003F4F55" w:rsidP="0025639F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9F1551">
        <w:rPr>
          <w:rFonts w:ascii="Tahoma" w:hAnsi="Tahoma" w:cs="Tahoma"/>
          <w:sz w:val="20"/>
          <w:szCs w:val="20"/>
        </w:rPr>
        <w:t xml:space="preserve">діяльність з </w:t>
      </w:r>
      <w:proofErr w:type="spellStart"/>
      <w:r w:rsidRPr="009F1551">
        <w:rPr>
          <w:rFonts w:ascii="Tahoma" w:hAnsi="Tahoma" w:cs="Tahoma"/>
          <w:sz w:val="20"/>
          <w:szCs w:val="20"/>
        </w:rPr>
        <w:t>надрокористування</w:t>
      </w:r>
      <w:proofErr w:type="spellEnd"/>
      <w:r w:rsidRPr="009F1551">
        <w:rPr>
          <w:rFonts w:ascii="Tahoma" w:hAnsi="Tahoma" w:cs="Tahoma"/>
          <w:sz w:val="20"/>
          <w:szCs w:val="20"/>
        </w:rPr>
        <w:t xml:space="preserve"> </w:t>
      </w:r>
      <w:r w:rsidR="00481C06" w:rsidRPr="009F1551">
        <w:rPr>
          <w:rFonts w:ascii="Tahoma" w:hAnsi="Tahoma" w:cs="Tahoma"/>
          <w:sz w:val="20"/>
          <w:szCs w:val="20"/>
        </w:rPr>
        <w:t>не підлягає ліцензуванню як вид підприємницької діяльності;</w:t>
      </w:r>
    </w:p>
    <w:p w14:paraId="391D930D" w14:textId="4C6F2A91" w:rsidR="003F4F55" w:rsidRPr="009F1551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9F1551">
        <w:rPr>
          <w:rFonts w:ascii="Tahoma" w:hAnsi="Tahoma" w:cs="Tahoma"/>
          <w:sz w:val="20"/>
          <w:szCs w:val="20"/>
        </w:rPr>
        <w:t>відсутня вимога щодо оформлення гірничого відводу;</w:t>
      </w:r>
    </w:p>
    <w:p w14:paraId="3E9F196A" w14:textId="0A391F37" w:rsidR="003F4F55" w:rsidRPr="009F1551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9F1551">
        <w:rPr>
          <w:rFonts w:ascii="Tahoma" w:hAnsi="Tahoma" w:cs="Tahoma"/>
          <w:sz w:val="20"/>
          <w:szCs w:val="20"/>
        </w:rPr>
        <w:t>повинен передбачатися обов’язок щодо розкриття інформації відповідно до вимог Ініціативи прозорості видобувних галузей;</w:t>
      </w:r>
    </w:p>
    <w:p w14:paraId="789EBA1E" w14:textId="6FEBB1A7" w:rsidR="003F4F55" w:rsidRPr="009F1551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9F1551">
        <w:rPr>
          <w:rFonts w:ascii="Tahoma" w:hAnsi="Tahoma" w:cs="Tahoma"/>
          <w:sz w:val="20"/>
          <w:szCs w:val="20"/>
        </w:rPr>
        <w:t xml:space="preserve">введення родовищ в промислову розробку або в дослідно-промислову розробку здійснюється </w:t>
      </w:r>
      <w:proofErr w:type="spellStart"/>
      <w:r w:rsidRPr="009F1551">
        <w:rPr>
          <w:rFonts w:ascii="Tahoma" w:hAnsi="Tahoma" w:cs="Tahoma"/>
          <w:sz w:val="20"/>
          <w:szCs w:val="20"/>
        </w:rPr>
        <w:t>надрокористувачем</w:t>
      </w:r>
      <w:proofErr w:type="spellEnd"/>
      <w:r w:rsidRPr="009F1551">
        <w:rPr>
          <w:rFonts w:ascii="Tahoma" w:hAnsi="Tahoma" w:cs="Tahoma"/>
          <w:sz w:val="20"/>
          <w:szCs w:val="20"/>
        </w:rPr>
        <w:t xml:space="preserve"> на підставі відповідного проекту, розробленого </w:t>
      </w:r>
      <w:proofErr w:type="spellStart"/>
      <w:r w:rsidRPr="009F1551">
        <w:rPr>
          <w:rFonts w:ascii="Tahoma" w:hAnsi="Tahoma" w:cs="Tahoma"/>
          <w:sz w:val="20"/>
          <w:szCs w:val="20"/>
        </w:rPr>
        <w:t>надрокористувачем</w:t>
      </w:r>
      <w:proofErr w:type="spellEnd"/>
      <w:r w:rsidRPr="009F1551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9F1551">
        <w:rPr>
          <w:rFonts w:ascii="Tahoma" w:hAnsi="Tahoma" w:cs="Tahoma"/>
          <w:sz w:val="20"/>
          <w:szCs w:val="20"/>
        </w:rPr>
        <w:t>надрокористувач</w:t>
      </w:r>
      <w:proofErr w:type="spellEnd"/>
      <w:r w:rsidRPr="009F1551">
        <w:rPr>
          <w:rFonts w:ascii="Tahoma" w:hAnsi="Tahoma" w:cs="Tahoma"/>
          <w:sz w:val="20"/>
          <w:szCs w:val="20"/>
        </w:rPr>
        <w:t xml:space="preserve"> повинен </w:t>
      </w:r>
      <w:r w:rsidR="00481C06" w:rsidRPr="009F1551">
        <w:rPr>
          <w:rFonts w:ascii="Tahoma" w:hAnsi="Tahoma" w:cs="Tahoma"/>
          <w:sz w:val="20"/>
          <w:szCs w:val="20"/>
        </w:rPr>
        <w:t xml:space="preserve">надати відомості до </w:t>
      </w:r>
      <w:r w:rsidRPr="009F1551">
        <w:rPr>
          <w:rFonts w:ascii="Tahoma" w:hAnsi="Tahoma" w:cs="Tahoma"/>
          <w:sz w:val="20"/>
          <w:szCs w:val="20"/>
        </w:rPr>
        <w:t>центральн</w:t>
      </w:r>
      <w:r w:rsidR="00481C06" w:rsidRPr="009F1551">
        <w:rPr>
          <w:rFonts w:ascii="Tahoma" w:hAnsi="Tahoma" w:cs="Tahoma"/>
          <w:sz w:val="20"/>
          <w:szCs w:val="20"/>
        </w:rPr>
        <w:t>их</w:t>
      </w:r>
      <w:r w:rsidRPr="009F1551">
        <w:rPr>
          <w:rFonts w:ascii="Tahoma" w:hAnsi="Tahoma" w:cs="Tahoma"/>
          <w:sz w:val="20"/>
          <w:szCs w:val="20"/>
        </w:rPr>
        <w:t xml:space="preserve"> орган</w:t>
      </w:r>
      <w:r w:rsidR="00481C06" w:rsidRPr="009F1551">
        <w:rPr>
          <w:rFonts w:ascii="Tahoma" w:hAnsi="Tahoma" w:cs="Tahoma"/>
          <w:sz w:val="20"/>
          <w:szCs w:val="20"/>
        </w:rPr>
        <w:t>ів</w:t>
      </w:r>
      <w:r w:rsidRPr="009F1551">
        <w:rPr>
          <w:rFonts w:ascii="Tahoma" w:hAnsi="Tahoma" w:cs="Tahoma"/>
          <w:sz w:val="20"/>
          <w:szCs w:val="20"/>
        </w:rPr>
        <w:t xml:space="preserve"> виконавчої влади</w:t>
      </w:r>
      <w:r w:rsidR="00C96166" w:rsidRPr="009F1551">
        <w:rPr>
          <w:rFonts w:ascii="Tahoma" w:hAnsi="Tahoma" w:cs="Tahoma"/>
          <w:sz w:val="20"/>
          <w:szCs w:val="20"/>
          <w:lang w:val="ru-RU"/>
        </w:rPr>
        <w:t xml:space="preserve"> про </w:t>
      </w:r>
      <w:r w:rsidR="00C96166" w:rsidRPr="009F1551">
        <w:rPr>
          <w:rFonts w:ascii="Tahoma" w:hAnsi="Tahoma" w:cs="Tahoma"/>
          <w:sz w:val="20"/>
          <w:szCs w:val="20"/>
        </w:rPr>
        <w:t>введення родовищ в промислову розробку або в дослідно-промислову розробку</w:t>
      </w:r>
      <w:r w:rsidRPr="009F1551">
        <w:rPr>
          <w:rFonts w:ascii="Tahoma" w:hAnsi="Tahoma" w:cs="Tahoma"/>
          <w:sz w:val="20"/>
          <w:szCs w:val="20"/>
        </w:rPr>
        <w:t xml:space="preserve">, а не запитувати </w:t>
      </w:r>
      <w:r w:rsidR="00C96166" w:rsidRPr="009F1551">
        <w:rPr>
          <w:rFonts w:ascii="Tahoma" w:hAnsi="Tahoma" w:cs="Tahoma"/>
          <w:sz w:val="20"/>
          <w:szCs w:val="20"/>
          <w:lang w:val="ru-RU"/>
        </w:rPr>
        <w:t xml:space="preserve">у них </w:t>
      </w:r>
      <w:r w:rsidRPr="009F1551">
        <w:rPr>
          <w:rFonts w:ascii="Tahoma" w:hAnsi="Tahoma" w:cs="Tahoma"/>
          <w:sz w:val="20"/>
          <w:szCs w:val="20"/>
        </w:rPr>
        <w:t>дозволу;</w:t>
      </w:r>
    </w:p>
    <w:p w14:paraId="7C56FD17" w14:textId="5C1FFA6D" w:rsidR="003F4F55" w:rsidRPr="009F1551" w:rsidRDefault="003F4F55" w:rsidP="003F4F55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9F1551">
        <w:rPr>
          <w:rFonts w:ascii="Tahoma" w:hAnsi="Tahoma" w:cs="Tahoma"/>
          <w:sz w:val="20"/>
          <w:szCs w:val="20"/>
        </w:rPr>
        <w:t>необхідно передбачити механізм, який би міг дозволити видобувати супутні корисні копалини в межах існуючих спеціальних дозволів, що утворилися в процесі користування надрами та не мають промислового</w:t>
      </w:r>
      <w:r w:rsidR="00C54F19" w:rsidRPr="009F1551">
        <w:rPr>
          <w:rFonts w:ascii="Tahoma" w:hAnsi="Tahoma" w:cs="Tahoma"/>
          <w:sz w:val="20"/>
          <w:szCs w:val="20"/>
        </w:rPr>
        <w:t>/комерційного</w:t>
      </w:r>
      <w:r w:rsidRPr="009F1551">
        <w:rPr>
          <w:rFonts w:ascii="Tahoma" w:hAnsi="Tahoma" w:cs="Tahoma"/>
          <w:sz w:val="20"/>
          <w:szCs w:val="20"/>
        </w:rPr>
        <w:t xml:space="preserve"> значення (виключний список таких копалин повинен  бути наведений у Кодексі); платежі за видобування таких копалин не справляються; не має необхідності внесення змін до спеціального дозволу на користування надрами;</w:t>
      </w:r>
    </w:p>
    <w:p w14:paraId="303866A6" w14:textId="0A280B98" w:rsidR="003F4F55" w:rsidRPr="009F1551" w:rsidRDefault="003F4F55" w:rsidP="009F1551">
      <w:pPr>
        <w:pStyle w:val="ListParagraph"/>
        <w:numPr>
          <w:ilvl w:val="0"/>
          <w:numId w:val="15"/>
        </w:numPr>
        <w:spacing w:before="0" w:beforeAutospacing="0" w:line="276" w:lineRule="auto"/>
        <w:ind w:left="720" w:hanging="180"/>
        <w:jc w:val="both"/>
        <w:rPr>
          <w:rFonts w:ascii="Tahoma" w:hAnsi="Tahoma" w:cs="Tahoma"/>
          <w:sz w:val="20"/>
          <w:szCs w:val="20"/>
        </w:rPr>
      </w:pPr>
      <w:r w:rsidRPr="009F1551">
        <w:rPr>
          <w:rFonts w:ascii="Tahoma" w:hAnsi="Tahoma" w:cs="Tahoma"/>
          <w:sz w:val="20"/>
          <w:szCs w:val="20"/>
        </w:rPr>
        <w:lastRenderedPageBreak/>
        <w:t xml:space="preserve">запровадження інституту резервування земельних ділянок для надання надр у користування – органи державної влади або інші особи не повинні приймати жодні рішення щодо зміни категорії земельних ділянок, якщо такі рішення перешкоджатимуть здійсненню прав </w:t>
      </w:r>
      <w:proofErr w:type="spellStart"/>
      <w:r w:rsidRPr="009F1551">
        <w:rPr>
          <w:rFonts w:ascii="Tahoma" w:hAnsi="Tahoma" w:cs="Tahoma"/>
          <w:sz w:val="20"/>
          <w:szCs w:val="20"/>
        </w:rPr>
        <w:t>надрокористувачами</w:t>
      </w:r>
      <w:proofErr w:type="spellEnd"/>
      <w:r w:rsidR="008C6439" w:rsidRPr="009F1551">
        <w:rPr>
          <w:rFonts w:ascii="Tahoma" w:hAnsi="Tahoma" w:cs="Tahoma"/>
          <w:sz w:val="20"/>
          <w:szCs w:val="20"/>
        </w:rPr>
        <w:t xml:space="preserve"> протягом терміну дії</w:t>
      </w:r>
      <w:r w:rsidR="00C96166" w:rsidRPr="009F1551">
        <w:rPr>
          <w:rFonts w:ascii="Tahoma" w:hAnsi="Tahoma" w:cs="Tahoma"/>
          <w:sz w:val="20"/>
          <w:szCs w:val="20"/>
        </w:rPr>
        <w:t xml:space="preserve"> спеціального дозволу на користування надрами</w:t>
      </w:r>
      <w:r w:rsidRPr="009F1551">
        <w:rPr>
          <w:rFonts w:ascii="Tahoma" w:hAnsi="Tahoma" w:cs="Tahoma"/>
          <w:sz w:val="20"/>
          <w:szCs w:val="20"/>
        </w:rPr>
        <w:t xml:space="preserve">. </w:t>
      </w:r>
      <w:r w:rsidR="00C96166" w:rsidRPr="009F1551">
        <w:rPr>
          <w:rFonts w:ascii="Tahoma" w:hAnsi="Tahoma" w:cs="Tahoma"/>
          <w:sz w:val="20"/>
          <w:szCs w:val="20"/>
        </w:rPr>
        <w:t xml:space="preserve">Інформація щодо надання </w:t>
      </w:r>
      <w:r w:rsidR="00C96166" w:rsidRPr="009F1551">
        <w:rPr>
          <w:rFonts w:ascii="Tahoma" w:hAnsi="Tahoma" w:cs="Tahoma"/>
          <w:sz w:val="20"/>
          <w:szCs w:val="20"/>
        </w:rPr>
        <w:t>спеціального дозволу на користування надрами</w:t>
      </w:r>
      <w:r w:rsidR="00C96166" w:rsidRPr="009F1551">
        <w:rPr>
          <w:rFonts w:ascii="Tahoma" w:hAnsi="Tahoma" w:cs="Tahoma"/>
          <w:sz w:val="20"/>
          <w:szCs w:val="20"/>
        </w:rPr>
        <w:t xml:space="preserve"> на певній ділянці повинна бути направлена до </w:t>
      </w:r>
      <w:proofErr w:type="spellStart"/>
      <w:r w:rsidR="00C96166" w:rsidRPr="009F1551">
        <w:rPr>
          <w:rFonts w:ascii="Tahoma" w:hAnsi="Tahoma" w:cs="Tahoma"/>
          <w:sz w:val="20"/>
          <w:szCs w:val="20"/>
        </w:rPr>
        <w:t>Держгеокадастру</w:t>
      </w:r>
      <w:proofErr w:type="spellEnd"/>
      <w:r w:rsidR="00C96166" w:rsidRPr="009F1551">
        <w:rPr>
          <w:rFonts w:ascii="Tahoma" w:hAnsi="Tahoma" w:cs="Tahoma"/>
          <w:sz w:val="20"/>
          <w:szCs w:val="20"/>
        </w:rPr>
        <w:t>.</w:t>
      </w:r>
    </w:p>
    <w:p w14:paraId="29161AD7" w14:textId="05B57D88" w:rsidR="003F4F55" w:rsidRPr="003F4F55" w:rsidRDefault="003F4F55" w:rsidP="003F4F55">
      <w:pPr>
        <w:pStyle w:val="ListParagraph"/>
        <w:numPr>
          <w:ilvl w:val="0"/>
          <w:numId w:val="14"/>
        </w:numPr>
        <w:tabs>
          <w:tab w:val="left" w:pos="900"/>
        </w:tabs>
        <w:spacing w:before="0" w:beforeAutospacing="0" w:after="0" w:afterAutospacing="0" w:line="276" w:lineRule="auto"/>
        <w:ind w:left="720" w:hanging="270"/>
        <w:jc w:val="both"/>
        <w:rPr>
          <w:rFonts w:ascii="Tahoma" w:hAnsi="Tahoma" w:cs="Tahoma"/>
          <w:b/>
          <w:sz w:val="20"/>
          <w:szCs w:val="20"/>
        </w:rPr>
      </w:pPr>
      <w:r w:rsidRPr="003F4F55">
        <w:rPr>
          <w:rFonts w:ascii="Tahoma" w:hAnsi="Tahoma" w:cs="Tahoma"/>
          <w:b/>
          <w:sz w:val="20"/>
          <w:szCs w:val="20"/>
        </w:rPr>
        <w:t xml:space="preserve"> ПОТРЕБУЄ ОБГОВОРЕННЯ</w:t>
      </w:r>
    </w:p>
    <w:p w14:paraId="50108571" w14:textId="53A938C7" w:rsidR="003F4F55" w:rsidRPr="003F4F55" w:rsidRDefault="003F4F55" w:rsidP="003F4F55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3F4F55">
        <w:rPr>
          <w:rFonts w:ascii="Tahoma" w:hAnsi="Tahoma" w:cs="Tahoma"/>
          <w:sz w:val="20"/>
          <w:szCs w:val="20"/>
        </w:rPr>
        <w:t>1.</w:t>
      </w:r>
      <w:r w:rsidRPr="003F4F5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3F4F55">
        <w:rPr>
          <w:rFonts w:ascii="Tahoma" w:hAnsi="Tahoma" w:cs="Tahoma"/>
          <w:sz w:val="20"/>
          <w:szCs w:val="20"/>
        </w:rPr>
        <w:t>Залучення органів місцевої влади до процесу надання спеціального дозволу (затвердження надання дозволу, виділення землі, звітів ОВД).</w:t>
      </w:r>
    </w:p>
    <w:p w14:paraId="061625EB" w14:textId="4E47BA7C" w:rsidR="005754C8" w:rsidRPr="003F4F55" w:rsidRDefault="003F4F55" w:rsidP="006B2468">
      <w:pPr>
        <w:spacing w:line="276" w:lineRule="auto"/>
        <w:ind w:left="540"/>
        <w:jc w:val="both"/>
      </w:pPr>
      <w:r w:rsidRPr="003F4F55">
        <w:rPr>
          <w:rFonts w:ascii="Tahoma" w:hAnsi="Tahoma" w:cs="Tahoma"/>
          <w:sz w:val="20"/>
          <w:szCs w:val="20"/>
        </w:rPr>
        <w:t>2.</w:t>
      </w:r>
      <w:r w:rsidRPr="003F4F5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3F4F55">
        <w:rPr>
          <w:rFonts w:ascii="Tahoma" w:hAnsi="Tahoma" w:cs="Tahoma"/>
          <w:sz w:val="20"/>
          <w:szCs w:val="20"/>
        </w:rPr>
        <w:t xml:space="preserve">Механізм контролю з боку відповідального органу в сфері </w:t>
      </w:r>
      <w:proofErr w:type="spellStart"/>
      <w:r w:rsidRPr="003F4F55">
        <w:rPr>
          <w:rFonts w:ascii="Tahoma" w:hAnsi="Tahoma" w:cs="Tahoma"/>
          <w:sz w:val="20"/>
          <w:szCs w:val="20"/>
        </w:rPr>
        <w:t>надрокористування</w:t>
      </w:r>
      <w:proofErr w:type="spellEnd"/>
      <w:r w:rsidRPr="003F4F55">
        <w:rPr>
          <w:rFonts w:ascii="Tahoma" w:hAnsi="Tahoma" w:cs="Tahoma"/>
          <w:sz w:val="20"/>
          <w:szCs w:val="20"/>
        </w:rPr>
        <w:t xml:space="preserve"> за виконання </w:t>
      </w:r>
      <w:proofErr w:type="spellStart"/>
      <w:r w:rsidRPr="003F4F55">
        <w:rPr>
          <w:rFonts w:ascii="Tahoma" w:hAnsi="Tahoma" w:cs="Tahoma"/>
          <w:sz w:val="20"/>
          <w:szCs w:val="20"/>
        </w:rPr>
        <w:t>надрокористувачем</w:t>
      </w:r>
      <w:proofErr w:type="spellEnd"/>
      <w:r w:rsidRPr="003F4F55">
        <w:rPr>
          <w:rFonts w:ascii="Tahoma" w:hAnsi="Tahoma" w:cs="Tahoma"/>
          <w:sz w:val="20"/>
          <w:szCs w:val="20"/>
        </w:rPr>
        <w:t xml:space="preserve"> умов дозволу</w:t>
      </w:r>
      <w:r w:rsidR="006B2468">
        <w:rPr>
          <w:rFonts w:ascii="Tahoma" w:hAnsi="Tahoma" w:cs="Tahoma"/>
          <w:sz w:val="20"/>
          <w:szCs w:val="20"/>
        </w:rPr>
        <w:t xml:space="preserve"> -</w:t>
      </w:r>
      <w:r w:rsidR="00C54F19">
        <w:rPr>
          <w:rFonts w:ascii="Tahoma" w:hAnsi="Tahoma" w:cs="Tahoma"/>
          <w:sz w:val="20"/>
          <w:szCs w:val="20"/>
        </w:rPr>
        <w:t xml:space="preserve"> погодження</w:t>
      </w:r>
      <w:r w:rsidRPr="003F4F55">
        <w:rPr>
          <w:rFonts w:ascii="Tahoma" w:hAnsi="Tahoma" w:cs="Tahoma"/>
          <w:sz w:val="20"/>
          <w:szCs w:val="20"/>
        </w:rPr>
        <w:t xml:space="preserve"> програми робіт</w:t>
      </w:r>
      <w:r w:rsidR="006B2468">
        <w:rPr>
          <w:rFonts w:ascii="Tahoma" w:hAnsi="Tahoma" w:cs="Tahoma"/>
          <w:sz w:val="20"/>
          <w:szCs w:val="20"/>
        </w:rPr>
        <w:t>.</w:t>
      </w:r>
      <w:r w:rsidRPr="003F4F55">
        <w:rPr>
          <w:rFonts w:ascii="Tahoma" w:hAnsi="Tahoma" w:cs="Tahoma"/>
          <w:sz w:val="20"/>
          <w:szCs w:val="20"/>
        </w:rPr>
        <w:t xml:space="preserve"> </w:t>
      </w:r>
    </w:p>
    <w:sectPr w:rsidR="005754C8" w:rsidRPr="003F4F55" w:rsidSect="003F4F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926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B3EB" w14:textId="77777777" w:rsidR="00554456" w:rsidRDefault="00554456" w:rsidP="005754C8">
      <w:r>
        <w:separator/>
      </w:r>
    </w:p>
  </w:endnote>
  <w:endnote w:type="continuationSeparator" w:id="0">
    <w:p w14:paraId="12EE8780" w14:textId="77777777" w:rsidR="00554456" w:rsidRDefault="00554456" w:rsidP="0057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B78A" w14:textId="45B874C8" w:rsidR="00F512F2" w:rsidRPr="00843624" w:rsidRDefault="00F512F2" w:rsidP="004E0294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</w:t>
    </w:r>
  </w:p>
  <w:p w14:paraId="28ABF5B6" w14:textId="77777777" w:rsidR="00F512F2" w:rsidRPr="006E325A" w:rsidRDefault="00F512F2" w:rsidP="004E0294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bookmarkStart w:id="2" w:name="_Hlk500931139"/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>
      <w:rPr>
        <w:rFonts w:ascii="Arial" w:hAnsi="Arial" w:cs="Arial"/>
        <w:i/>
        <w:color w:val="404040"/>
        <w:sz w:val="16"/>
        <w:szCs w:val="16"/>
      </w:rPr>
      <w:tab/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Голова;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</w:rPr>
      <w:t>–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- </w:t>
    </w:r>
    <w:r w:rsidRPr="003A6960">
      <w:rPr>
        <w:rFonts w:ascii="Arial" w:hAnsi="Arial" w:cs="Arial"/>
        <w:b/>
        <w:i/>
        <w:color w:val="404040"/>
        <w:sz w:val="16"/>
        <w:szCs w:val="16"/>
      </w:rPr>
      <w:t>Заступник голови;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Ірина Козлова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, 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PepsiCo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Україна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Скарбник;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>
      <w:rPr>
        <w:rFonts w:ascii="Arial" w:hAnsi="Arial" w:cs="Arial"/>
        <w:i/>
        <w:color w:val="404040"/>
        <w:sz w:val="16"/>
        <w:szCs w:val="16"/>
      </w:rPr>
      <w:t xml:space="preserve"> – </w:t>
    </w:r>
    <w:r w:rsidRPr="003A6960">
      <w:rPr>
        <w:rFonts w:ascii="Arial" w:hAnsi="Arial" w:cs="Arial"/>
        <w:b/>
        <w:i/>
        <w:color w:val="404040"/>
        <w:sz w:val="16"/>
        <w:szCs w:val="16"/>
      </w:rPr>
      <w:t>Секретар та юридичний радник;</w:t>
    </w:r>
    <w:r w:rsidRPr="003A6960">
      <w:rPr>
        <w:rFonts w:ascii="Arial" w:hAnsi="Arial" w:cs="Arial"/>
        <w:i/>
        <w:color w:val="404040"/>
        <w:sz w:val="16"/>
        <w:szCs w:val="16"/>
      </w:rPr>
      <w:t xml:space="preserve">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Наталі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Алькер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</w:t>
    </w:r>
    <w:r>
      <w:rPr>
        <w:rFonts w:ascii="Arial" w:hAnsi="Arial" w:cs="Arial"/>
        <w:i/>
        <w:color w:val="404040"/>
        <w:sz w:val="16"/>
        <w:szCs w:val="16"/>
        <w:lang w:val="en-US"/>
      </w:rPr>
      <w:t>Danone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Гієм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6E325A">
      <w:rPr>
        <w:rFonts w:ascii="Arial" w:hAnsi="Arial" w:cs="Arial"/>
        <w:b/>
        <w:i/>
        <w:color w:val="404040"/>
        <w:sz w:val="16"/>
        <w:szCs w:val="16"/>
      </w:rPr>
      <w:t>Граньє</w:t>
    </w:r>
    <w:proofErr w:type="spellEnd"/>
    <w:r w:rsidRPr="006E325A">
      <w:rPr>
        <w:rFonts w:ascii="Arial" w:hAnsi="Arial" w:cs="Arial"/>
        <w:b/>
        <w:i/>
        <w:color w:val="404040"/>
        <w:sz w:val="16"/>
        <w:szCs w:val="16"/>
      </w:rPr>
      <w:t>,</w:t>
    </w:r>
    <w:r w:rsidRPr="006E325A">
      <w:rPr>
        <w:rFonts w:ascii="Arial" w:hAnsi="Arial" w:cs="Arial"/>
        <w:i/>
        <w:color w:val="404040"/>
        <w:sz w:val="16"/>
        <w:szCs w:val="16"/>
      </w:rPr>
      <w:t xml:space="preserve"> "</w:t>
    </w:r>
    <w:proofErr w:type="spellStart"/>
    <w:r w:rsidRPr="006E325A">
      <w:rPr>
        <w:rFonts w:ascii="Arial" w:hAnsi="Arial" w:cs="Arial"/>
        <w:i/>
        <w:color w:val="404040"/>
        <w:sz w:val="16"/>
        <w:szCs w:val="16"/>
      </w:rPr>
      <w:t>Санофі-Авентіс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 Україна"; </w:t>
    </w:r>
    <w:r w:rsidRPr="00753DD5">
      <w:rPr>
        <w:rFonts w:ascii="Arial" w:hAnsi="Arial" w:cs="Arial"/>
        <w:b/>
        <w:i/>
        <w:color w:val="404040"/>
        <w:sz w:val="16"/>
        <w:szCs w:val="16"/>
      </w:rPr>
      <w:t>Олена Кошарна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6E325A">
      <w:rPr>
        <w:rFonts w:ascii="Arial" w:hAnsi="Arial" w:cs="Arial"/>
        <w:i/>
        <w:color w:val="404040"/>
        <w:sz w:val="16"/>
        <w:szCs w:val="16"/>
      </w:rPr>
      <w:t xml:space="preserve">;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Алістер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404040"/>
        <w:sz w:val="16"/>
        <w:szCs w:val="16"/>
      </w:rPr>
      <w:t>МакБейн</w:t>
    </w:r>
    <w:proofErr w:type="spellEnd"/>
    <w:r>
      <w:rPr>
        <w:rFonts w:ascii="Arial" w:hAnsi="Arial" w:cs="Arial"/>
        <w:b/>
        <w:i/>
        <w:color w:val="404040"/>
        <w:sz w:val="16"/>
        <w:szCs w:val="16"/>
      </w:rPr>
      <w:t>,</w:t>
    </w:r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Arawak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color w:val="404040"/>
        <w:sz w:val="16"/>
        <w:szCs w:val="16"/>
      </w:rPr>
      <w:t>Energy</w:t>
    </w:r>
    <w:proofErr w:type="spellEnd"/>
    <w:r>
      <w:rPr>
        <w:rFonts w:ascii="Arial" w:hAnsi="Arial" w:cs="Arial"/>
        <w:i/>
        <w:color w:val="404040"/>
        <w:sz w:val="16"/>
        <w:szCs w:val="16"/>
      </w:rPr>
      <w:t xml:space="preserve"> Ukraine B.V.;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"Каргілл"</w:t>
    </w:r>
    <w:r w:rsidRPr="006E325A">
      <w:rPr>
        <w:rFonts w:ascii="Arial" w:hAnsi="Arial" w:cs="Arial"/>
        <w:b/>
        <w:i/>
        <w:color w:val="404040"/>
        <w:sz w:val="16"/>
        <w:szCs w:val="16"/>
      </w:rPr>
      <w:t>.</w:t>
    </w:r>
  </w:p>
  <w:p w14:paraId="67FE1304" w14:textId="77777777" w:rsidR="00F512F2" w:rsidRPr="00843624" w:rsidRDefault="00F512F2" w:rsidP="004E0294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6E325A">
      <w:rPr>
        <w:rFonts w:ascii="Arial" w:hAnsi="Arial" w:cs="Arial"/>
        <w:b/>
        <w:i/>
        <w:color w:val="404040"/>
        <w:sz w:val="16"/>
        <w:szCs w:val="16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6E325A">
      <w:rPr>
        <w:rFonts w:ascii="Arial" w:hAnsi="Arial" w:cs="Arial"/>
        <w:b/>
        <w:i/>
        <w:color w:val="404040"/>
        <w:sz w:val="16"/>
        <w:szCs w:val="16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r>
      <w:rPr>
        <w:rFonts w:ascii="Arial" w:hAnsi="Arial" w:cs="Arial"/>
        <w:b/>
        <w:i/>
        <w:color w:val="404040"/>
        <w:sz w:val="16"/>
        <w:szCs w:val="16"/>
        <w:lang w:val="en-US"/>
      </w:rPr>
      <w:t xml:space="preserve">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bookmarkEnd w:id="2"/>
  <w:p w14:paraId="192C80BC" w14:textId="77777777" w:rsidR="00F512F2" w:rsidRPr="005F4AD6" w:rsidRDefault="00F512F2" w:rsidP="004E0294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88CE" w14:textId="77777777" w:rsidR="00554456" w:rsidRDefault="00554456" w:rsidP="005754C8">
      <w:r>
        <w:separator/>
      </w:r>
    </w:p>
  </w:footnote>
  <w:footnote w:type="continuationSeparator" w:id="0">
    <w:p w14:paraId="6102C328" w14:textId="77777777" w:rsidR="00554456" w:rsidRDefault="00554456" w:rsidP="0057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5EB1" w14:textId="6DBED052" w:rsidR="00F512F2" w:rsidRDefault="003F4F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CA0B371" wp14:editId="3EE4E1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88480" cy="2755265"/>
              <wp:effectExtent l="0" t="1752600" r="0" b="1588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88480" cy="27552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7CBE1" w14:textId="77777777" w:rsidR="003F4F55" w:rsidRDefault="003F4F55" w:rsidP="003F4F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B3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42.4pt;height:216.9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F47CBE1" w14:textId="77777777" w:rsidR="003F4F55" w:rsidRDefault="003F4F55" w:rsidP="003F4F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BA30" w14:textId="1D2BD269" w:rsidR="00F512F2" w:rsidRPr="00712510" w:rsidRDefault="003F4F55" w:rsidP="004E0294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C10D8CE" wp14:editId="3E3548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88480" cy="2755265"/>
              <wp:effectExtent l="0" t="1752600" r="0" b="1588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88480" cy="27552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5E393" w14:textId="77777777" w:rsidR="003F4F55" w:rsidRDefault="003F4F55" w:rsidP="003F4F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0D8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542.4pt;height:216.9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25E393" w14:textId="77777777" w:rsidR="003F4F55" w:rsidRDefault="003F4F55" w:rsidP="003F4F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512F2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2D5A401D" wp14:editId="7A5A53F3">
          <wp:simplePos x="0" y="0"/>
          <wp:positionH relativeFrom="column">
            <wp:posOffset>-360045</wp:posOffset>
          </wp:positionH>
          <wp:positionV relativeFrom="page">
            <wp:posOffset>88900</wp:posOffset>
          </wp:positionV>
          <wp:extent cx="1720215" cy="688340"/>
          <wp:effectExtent l="0" t="0" r="0" b="0"/>
          <wp:wrapNone/>
          <wp:docPr id="13" name="Picture 13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r="77191" b="27620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2F2"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7653930D" wp14:editId="7F3D4AA3">
          <wp:simplePos x="0" y="0"/>
          <wp:positionH relativeFrom="column">
            <wp:posOffset>1301115</wp:posOffset>
          </wp:positionH>
          <wp:positionV relativeFrom="page">
            <wp:posOffset>88900</wp:posOffset>
          </wp:positionV>
          <wp:extent cx="5888355" cy="939800"/>
          <wp:effectExtent l="0" t="0" r="0" b="0"/>
          <wp:wrapNone/>
          <wp:docPr id="14" name="Picture 14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25"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02AC" w14:textId="77777777" w:rsidR="00F512F2" w:rsidRDefault="00EA48F5">
    <w:pPr>
      <w:pStyle w:val="Header"/>
    </w:pPr>
    <w:r>
      <w:rPr>
        <w:noProof/>
      </w:rPr>
      <w:pict w14:anchorId="6D654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542.4pt;height:216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85D"/>
    <w:multiLevelType w:val="hybridMultilevel"/>
    <w:tmpl w:val="0592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128"/>
    <w:multiLevelType w:val="multilevel"/>
    <w:tmpl w:val="1DE063A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2" w15:restartNumberingAfterBreak="0">
    <w:nsid w:val="23577DE9"/>
    <w:multiLevelType w:val="hybridMultilevel"/>
    <w:tmpl w:val="4524E7B4"/>
    <w:lvl w:ilvl="0" w:tplc="53882310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95734C6"/>
    <w:multiLevelType w:val="hybridMultilevel"/>
    <w:tmpl w:val="DBFE2350"/>
    <w:lvl w:ilvl="0" w:tplc="3C76EE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2345DB"/>
    <w:multiLevelType w:val="multilevel"/>
    <w:tmpl w:val="25ACB7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5" w15:restartNumberingAfterBreak="0">
    <w:nsid w:val="336B5638"/>
    <w:multiLevelType w:val="multilevel"/>
    <w:tmpl w:val="848ECCB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6" w15:restartNumberingAfterBreak="0">
    <w:nsid w:val="36F16D1C"/>
    <w:multiLevelType w:val="multilevel"/>
    <w:tmpl w:val="20420076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7" w15:restartNumberingAfterBreak="0">
    <w:nsid w:val="447C082E"/>
    <w:multiLevelType w:val="hybridMultilevel"/>
    <w:tmpl w:val="F01ADE7C"/>
    <w:lvl w:ilvl="0" w:tplc="DAD223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4ED01E8"/>
    <w:multiLevelType w:val="multilevel"/>
    <w:tmpl w:val="1DE063A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45452857"/>
    <w:multiLevelType w:val="multilevel"/>
    <w:tmpl w:val="848ECCB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>
      <w:numFmt w:val="bullet"/>
      <w:lvlText w:val="-"/>
      <w:lvlJc w:val="left"/>
      <w:pPr>
        <w:ind w:left="171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0" w15:restartNumberingAfterBreak="0">
    <w:nsid w:val="49D24222"/>
    <w:multiLevelType w:val="hybridMultilevel"/>
    <w:tmpl w:val="77F6B058"/>
    <w:lvl w:ilvl="0" w:tplc="18D63E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882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3882310"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76EF"/>
    <w:multiLevelType w:val="hybridMultilevel"/>
    <w:tmpl w:val="2A401D44"/>
    <w:lvl w:ilvl="0" w:tplc="480458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55B4652"/>
    <w:multiLevelType w:val="hybridMultilevel"/>
    <w:tmpl w:val="78F0FB54"/>
    <w:lvl w:ilvl="0" w:tplc="B762A814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8772AC"/>
    <w:multiLevelType w:val="hybridMultilevel"/>
    <w:tmpl w:val="F4089E12"/>
    <w:lvl w:ilvl="0" w:tplc="53882310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561395"/>
    <w:multiLevelType w:val="hybridMultilevel"/>
    <w:tmpl w:val="CBA4D7FC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96D36B0"/>
    <w:multiLevelType w:val="hybridMultilevel"/>
    <w:tmpl w:val="7848C04A"/>
    <w:lvl w:ilvl="0" w:tplc="53882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3882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388231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C8"/>
    <w:rsid w:val="000064DE"/>
    <w:rsid w:val="00032E1F"/>
    <w:rsid w:val="000677F5"/>
    <w:rsid w:val="0008520E"/>
    <w:rsid w:val="000C0207"/>
    <w:rsid w:val="0010137D"/>
    <w:rsid w:val="00122DB1"/>
    <w:rsid w:val="00133E35"/>
    <w:rsid w:val="001679E9"/>
    <w:rsid w:val="0018555F"/>
    <w:rsid w:val="00187B91"/>
    <w:rsid w:val="00193885"/>
    <w:rsid w:val="00194DFC"/>
    <w:rsid w:val="00197453"/>
    <w:rsid w:val="001A0F7A"/>
    <w:rsid w:val="001B2556"/>
    <w:rsid w:val="001E22A2"/>
    <w:rsid w:val="001F511B"/>
    <w:rsid w:val="0020086E"/>
    <w:rsid w:val="00204559"/>
    <w:rsid w:val="00216A60"/>
    <w:rsid w:val="0024448B"/>
    <w:rsid w:val="0025639F"/>
    <w:rsid w:val="002602A6"/>
    <w:rsid w:val="00260A37"/>
    <w:rsid w:val="00287D63"/>
    <w:rsid w:val="00294B77"/>
    <w:rsid w:val="0029613B"/>
    <w:rsid w:val="002E015E"/>
    <w:rsid w:val="002F1C58"/>
    <w:rsid w:val="00306FBC"/>
    <w:rsid w:val="00316ECB"/>
    <w:rsid w:val="00322217"/>
    <w:rsid w:val="0033400D"/>
    <w:rsid w:val="003706B2"/>
    <w:rsid w:val="00385275"/>
    <w:rsid w:val="003A204F"/>
    <w:rsid w:val="003A43C7"/>
    <w:rsid w:val="003A5655"/>
    <w:rsid w:val="003C6072"/>
    <w:rsid w:val="003F4F55"/>
    <w:rsid w:val="00421A16"/>
    <w:rsid w:val="00421A52"/>
    <w:rsid w:val="00467A65"/>
    <w:rsid w:val="00481C06"/>
    <w:rsid w:val="0049457B"/>
    <w:rsid w:val="004A2291"/>
    <w:rsid w:val="004D14DE"/>
    <w:rsid w:val="004D7FA2"/>
    <w:rsid w:val="004E0294"/>
    <w:rsid w:val="004E413B"/>
    <w:rsid w:val="004F1759"/>
    <w:rsid w:val="00553618"/>
    <w:rsid w:val="00554456"/>
    <w:rsid w:val="00574147"/>
    <w:rsid w:val="005754C8"/>
    <w:rsid w:val="00576952"/>
    <w:rsid w:val="00577231"/>
    <w:rsid w:val="00581F9F"/>
    <w:rsid w:val="00590460"/>
    <w:rsid w:val="005D0C24"/>
    <w:rsid w:val="005F4F94"/>
    <w:rsid w:val="0061249A"/>
    <w:rsid w:val="006246CF"/>
    <w:rsid w:val="00633FAD"/>
    <w:rsid w:val="0066068E"/>
    <w:rsid w:val="006609D5"/>
    <w:rsid w:val="00664275"/>
    <w:rsid w:val="00670A44"/>
    <w:rsid w:val="006875F7"/>
    <w:rsid w:val="006B2468"/>
    <w:rsid w:val="006B5142"/>
    <w:rsid w:val="006E6BED"/>
    <w:rsid w:val="006E7868"/>
    <w:rsid w:val="006F2DD5"/>
    <w:rsid w:val="00705FFD"/>
    <w:rsid w:val="00733B18"/>
    <w:rsid w:val="007566A7"/>
    <w:rsid w:val="00765990"/>
    <w:rsid w:val="00777CBE"/>
    <w:rsid w:val="007864DA"/>
    <w:rsid w:val="007A1278"/>
    <w:rsid w:val="007A2CDB"/>
    <w:rsid w:val="007C0C65"/>
    <w:rsid w:val="007D5811"/>
    <w:rsid w:val="007F1EFC"/>
    <w:rsid w:val="007F2504"/>
    <w:rsid w:val="00807B3A"/>
    <w:rsid w:val="008119F0"/>
    <w:rsid w:val="008158B9"/>
    <w:rsid w:val="00832FD0"/>
    <w:rsid w:val="0085778A"/>
    <w:rsid w:val="00871806"/>
    <w:rsid w:val="00875BF0"/>
    <w:rsid w:val="008A7A85"/>
    <w:rsid w:val="008B041B"/>
    <w:rsid w:val="008C478D"/>
    <w:rsid w:val="008C6439"/>
    <w:rsid w:val="008D68CC"/>
    <w:rsid w:val="008F0A0D"/>
    <w:rsid w:val="00905DB5"/>
    <w:rsid w:val="009113C2"/>
    <w:rsid w:val="00957B58"/>
    <w:rsid w:val="009835C0"/>
    <w:rsid w:val="00990533"/>
    <w:rsid w:val="009C6E54"/>
    <w:rsid w:val="009F1551"/>
    <w:rsid w:val="00A10FB8"/>
    <w:rsid w:val="00A32A30"/>
    <w:rsid w:val="00A53114"/>
    <w:rsid w:val="00A652BA"/>
    <w:rsid w:val="00A76B6F"/>
    <w:rsid w:val="00A85531"/>
    <w:rsid w:val="00A92EC2"/>
    <w:rsid w:val="00AD2150"/>
    <w:rsid w:val="00AE12F8"/>
    <w:rsid w:val="00B67218"/>
    <w:rsid w:val="00B93192"/>
    <w:rsid w:val="00B93CD1"/>
    <w:rsid w:val="00B94A5B"/>
    <w:rsid w:val="00B9562A"/>
    <w:rsid w:val="00BA544E"/>
    <w:rsid w:val="00BB2E37"/>
    <w:rsid w:val="00BD182F"/>
    <w:rsid w:val="00C1358B"/>
    <w:rsid w:val="00C4140A"/>
    <w:rsid w:val="00C431E2"/>
    <w:rsid w:val="00C466F2"/>
    <w:rsid w:val="00C54F19"/>
    <w:rsid w:val="00C600D8"/>
    <w:rsid w:val="00C66867"/>
    <w:rsid w:val="00C74F65"/>
    <w:rsid w:val="00C833E4"/>
    <w:rsid w:val="00C8734B"/>
    <w:rsid w:val="00C96166"/>
    <w:rsid w:val="00CB1CA6"/>
    <w:rsid w:val="00CB32A2"/>
    <w:rsid w:val="00CC27C2"/>
    <w:rsid w:val="00CC3035"/>
    <w:rsid w:val="00CE7C73"/>
    <w:rsid w:val="00D34785"/>
    <w:rsid w:val="00D47693"/>
    <w:rsid w:val="00D5544A"/>
    <w:rsid w:val="00D82394"/>
    <w:rsid w:val="00DA0F4B"/>
    <w:rsid w:val="00DB245C"/>
    <w:rsid w:val="00DE7698"/>
    <w:rsid w:val="00E4431E"/>
    <w:rsid w:val="00E466FA"/>
    <w:rsid w:val="00E9354E"/>
    <w:rsid w:val="00EE6A91"/>
    <w:rsid w:val="00EE6DC3"/>
    <w:rsid w:val="00EF36BC"/>
    <w:rsid w:val="00F371F0"/>
    <w:rsid w:val="00F43FFC"/>
    <w:rsid w:val="00F512F2"/>
    <w:rsid w:val="00F70408"/>
    <w:rsid w:val="00F72CC2"/>
    <w:rsid w:val="00F848A1"/>
    <w:rsid w:val="00FB0C75"/>
    <w:rsid w:val="00FC7F78"/>
    <w:rsid w:val="00FD1646"/>
    <w:rsid w:val="00FD322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FFC43"/>
  <w15:chartTrackingRefBased/>
  <w15:docId w15:val="{399D8EE7-A3F2-4A17-936D-E33A4F33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4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754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5754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5754C8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5754C8"/>
    <w:pPr>
      <w:spacing w:before="100" w:beforeAutospacing="1" w:after="100" w:afterAutospacing="1"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unhideWhenUsed/>
    <w:rsid w:val="005754C8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754C8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uiPriority w:val="99"/>
    <w:unhideWhenUsed/>
    <w:rsid w:val="005754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1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14"/>
    <w:rPr>
      <w:rFonts w:ascii="Arial" w:eastAsia="Times New Roman" w:hAnsi="Arial" w:cs="Arial"/>
      <w:sz w:val="18"/>
      <w:szCs w:val="18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9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95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5769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0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0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08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Revision">
    <w:name w:val="Revision"/>
    <w:hidden/>
    <w:uiPriority w:val="99"/>
    <w:semiHidden/>
    <w:rsid w:val="001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gmail-msolistparagraph">
    <w:name w:val="gmail-msolistparagraph"/>
    <w:basedOn w:val="Normal"/>
    <w:uiPriority w:val="99"/>
    <w:rsid w:val="006F2DD5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it-IT" w:eastAsia="it-IT"/>
    </w:rPr>
  </w:style>
  <w:style w:type="character" w:customStyle="1" w:styleId="gmail-msoins">
    <w:name w:val="gmail-msoins"/>
    <w:basedOn w:val="DefaultParagraphFont"/>
    <w:rsid w:val="006F2DD5"/>
  </w:style>
  <w:style w:type="paragraph" w:styleId="NormalWeb">
    <w:name w:val="Normal (Web)"/>
    <w:basedOn w:val="Normal"/>
    <w:uiPriority w:val="99"/>
    <w:semiHidden/>
    <w:unhideWhenUsed/>
    <w:rsid w:val="003F4F55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838D-F194-4C9B-9325-8019E02B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10</cp:revision>
  <cp:lastPrinted>2018-07-12T11:42:00Z</cp:lastPrinted>
  <dcterms:created xsi:type="dcterms:W3CDTF">2018-07-18T14:00:00Z</dcterms:created>
  <dcterms:modified xsi:type="dcterms:W3CDTF">2018-07-18T14:09:00Z</dcterms:modified>
</cp:coreProperties>
</file>