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0440" w:type="dxa"/>
        <w:tblInd w:w="-342" w:type="dxa"/>
        <w:tblBorders>
          <w:top w:val="single" w:sz="4" w:space="0" w:color="7A7A7A" w:themeColor="background2" w:themeShade="80"/>
          <w:left w:val="single" w:sz="4" w:space="0" w:color="7A7A7A" w:themeColor="background2" w:themeShade="80"/>
          <w:bottom w:val="single" w:sz="4" w:space="0" w:color="7A7A7A" w:themeColor="background2" w:themeShade="80"/>
          <w:right w:val="single" w:sz="4" w:space="0" w:color="7A7A7A" w:themeColor="background2" w:themeShade="80"/>
          <w:insideH w:val="single" w:sz="4" w:space="0" w:color="7A7A7A" w:themeColor="background2" w:themeShade="80"/>
          <w:insideV w:val="single" w:sz="4" w:space="0" w:color="7A7A7A" w:themeColor="background2" w:themeShade="80"/>
        </w:tblBorders>
        <w:tblLayout w:type="fixed"/>
        <w:tblLook w:val="04A0" w:firstRow="1" w:lastRow="0" w:firstColumn="1" w:lastColumn="0" w:noHBand="0" w:noVBand="1"/>
      </w:tblPr>
      <w:tblGrid>
        <w:gridCol w:w="3461"/>
        <w:gridCol w:w="3685"/>
        <w:gridCol w:w="3294"/>
      </w:tblGrid>
      <w:tr w:rsidR="0013445D" w:rsidRPr="003F4B7B" w14:paraId="34F8CFC4" w14:textId="77777777" w:rsidTr="00962F0A">
        <w:tc>
          <w:tcPr>
            <w:tcW w:w="10440" w:type="dxa"/>
            <w:gridSpan w:val="3"/>
            <w:tcBorders>
              <w:top w:val="nil"/>
              <w:left w:val="nil"/>
              <w:bottom w:val="nil"/>
              <w:right w:val="nil"/>
            </w:tcBorders>
            <w:vAlign w:val="center"/>
          </w:tcPr>
          <w:p w14:paraId="0304E572" w14:textId="3CF9765F" w:rsidR="0013445D" w:rsidRPr="003F4B7B" w:rsidRDefault="0013445D" w:rsidP="00A4476D">
            <w:pPr>
              <w:pStyle w:val="a3"/>
              <w:tabs>
                <w:tab w:val="left" w:pos="2698"/>
                <w:tab w:val="center" w:pos="5112"/>
              </w:tabs>
              <w:ind w:left="0"/>
              <w:jc w:val="center"/>
              <w:rPr>
                <w:rFonts w:ascii="Tahoma" w:hAnsi="Tahoma" w:cs="Tahoma"/>
                <w:b/>
                <w:color w:val="C90030" w:themeColor="accent2"/>
                <w:sz w:val="28"/>
                <w:szCs w:val="20"/>
              </w:rPr>
            </w:pPr>
            <w:r w:rsidRPr="003F4B7B">
              <w:rPr>
                <w:rFonts w:ascii="Tahoma" w:hAnsi="Tahoma" w:cs="Tahoma"/>
                <w:b/>
                <w:color w:val="C90030" w:themeColor="accent2"/>
                <w:sz w:val="28"/>
                <w:szCs w:val="20"/>
              </w:rPr>
              <w:t>COMMITTEE MEETINGS</w:t>
            </w:r>
          </w:p>
          <w:p w14:paraId="6DE2E85B" w14:textId="77777777" w:rsidR="003F4B7B" w:rsidRPr="003F4B7B" w:rsidRDefault="003F4B7B" w:rsidP="00A4476D">
            <w:pPr>
              <w:pStyle w:val="a3"/>
              <w:ind w:left="0"/>
              <w:jc w:val="center"/>
              <w:rPr>
                <w:rFonts w:ascii="Tahoma" w:hAnsi="Tahoma" w:cs="Tahoma"/>
                <w:b/>
                <w:color w:val="FF0000"/>
                <w:sz w:val="24"/>
                <w:szCs w:val="20"/>
              </w:rPr>
            </w:pPr>
          </w:p>
        </w:tc>
      </w:tr>
      <w:tr w:rsidR="003F4B7B" w:rsidRPr="003F4B7B" w14:paraId="555F97D1" w14:textId="77777777" w:rsidTr="00F0158E">
        <w:trPr>
          <w:trHeight w:val="401"/>
        </w:trPr>
        <w:tc>
          <w:tcPr>
            <w:tcW w:w="7146" w:type="dxa"/>
            <w:gridSpan w:val="2"/>
            <w:tcBorders>
              <w:top w:val="nil"/>
              <w:left w:val="nil"/>
              <w:bottom w:val="single" w:sz="18" w:space="0" w:color="C90030" w:themeColor="accent2"/>
              <w:right w:val="nil"/>
            </w:tcBorders>
            <w:shd w:val="clear" w:color="auto" w:fill="auto"/>
            <w:vAlign w:val="center"/>
          </w:tcPr>
          <w:p w14:paraId="4847618D" w14:textId="0B005281" w:rsidR="00A4476D" w:rsidRPr="007D4D30" w:rsidRDefault="00A4476D" w:rsidP="00962F0A">
            <w:pPr>
              <w:pStyle w:val="a3"/>
              <w:tabs>
                <w:tab w:val="center" w:pos="2810"/>
                <w:tab w:val="left" w:pos="4557"/>
              </w:tabs>
              <w:ind w:left="0"/>
              <w:jc w:val="center"/>
              <w:rPr>
                <w:rFonts w:ascii="Tahoma" w:hAnsi="Tahoma" w:cs="Tahoma"/>
                <w:b/>
                <w:color w:val="1E293F" w:themeColor="text2" w:themeShade="80"/>
                <w:sz w:val="24"/>
                <w:szCs w:val="24"/>
              </w:rPr>
            </w:pPr>
          </w:p>
        </w:tc>
        <w:tc>
          <w:tcPr>
            <w:tcW w:w="3294" w:type="dxa"/>
            <w:tcBorders>
              <w:top w:val="nil"/>
              <w:left w:val="nil"/>
              <w:bottom w:val="single" w:sz="18" w:space="0" w:color="C90030" w:themeColor="accent2"/>
              <w:right w:val="nil"/>
            </w:tcBorders>
            <w:shd w:val="clear" w:color="auto" w:fill="auto"/>
          </w:tcPr>
          <w:p w14:paraId="757645C5" w14:textId="1C83E54C" w:rsidR="003F4B7B" w:rsidRPr="007D4D30" w:rsidRDefault="003F4B7B" w:rsidP="00962F0A">
            <w:pPr>
              <w:pStyle w:val="a3"/>
              <w:ind w:left="0"/>
              <w:jc w:val="center"/>
              <w:rPr>
                <w:rFonts w:ascii="Tahoma" w:hAnsi="Tahoma" w:cs="Tahoma"/>
                <w:b/>
                <w:color w:val="C90030" w:themeColor="accent2"/>
                <w:sz w:val="24"/>
                <w:szCs w:val="24"/>
              </w:rPr>
            </w:pPr>
          </w:p>
        </w:tc>
      </w:tr>
      <w:tr w:rsidR="002106FB" w:rsidRPr="008C206F" w14:paraId="5C3FBFE6" w14:textId="77777777" w:rsidTr="00F0158E">
        <w:trPr>
          <w:trHeight w:val="1133"/>
        </w:trPr>
        <w:tc>
          <w:tcPr>
            <w:tcW w:w="3461" w:type="dxa"/>
            <w:tcBorders>
              <w:left w:val="single" w:sz="18" w:space="0" w:color="C00000"/>
              <w:bottom w:val="single" w:sz="18" w:space="0" w:color="C00000"/>
            </w:tcBorders>
            <w:vAlign w:val="center"/>
          </w:tcPr>
          <w:p w14:paraId="008BBF26" w14:textId="77777777" w:rsidR="002106FB" w:rsidRPr="009754E9" w:rsidRDefault="002106FB" w:rsidP="002106FB">
            <w:pPr>
              <w:pStyle w:val="a3"/>
              <w:ind w:left="0"/>
              <w:jc w:val="center"/>
              <w:rPr>
                <w:rFonts w:ascii="Tahoma" w:hAnsi="Tahoma" w:cs="Tahoma"/>
                <w:b/>
                <w:color w:val="181818" w:themeColor="background2" w:themeShade="1A"/>
                <w:sz w:val="20"/>
                <w:szCs w:val="20"/>
              </w:rPr>
            </w:pPr>
            <w:r w:rsidRPr="009754E9">
              <w:rPr>
                <w:rFonts w:ascii="Tahoma" w:hAnsi="Tahoma" w:cs="Tahoma"/>
                <w:b/>
                <w:color w:val="181818" w:themeColor="background2" w:themeShade="1A"/>
                <w:sz w:val="20"/>
                <w:szCs w:val="20"/>
              </w:rPr>
              <w:t>High-level</w:t>
            </w:r>
          </w:p>
          <w:p w14:paraId="4F501381" w14:textId="0C30C8E2" w:rsidR="002106FB" w:rsidRPr="007D4D30" w:rsidRDefault="002106FB" w:rsidP="002106FB">
            <w:pPr>
              <w:pStyle w:val="a3"/>
              <w:ind w:left="0"/>
              <w:jc w:val="center"/>
              <w:rPr>
                <w:rFonts w:ascii="Tahoma" w:hAnsi="Tahoma" w:cs="Tahoma"/>
                <w:b/>
                <w:color w:val="181818" w:themeColor="background2" w:themeShade="1A"/>
                <w:sz w:val="20"/>
                <w:szCs w:val="20"/>
              </w:rPr>
            </w:pPr>
            <w:r w:rsidRPr="009754E9">
              <w:rPr>
                <w:rFonts w:ascii="Tahoma" w:hAnsi="Tahoma" w:cs="Tahoma"/>
                <w:b/>
                <w:color w:val="181818" w:themeColor="background2" w:themeShade="1A"/>
                <w:sz w:val="20"/>
                <w:szCs w:val="20"/>
              </w:rPr>
              <w:t>Meetings</w:t>
            </w:r>
          </w:p>
        </w:tc>
        <w:tc>
          <w:tcPr>
            <w:tcW w:w="3685" w:type="dxa"/>
            <w:tcBorders>
              <w:bottom w:val="single" w:sz="18" w:space="0" w:color="C00000"/>
              <w:right w:val="single" w:sz="2" w:space="0" w:color="auto"/>
            </w:tcBorders>
            <w:vAlign w:val="center"/>
          </w:tcPr>
          <w:p w14:paraId="33EA5008" w14:textId="77777777" w:rsidR="002106FB" w:rsidRPr="009754E9" w:rsidRDefault="002106FB" w:rsidP="002106FB">
            <w:pPr>
              <w:pStyle w:val="a3"/>
              <w:ind w:left="0"/>
              <w:jc w:val="center"/>
              <w:rPr>
                <w:rFonts w:ascii="Tahoma" w:hAnsi="Tahoma" w:cs="Tahoma"/>
                <w:b/>
                <w:color w:val="1E293F" w:themeColor="text2" w:themeShade="80"/>
                <w:sz w:val="20"/>
                <w:szCs w:val="20"/>
              </w:rPr>
            </w:pPr>
            <w:r w:rsidRPr="009754E9">
              <w:rPr>
                <w:rFonts w:ascii="Tahoma" w:hAnsi="Tahoma" w:cs="Tahoma"/>
                <w:b/>
                <w:color w:val="1E293F" w:themeColor="text2" w:themeShade="80"/>
                <w:sz w:val="20"/>
                <w:szCs w:val="20"/>
              </w:rPr>
              <w:t>Working Meetings</w:t>
            </w:r>
          </w:p>
          <w:p w14:paraId="4E0908E4" w14:textId="3F0D22D1" w:rsidR="002106FB" w:rsidRPr="003808D3" w:rsidRDefault="002106FB" w:rsidP="002106FB">
            <w:pPr>
              <w:pStyle w:val="a3"/>
              <w:ind w:left="0"/>
              <w:jc w:val="center"/>
              <w:rPr>
                <w:rFonts w:ascii="Tahoma" w:hAnsi="Tahoma" w:cs="Tahoma"/>
                <w:b/>
                <w:color w:val="1E293F" w:themeColor="text2" w:themeShade="80"/>
                <w:sz w:val="20"/>
                <w:szCs w:val="20"/>
              </w:rPr>
            </w:pPr>
            <w:r w:rsidRPr="009754E9">
              <w:rPr>
                <w:rFonts w:ascii="Tahoma" w:hAnsi="Tahoma" w:cs="Tahoma"/>
                <w:b/>
                <w:color w:val="1E293F" w:themeColor="text2" w:themeShade="80"/>
                <w:sz w:val="20"/>
                <w:szCs w:val="20"/>
              </w:rPr>
              <w:t>(With Co-Chairs and/or Policy Officer)</w:t>
            </w:r>
          </w:p>
        </w:tc>
        <w:tc>
          <w:tcPr>
            <w:tcW w:w="3294" w:type="dxa"/>
            <w:tcBorders>
              <w:left w:val="single" w:sz="2" w:space="0" w:color="auto"/>
              <w:bottom w:val="single" w:sz="18" w:space="0" w:color="C00000"/>
              <w:right w:val="single" w:sz="18" w:space="0" w:color="C00000"/>
            </w:tcBorders>
          </w:tcPr>
          <w:p w14:paraId="114373BC" w14:textId="77777777" w:rsidR="00320F5C" w:rsidRDefault="00320F5C" w:rsidP="002106FB">
            <w:pPr>
              <w:pStyle w:val="a3"/>
              <w:ind w:left="0"/>
              <w:jc w:val="center"/>
              <w:rPr>
                <w:rFonts w:ascii="Tahoma" w:hAnsi="Tahoma" w:cs="Tahoma"/>
                <w:b/>
                <w:color w:val="1E293F" w:themeColor="text2" w:themeShade="80"/>
                <w:sz w:val="20"/>
                <w:szCs w:val="20"/>
              </w:rPr>
            </w:pPr>
          </w:p>
          <w:p w14:paraId="32193EAC" w14:textId="77777777" w:rsidR="00320F5C" w:rsidRDefault="00320F5C" w:rsidP="002106FB">
            <w:pPr>
              <w:pStyle w:val="a3"/>
              <w:ind w:left="0"/>
              <w:jc w:val="center"/>
              <w:rPr>
                <w:rFonts w:ascii="Tahoma" w:hAnsi="Tahoma" w:cs="Tahoma"/>
                <w:b/>
                <w:color w:val="1E293F" w:themeColor="text2" w:themeShade="80"/>
                <w:sz w:val="20"/>
                <w:szCs w:val="20"/>
              </w:rPr>
            </w:pPr>
          </w:p>
          <w:p w14:paraId="4BA6E22D" w14:textId="63BBAE43" w:rsidR="002106FB" w:rsidRPr="008C206F" w:rsidRDefault="002106FB" w:rsidP="002106FB">
            <w:pPr>
              <w:pStyle w:val="a3"/>
              <w:ind w:left="0"/>
              <w:jc w:val="center"/>
              <w:rPr>
                <w:rFonts w:ascii="Tahoma" w:hAnsi="Tahoma" w:cs="Tahoma"/>
                <w:sz w:val="20"/>
                <w:szCs w:val="20"/>
              </w:rPr>
            </w:pPr>
            <w:r w:rsidRPr="009754E9">
              <w:rPr>
                <w:rFonts w:ascii="Tahoma" w:hAnsi="Tahoma" w:cs="Tahoma"/>
                <w:b/>
                <w:color w:val="1E293F" w:themeColor="text2" w:themeShade="80"/>
                <w:sz w:val="20"/>
                <w:szCs w:val="20"/>
              </w:rPr>
              <w:t>Conferences/Seminars/ Round Tables</w:t>
            </w:r>
          </w:p>
        </w:tc>
      </w:tr>
      <w:tr w:rsidR="002D1036" w:rsidRPr="008C206F" w14:paraId="2CBB0D57" w14:textId="77777777" w:rsidTr="00F0158E">
        <w:trPr>
          <w:trHeight w:val="1133"/>
        </w:trPr>
        <w:tc>
          <w:tcPr>
            <w:tcW w:w="3461" w:type="dxa"/>
            <w:tcBorders>
              <w:top w:val="single" w:sz="18" w:space="0" w:color="C00000"/>
            </w:tcBorders>
            <w:vAlign w:val="center"/>
          </w:tcPr>
          <w:p w14:paraId="5E0BF0CB" w14:textId="2F420BDC" w:rsidR="002D1036" w:rsidRPr="009754E9" w:rsidRDefault="0057615B" w:rsidP="002D1036">
            <w:pPr>
              <w:pStyle w:val="a3"/>
              <w:ind w:left="0"/>
              <w:jc w:val="center"/>
              <w:rPr>
                <w:rFonts w:ascii="Tahoma" w:hAnsi="Tahoma" w:cs="Tahoma"/>
                <w:b/>
                <w:color w:val="181818" w:themeColor="background2" w:themeShade="1A"/>
                <w:sz w:val="20"/>
                <w:szCs w:val="20"/>
              </w:rPr>
            </w:pPr>
            <w:r w:rsidRPr="0057615B">
              <w:rPr>
                <w:rFonts w:ascii="Tahoma" w:hAnsi="Tahoma" w:cs="Tahoma"/>
                <w:color w:val="181818" w:themeColor="background2" w:themeShade="1A"/>
                <w:sz w:val="20"/>
                <w:szCs w:val="20"/>
              </w:rPr>
              <w:t xml:space="preserve">Meeting with </w:t>
            </w:r>
            <w:r w:rsidRPr="0057615B">
              <w:rPr>
                <w:rFonts w:ascii="Tahoma" w:hAnsi="Tahoma" w:cs="Tahoma"/>
                <w:b/>
                <w:color w:val="181818" w:themeColor="background2" w:themeShade="1A"/>
                <w:sz w:val="20"/>
                <w:szCs w:val="20"/>
              </w:rPr>
              <w:t xml:space="preserve">Igor </w:t>
            </w:r>
            <w:proofErr w:type="spellStart"/>
            <w:r w:rsidRPr="0057615B">
              <w:rPr>
                <w:rFonts w:ascii="Tahoma" w:hAnsi="Tahoma" w:cs="Tahoma"/>
                <w:b/>
                <w:color w:val="181818" w:themeColor="background2" w:themeShade="1A"/>
                <w:sz w:val="20"/>
                <w:szCs w:val="20"/>
              </w:rPr>
              <w:t>Nasalyk</w:t>
            </w:r>
            <w:proofErr w:type="spellEnd"/>
            <w:r w:rsidRPr="0057615B">
              <w:rPr>
                <w:rFonts w:ascii="Tahoma" w:hAnsi="Tahoma" w:cs="Tahoma"/>
                <w:color w:val="181818" w:themeColor="background2" w:themeShade="1A"/>
                <w:sz w:val="20"/>
                <w:szCs w:val="20"/>
              </w:rPr>
              <w:t>, Minister of Energy and Coal Industry of Ukraine on PSA Interagency Commission's Work</w:t>
            </w:r>
          </w:p>
        </w:tc>
        <w:tc>
          <w:tcPr>
            <w:tcW w:w="3685" w:type="dxa"/>
            <w:tcBorders>
              <w:top w:val="single" w:sz="18" w:space="0" w:color="C00000"/>
              <w:right w:val="single" w:sz="2" w:space="0" w:color="auto"/>
            </w:tcBorders>
            <w:shd w:val="clear" w:color="auto" w:fill="D9D9D9" w:themeFill="background1" w:themeFillShade="D9"/>
            <w:vAlign w:val="center"/>
          </w:tcPr>
          <w:p w14:paraId="0B217B49" w14:textId="660786A5" w:rsidR="002D1036" w:rsidRPr="009754E9" w:rsidRDefault="000570A5" w:rsidP="000570A5">
            <w:pPr>
              <w:pStyle w:val="a3"/>
              <w:ind w:left="0"/>
              <w:jc w:val="center"/>
              <w:rPr>
                <w:rFonts w:ascii="Tahoma" w:hAnsi="Tahoma" w:cs="Tahoma"/>
                <w:b/>
                <w:color w:val="1E293F" w:themeColor="text2" w:themeShade="80"/>
                <w:sz w:val="20"/>
                <w:szCs w:val="20"/>
              </w:rPr>
            </w:pPr>
            <w:r>
              <w:rPr>
                <w:rFonts w:ascii="Tahoma" w:hAnsi="Tahoma" w:cs="Tahoma"/>
                <w:sz w:val="20"/>
                <w:szCs w:val="20"/>
              </w:rPr>
              <w:t xml:space="preserve">Energy Committee Meeting regarding draft new </w:t>
            </w:r>
            <w:r w:rsidR="002D1036" w:rsidRPr="008C206F">
              <w:rPr>
                <w:rFonts w:ascii="Tahoma" w:hAnsi="Tahoma" w:cs="Tahoma"/>
                <w:sz w:val="20"/>
                <w:szCs w:val="20"/>
              </w:rPr>
              <w:t>Energy Strategy – March 10, 2017</w:t>
            </w:r>
          </w:p>
        </w:tc>
        <w:tc>
          <w:tcPr>
            <w:tcW w:w="3294" w:type="dxa"/>
            <w:tcBorders>
              <w:top w:val="single" w:sz="18" w:space="0" w:color="C00000"/>
              <w:left w:val="single" w:sz="2" w:space="0" w:color="auto"/>
            </w:tcBorders>
            <w:vAlign w:val="center"/>
          </w:tcPr>
          <w:p w14:paraId="76A3B57C" w14:textId="77777777" w:rsidR="002D1036" w:rsidRDefault="002D1036" w:rsidP="002D1036">
            <w:pPr>
              <w:pStyle w:val="a3"/>
              <w:ind w:left="0"/>
              <w:jc w:val="center"/>
              <w:rPr>
                <w:rFonts w:ascii="Tahoma" w:hAnsi="Tahoma" w:cs="Tahoma"/>
                <w:sz w:val="20"/>
                <w:szCs w:val="20"/>
              </w:rPr>
            </w:pPr>
            <w:r w:rsidRPr="008C206F">
              <w:rPr>
                <w:rFonts w:ascii="Tahoma" w:hAnsi="Tahoma" w:cs="Tahoma"/>
                <w:sz w:val="20"/>
                <w:szCs w:val="20"/>
              </w:rPr>
              <w:t xml:space="preserve">Adam Smith Energy </w:t>
            </w:r>
            <w:r>
              <w:rPr>
                <w:rFonts w:ascii="Tahoma" w:hAnsi="Tahoma" w:cs="Tahoma"/>
                <w:sz w:val="20"/>
                <w:szCs w:val="20"/>
              </w:rPr>
              <w:t>Conference (</w:t>
            </w:r>
            <w:r w:rsidRPr="008C206F">
              <w:rPr>
                <w:rFonts w:ascii="Tahoma" w:hAnsi="Tahoma" w:cs="Tahoma"/>
                <w:sz w:val="20"/>
                <w:szCs w:val="20"/>
              </w:rPr>
              <w:t xml:space="preserve">with </w:t>
            </w:r>
            <w:r>
              <w:rPr>
                <w:rFonts w:ascii="Tahoma" w:hAnsi="Tahoma" w:cs="Tahoma"/>
                <w:sz w:val="20"/>
                <w:szCs w:val="20"/>
              </w:rPr>
              <w:t xml:space="preserve">Andy </w:t>
            </w:r>
            <w:proofErr w:type="spellStart"/>
            <w:r>
              <w:rPr>
                <w:rFonts w:ascii="Tahoma" w:hAnsi="Tahoma" w:cs="Tahoma"/>
                <w:sz w:val="20"/>
                <w:szCs w:val="20"/>
              </w:rPr>
              <w:t>Hunder</w:t>
            </w:r>
            <w:proofErr w:type="spellEnd"/>
            <w:r w:rsidRPr="008C206F">
              <w:rPr>
                <w:rFonts w:ascii="Tahoma" w:hAnsi="Tahoma" w:cs="Tahoma"/>
                <w:sz w:val="20"/>
                <w:szCs w:val="20"/>
              </w:rPr>
              <w:t xml:space="preserve">) – </w:t>
            </w:r>
          </w:p>
          <w:p w14:paraId="1E834356" w14:textId="0176605E" w:rsidR="002D1036" w:rsidRDefault="002D1036" w:rsidP="002D1036">
            <w:pPr>
              <w:pStyle w:val="a3"/>
              <w:ind w:left="0"/>
              <w:jc w:val="center"/>
              <w:rPr>
                <w:rFonts w:ascii="Tahoma" w:hAnsi="Tahoma" w:cs="Tahoma"/>
                <w:b/>
                <w:color w:val="1E293F" w:themeColor="text2" w:themeShade="80"/>
                <w:sz w:val="20"/>
                <w:szCs w:val="20"/>
              </w:rPr>
            </w:pPr>
            <w:r w:rsidRPr="008C206F">
              <w:rPr>
                <w:rFonts w:ascii="Tahoma" w:hAnsi="Tahoma" w:cs="Tahoma"/>
                <w:sz w:val="20"/>
                <w:szCs w:val="20"/>
              </w:rPr>
              <w:t>March 1, 2017</w:t>
            </w:r>
          </w:p>
        </w:tc>
      </w:tr>
      <w:tr w:rsidR="001F555D" w:rsidRPr="008C206F" w14:paraId="1AB86FA3" w14:textId="77777777" w:rsidTr="00F0158E">
        <w:trPr>
          <w:trHeight w:val="1133"/>
        </w:trPr>
        <w:tc>
          <w:tcPr>
            <w:tcW w:w="3461" w:type="dxa"/>
            <w:vAlign w:val="center"/>
          </w:tcPr>
          <w:p w14:paraId="1EFB86F1" w14:textId="598ECCC1" w:rsidR="001F555D" w:rsidRPr="009754E9" w:rsidRDefault="001F555D" w:rsidP="001F555D">
            <w:pPr>
              <w:pStyle w:val="a3"/>
              <w:ind w:left="0"/>
              <w:jc w:val="center"/>
              <w:rPr>
                <w:rFonts w:ascii="Tahoma" w:hAnsi="Tahoma" w:cs="Tahoma"/>
                <w:b/>
                <w:color w:val="181818" w:themeColor="background2" w:themeShade="1A"/>
                <w:sz w:val="20"/>
                <w:szCs w:val="20"/>
              </w:rPr>
            </w:pPr>
            <w:r w:rsidRPr="00962F0A">
              <w:rPr>
                <w:rFonts w:ascii="Tahoma" w:hAnsi="Tahoma" w:cs="Tahoma"/>
                <w:color w:val="181818" w:themeColor="background2" w:themeShade="1A"/>
                <w:sz w:val="20"/>
                <w:szCs w:val="20"/>
              </w:rPr>
              <w:t xml:space="preserve">Meeting with </w:t>
            </w:r>
            <w:proofErr w:type="spellStart"/>
            <w:r w:rsidRPr="00962F0A">
              <w:rPr>
                <w:rFonts w:ascii="Tahoma" w:hAnsi="Tahoma" w:cs="Tahoma"/>
                <w:b/>
                <w:color w:val="181818" w:themeColor="background2" w:themeShade="1A"/>
                <w:sz w:val="20"/>
                <w:szCs w:val="20"/>
              </w:rPr>
              <w:t>Ostap</w:t>
            </w:r>
            <w:proofErr w:type="spellEnd"/>
            <w:r w:rsidRPr="00962F0A">
              <w:rPr>
                <w:rFonts w:ascii="Tahoma" w:hAnsi="Tahoma" w:cs="Tahoma"/>
                <w:b/>
                <w:color w:val="181818" w:themeColor="background2" w:themeShade="1A"/>
                <w:sz w:val="20"/>
                <w:szCs w:val="20"/>
              </w:rPr>
              <w:t xml:space="preserve"> </w:t>
            </w:r>
            <w:proofErr w:type="spellStart"/>
            <w:r w:rsidRPr="00962F0A">
              <w:rPr>
                <w:rFonts w:ascii="Tahoma" w:hAnsi="Tahoma" w:cs="Tahoma"/>
                <w:b/>
                <w:color w:val="181818" w:themeColor="background2" w:themeShade="1A"/>
                <w:sz w:val="20"/>
                <w:szCs w:val="20"/>
              </w:rPr>
              <w:t>Semerak</w:t>
            </w:r>
            <w:proofErr w:type="spellEnd"/>
            <w:r w:rsidRPr="00962F0A">
              <w:rPr>
                <w:rFonts w:ascii="Tahoma" w:hAnsi="Tahoma" w:cs="Tahoma"/>
                <w:color w:val="181818" w:themeColor="background2" w:themeShade="1A"/>
                <w:sz w:val="20"/>
                <w:szCs w:val="20"/>
              </w:rPr>
              <w:t>, Minister of Ecology and Natural Resources – March 2, 2017</w:t>
            </w:r>
          </w:p>
        </w:tc>
        <w:tc>
          <w:tcPr>
            <w:tcW w:w="3685" w:type="dxa"/>
            <w:tcBorders>
              <w:right w:val="single" w:sz="2" w:space="0" w:color="auto"/>
            </w:tcBorders>
            <w:shd w:val="clear" w:color="auto" w:fill="D9D9D9" w:themeFill="background1" w:themeFillShade="D9"/>
            <w:vAlign w:val="center"/>
          </w:tcPr>
          <w:p w14:paraId="32749834" w14:textId="7370CE12" w:rsidR="001F555D" w:rsidRPr="009754E9" w:rsidRDefault="001F555D" w:rsidP="001F555D">
            <w:pPr>
              <w:pStyle w:val="a3"/>
              <w:ind w:left="0"/>
              <w:jc w:val="center"/>
              <w:rPr>
                <w:rFonts w:ascii="Tahoma" w:hAnsi="Tahoma" w:cs="Tahoma"/>
                <w:b/>
                <w:color w:val="1E293F" w:themeColor="text2" w:themeShade="80"/>
                <w:sz w:val="20"/>
                <w:szCs w:val="20"/>
              </w:rPr>
            </w:pPr>
            <w:r w:rsidRPr="008C206F">
              <w:rPr>
                <w:rFonts w:ascii="Tahoma" w:hAnsi="Tahoma" w:cs="Tahoma"/>
                <w:sz w:val="20"/>
                <w:szCs w:val="20"/>
              </w:rPr>
              <w:t xml:space="preserve">Meeting with </w:t>
            </w:r>
            <w:proofErr w:type="spellStart"/>
            <w:r w:rsidRPr="008C206F">
              <w:rPr>
                <w:rFonts w:ascii="Tahoma" w:hAnsi="Tahoma" w:cs="Tahoma"/>
                <w:sz w:val="20"/>
                <w:szCs w:val="20"/>
              </w:rPr>
              <w:t>UkraineInvest</w:t>
            </w:r>
            <w:proofErr w:type="spellEnd"/>
            <w:r w:rsidRPr="008C206F">
              <w:rPr>
                <w:rFonts w:ascii="Tahoma" w:hAnsi="Tahoma" w:cs="Tahoma"/>
                <w:sz w:val="20"/>
                <w:szCs w:val="20"/>
              </w:rPr>
              <w:t xml:space="preserve"> Promotion Office – March 14, 2017</w:t>
            </w:r>
          </w:p>
        </w:tc>
        <w:tc>
          <w:tcPr>
            <w:tcW w:w="3294" w:type="dxa"/>
            <w:tcBorders>
              <w:left w:val="single" w:sz="2" w:space="0" w:color="auto"/>
            </w:tcBorders>
            <w:vAlign w:val="center"/>
          </w:tcPr>
          <w:p w14:paraId="355BB59D" w14:textId="77777777" w:rsidR="001F555D" w:rsidRDefault="001F555D" w:rsidP="001F555D">
            <w:pPr>
              <w:pStyle w:val="a3"/>
              <w:ind w:left="0"/>
              <w:jc w:val="center"/>
              <w:rPr>
                <w:rFonts w:ascii="Tahoma" w:hAnsi="Tahoma" w:cs="Tahoma"/>
                <w:sz w:val="20"/>
                <w:szCs w:val="20"/>
              </w:rPr>
            </w:pPr>
            <w:r w:rsidRPr="008C206F">
              <w:rPr>
                <w:rFonts w:ascii="Tahoma" w:hAnsi="Tahoma" w:cs="Tahoma"/>
                <w:sz w:val="20"/>
                <w:szCs w:val="20"/>
              </w:rPr>
              <w:t>Gas Investment Forum 2017</w:t>
            </w:r>
            <w:r>
              <w:rPr>
                <w:rFonts w:ascii="Tahoma" w:hAnsi="Tahoma" w:cs="Tahoma"/>
                <w:sz w:val="20"/>
                <w:szCs w:val="20"/>
              </w:rPr>
              <w:t xml:space="preserve"> (</w:t>
            </w:r>
            <w:r w:rsidRPr="008C206F">
              <w:rPr>
                <w:rFonts w:ascii="Tahoma" w:hAnsi="Tahoma" w:cs="Tahoma"/>
                <w:sz w:val="20"/>
                <w:szCs w:val="20"/>
              </w:rPr>
              <w:t xml:space="preserve">with Andy </w:t>
            </w:r>
            <w:proofErr w:type="spellStart"/>
            <w:r w:rsidRPr="008C206F">
              <w:rPr>
                <w:rFonts w:ascii="Tahoma" w:hAnsi="Tahoma" w:cs="Tahoma"/>
                <w:sz w:val="20"/>
                <w:szCs w:val="20"/>
              </w:rPr>
              <w:t>Hunder</w:t>
            </w:r>
            <w:proofErr w:type="spellEnd"/>
            <w:r>
              <w:rPr>
                <w:rFonts w:ascii="Tahoma" w:hAnsi="Tahoma" w:cs="Tahoma"/>
                <w:sz w:val="20"/>
                <w:szCs w:val="20"/>
              </w:rPr>
              <w:t xml:space="preserve">) – </w:t>
            </w:r>
          </w:p>
          <w:p w14:paraId="3DFFD5C3" w14:textId="1A531C1C" w:rsidR="001F555D" w:rsidRDefault="001F555D" w:rsidP="001F555D">
            <w:pPr>
              <w:pStyle w:val="a3"/>
              <w:ind w:left="0"/>
              <w:jc w:val="center"/>
              <w:rPr>
                <w:rFonts w:ascii="Tahoma" w:hAnsi="Tahoma" w:cs="Tahoma"/>
                <w:b/>
                <w:color w:val="1E293F" w:themeColor="text2" w:themeShade="80"/>
                <w:sz w:val="20"/>
                <w:szCs w:val="20"/>
              </w:rPr>
            </w:pPr>
            <w:r>
              <w:rPr>
                <w:rFonts w:ascii="Tahoma" w:hAnsi="Tahoma" w:cs="Tahoma"/>
                <w:sz w:val="20"/>
                <w:szCs w:val="20"/>
              </w:rPr>
              <w:t>March 23, 2017</w:t>
            </w:r>
          </w:p>
        </w:tc>
      </w:tr>
      <w:tr w:rsidR="001F555D" w:rsidRPr="008C206F" w14:paraId="5E4853FA" w14:textId="77777777" w:rsidTr="00F0158E">
        <w:trPr>
          <w:trHeight w:val="1133"/>
        </w:trPr>
        <w:tc>
          <w:tcPr>
            <w:tcW w:w="3461" w:type="dxa"/>
            <w:vAlign w:val="center"/>
          </w:tcPr>
          <w:p w14:paraId="309F72DE" w14:textId="5651F7E8" w:rsidR="001F555D" w:rsidRPr="009754E9" w:rsidRDefault="001F555D" w:rsidP="001F555D">
            <w:pPr>
              <w:pStyle w:val="a3"/>
              <w:ind w:left="0"/>
              <w:jc w:val="center"/>
              <w:rPr>
                <w:rFonts w:ascii="Tahoma" w:hAnsi="Tahoma" w:cs="Tahoma"/>
                <w:b/>
                <w:color w:val="181818" w:themeColor="background2" w:themeShade="1A"/>
                <w:sz w:val="20"/>
                <w:szCs w:val="20"/>
              </w:rPr>
            </w:pPr>
            <w:r w:rsidRPr="007D4D30">
              <w:rPr>
                <w:rFonts w:ascii="Tahoma" w:hAnsi="Tahoma" w:cs="Tahoma"/>
                <w:color w:val="181818" w:themeColor="background2" w:themeShade="1A"/>
                <w:sz w:val="20"/>
                <w:szCs w:val="20"/>
              </w:rPr>
              <w:t xml:space="preserve">Meeting with </w:t>
            </w:r>
            <w:proofErr w:type="spellStart"/>
            <w:r w:rsidRPr="009C7B03">
              <w:rPr>
                <w:rFonts w:ascii="Tahoma" w:hAnsi="Tahoma" w:cs="Tahoma"/>
                <w:b/>
                <w:color w:val="181818" w:themeColor="background2" w:themeShade="1A"/>
                <w:sz w:val="20"/>
                <w:szCs w:val="20"/>
              </w:rPr>
              <w:t>Oleksandr</w:t>
            </w:r>
            <w:proofErr w:type="spellEnd"/>
            <w:r w:rsidRPr="009C7B03">
              <w:rPr>
                <w:rFonts w:ascii="Tahoma" w:hAnsi="Tahoma" w:cs="Tahoma"/>
                <w:b/>
                <w:color w:val="181818" w:themeColor="background2" w:themeShade="1A"/>
                <w:sz w:val="20"/>
                <w:szCs w:val="20"/>
              </w:rPr>
              <w:t xml:space="preserve"> </w:t>
            </w:r>
            <w:proofErr w:type="spellStart"/>
            <w:r w:rsidRPr="009C7B03">
              <w:rPr>
                <w:rFonts w:ascii="Tahoma" w:hAnsi="Tahoma" w:cs="Tahoma"/>
                <w:b/>
                <w:color w:val="181818" w:themeColor="background2" w:themeShade="1A"/>
                <w:sz w:val="20"/>
                <w:szCs w:val="20"/>
              </w:rPr>
              <w:t>Dombrovsky</w:t>
            </w:r>
            <w:proofErr w:type="spellEnd"/>
            <w:r w:rsidRPr="007D4D30">
              <w:rPr>
                <w:rFonts w:ascii="Tahoma" w:hAnsi="Tahoma" w:cs="Tahoma"/>
                <w:color w:val="181818" w:themeColor="background2" w:themeShade="1A"/>
                <w:sz w:val="20"/>
                <w:szCs w:val="20"/>
              </w:rPr>
              <w:t>, First Deputy Head of the VRU Committee on Fuel and Energy Complex, Nuclear Policy and Nuclear Safety - March 7, 2017</w:t>
            </w:r>
          </w:p>
        </w:tc>
        <w:tc>
          <w:tcPr>
            <w:tcW w:w="3685" w:type="dxa"/>
            <w:tcBorders>
              <w:right w:val="single" w:sz="2" w:space="0" w:color="auto"/>
            </w:tcBorders>
            <w:shd w:val="clear" w:color="auto" w:fill="D9D9D9" w:themeFill="background1" w:themeFillShade="D9"/>
            <w:vAlign w:val="center"/>
          </w:tcPr>
          <w:p w14:paraId="70068065" w14:textId="499E8957" w:rsidR="001F555D" w:rsidRPr="009754E9" w:rsidRDefault="001F555D" w:rsidP="001F555D">
            <w:pPr>
              <w:pStyle w:val="a3"/>
              <w:ind w:left="0"/>
              <w:jc w:val="center"/>
              <w:rPr>
                <w:rFonts w:ascii="Tahoma" w:hAnsi="Tahoma" w:cs="Tahoma"/>
                <w:b/>
                <w:color w:val="1E293F" w:themeColor="text2" w:themeShade="80"/>
                <w:sz w:val="20"/>
                <w:szCs w:val="20"/>
              </w:rPr>
            </w:pPr>
            <w:r>
              <w:rPr>
                <w:rFonts w:ascii="Tahoma" w:hAnsi="Tahoma" w:cs="Tahoma"/>
                <w:sz w:val="20"/>
                <w:szCs w:val="20"/>
              </w:rPr>
              <w:t>Participation at s</w:t>
            </w:r>
            <w:r w:rsidRPr="008C206F">
              <w:rPr>
                <w:rFonts w:ascii="Tahoma" w:hAnsi="Tahoma" w:cs="Tahoma"/>
                <w:sz w:val="20"/>
                <w:szCs w:val="20"/>
              </w:rPr>
              <w:t>ession</w:t>
            </w:r>
            <w:r>
              <w:rPr>
                <w:rFonts w:ascii="Tahoma" w:hAnsi="Tahoma" w:cs="Tahoma"/>
                <w:sz w:val="20"/>
                <w:szCs w:val="20"/>
              </w:rPr>
              <w:t>s</w:t>
            </w:r>
            <w:r w:rsidRPr="008C206F">
              <w:rPr>
                <w:rFonts w:ascii="Tahoma" w:hAnsi="Tahoma" w:cs="Tahoma"/>
                <w:sz w:val="20"/>
                <w:szCs w:val="20"/>
              </w:rPr>
              <w:t xml:space="preserve"> of the National Commission for the State Regulation of Energy and Utilities (NERC) - March 15</w:t>
            </w:r>
            <w:r>
              <w:rPr>
                <w:rFonts w:ascii="Tahoma" w:hAnsi="Tahoma" w:cs="Tahoma"/>
                <w:sz w:val="20"/>
                <w:szCs w:val="20"/>
              </w:rPr>
              <w:t>, March 28</w:t>
            </w:r>
            <w:r w:rsidRPr="008C206F">
              <w:rPr>
                <w:rFonts w:ascii="Tahoma" w:hAnsi="Tahoma" w:cs="Tahoma"/>
                <w:sz w:val="20"/>
                <w:szCs w:val="20"/>
              </w:rPr>
              <w:t>,</w:t>
            </w:r>
            <w:r>
              <w:rPr>
                <w:rFonts w:ascii="Tahoma" w:hAnsi="Tahoma" w:cs="Tahoma"/>
                <w:sz w:val="20"/>
                <w:szCs w:val="20"/>
              </w:rPr>
              <w:t xml:space="preserve"> April 28</w:t>
            </w:r>
            <w:r w:rsidRPr="008C206F">
              <w:rPr>
                <w:rFonts w:ascii="Tahoma" w:hAnsi="Tahoma" w:cs="Tahoma"/>
                <w:sz w:val="20"/>
                <w:szCs w:val="20"/>
              </w:rPr>
              <w:t xml:space="preserve"> 2017</w:t>
            </w:r>
          </w:p>
        </w:tc>
        <w:tc>
          <w:tcPr>
            <w:tcW w:w="3294" w:type="dxa"/>
            <w:tcBorders>
              <w:left w:val="single" w:sz="2" w:space="0" w:color="auto"/>
            </w:tcBorders>
            <w:vAlign w:val="center"/>
          </w:tcPr>
          <w:p w14:paraId="4478830D" w14:textId="016A1583" w:rsidR="001F555D" w:rsidRDefault="001F555D" w:rsidP="001F555D">
            <w:pPr>
              <w:pStyle w:val="a3"/>
              <w:ind w:left="0"/>
              <w:jc w:val="center"/>
              <w:rPr>
                <w:rFonts w:ascii="Tahoma" w:hAnsi="Tahoma" w:cs="Tahoma"/>
                <w:b/>
                <w:color w:val="1E293F" w:themeColor="text2" w:themeShade="80"/>
                <w:sz w:val="20"/>
                <w:szCs w:val="20"/>
              </w:rPr>
            </w:pPr>
            <w:r w:rsidRPr="007E20FE">
              <w:rPr>
                <w:rFonts w:ascii="Tahoma" w:hAnsi="Tahoma" w:cs="Tahoma"/>
                <w:sz w:val="20"/>
                <w:szCs w:val="20"/>
              </w:rPr>
              <w:t>Energy Congress</w:t>
            </w:r>
            <w:r>
              <w:rPr>
                <w:rFonts w:ascii="Tahoma" w:hAnsi="Tahoma" w:cs="Tahoma"/>
                <w:sz w:val="20"/>
                <w:szCs w:val="20"/>
              </w:rPr>
              <w:t xml:space="preserve"> – May 30, 2017</w:t>
            </w:r>
          </w:p>
        </w:tc>
      </w:tr>
      <w:tr w:rsidR="001F555D" w:rsidRPr="008C206F" w14:paraId="47DD4836" w14:textId="77777777" w:rsidTr="00F0158E">
        <w:trPr>
          <w:trHeight w:val="1133"/>
        </w:trPr>
        <w:tc>
          <w:tcPr>
            <w:tcW w:w="3461" w:type="dxa"/>
            <w:vAlign w:val="center"/>
          </w:tcPr>
          <w:p w14:paraId="7C9A953F" w14:textId="77777777" w:rsidR="001F555D" w:rsidRPr="007D4D30" w:rsidRDefault="001F555D" w:rsidP="001F555D">
            <w:pPr>
              <w:pStyle w:val="a3"/>
              <w:ind w:left="0"/>
              <w:jc w:val="center"/>
              <w:rPr>
                <w:rFonts w:ascii="Tahoma" w:hAnsi="Tahoma" w:cs="Tahoma"/>
                <w:color w:val="181818" w:themeColor="background2" w:themeShade="1A"/>
                <w:sz w:val="20"/>
                <w:szCs w:val="20"/>
              </w:rPr>
            </w:pPr>
            <w:r w:rsidRPr="007D4D30">
              <w:rPr>
                <w:rFonts w:ascii="Tahoma" w:hAnsi="Tahoma" w:cs="Tahoma"/>
                <w:color w:val="181818" w:themeColor="background2" w:themeShade="1A"/>
                <w:sz w:val="20"/>
                <w:szCs w:val="20"/>
              </w:rPr>
              <w:t xml:space="preserve">Meeting with </w:t>
            </w:r>
            <w:proofErr w:type="spellStart"/>
            <w:r w:rsidRPr="009C7B03">
              <w:rPr>
                <w:rFonts w:ascii="Tahoma" w:hAnsi="Tahoma" w:cs="Tahoma"/>
                <w:b/>
                <w:color w:val="181818" w:themeColor="background2" w:themeShade="1A"/>
                <w:sz w:val="20"/>
                <w:szCs w:val="20"/>
              </w:rPr>
              <w:t>Nataliya</w:t>
            </w:r>
            <w:proofErr w:type="spellEnd"/>
            <w:r w:rsidRPr="009C7B03">
              <w:rPr>
                <w:rFonts w:ascii="Tahoma" w:hAnsi="Tahoma" w:cs="Tahoma"/>
                <w:b/>
                <w:color w:val="181818" w:themeColor="background2" w:themeShade="1A"/>
                <w:sz w:val="20"/>
                <w:szCs w:val="20"/>
              </w:rPr>
              <w:t xml:space="preserve"> </w:t>
            </w:r>
            <w:proofErr w:type="spellStart"/>
            <w:r w:rsidRPr="009C7B03">
              <w:rPr>
                <w:rFonts w:ascii="Tahoma" w:hAnsi="Tahoma" w:cs="Tahoma"/>
                <w:b/>
                <w:color w:val="181818" w:themeColor="background2" w:themeShade="1A"/>
                <w:sz w:val="20"/>
                <w:szCs w:val="20"/>
              </w:rPr>
              <w:t>Boyko</w:t>
            </w:r>
            <w:proofErr w:type="spellEnd"/>
            <w:r w:rsidRPr="007D4D30">
              <w:rPr>
                <w:rFonts w:ascii="Tahoma" w:hAnsi="Tahoma" w:cs="Tahoma"/>
                <w:color w:val="181818" w:themeColor="background2" w:themeShade="1A"/>
                <w:sz w:val="20"/>
                <w:szCs w:val="20"/>
              </w:rPr>
              <w:t>, Deputy Minister of Energy and Coal Industry – May 12, 2017</w:t>
            </w:r>
          </w:p>
          <w:p w14:paraId="10CD8A83" w14:textId="5F44A717" w:rsidR="001F555D" w:rsidRPr="009754E9" w:rsidRDefault="001F555D" w:rsidP="001F555D">
            <w:pPr>
              <w:pStyle w:val="a3"/>
              <w:ind w:left="0"/>
              <w:jc w:val="center"/>
              <w:rPr>
                <w:rFonts w:ascii="Tahoma" w:hAnsi="Tahoma" w:cs="Tahoma"/>
                <w:b/>
                <w:color w:val="181818" w:themeColor="background2" w:themeShade="1A"/>
                <w:sz w:val="20"/>
                <w:szCs w:val="20"/>
              </w:rPr>
            </w:pPr>
          </w:p>
        </w:tc>
        <w:tc>
          <w:tcPr>
            <w:tcW w:w="3685" w:type="dxa"/>
            <w:tcBorders>
              <w:right w:val="single" w:sz="2" w:space="0" w:color="auto"/>
            </w:tcBorders>
            <w:shd w:val="clear" w:color="auto" w:fill="D9D9D9" w:themeFill="background1" w:themeFillShade="D9"/>
            <w:vAlign w:val="center"/>
          </w:tcPr>
          <w:p w14:paraId="384784C7" w14:textId="2B218E5C" w:rsidR="001F555D" w:rsidRPr="009754E9" w:rsidRDefault="001F555D" w:rsidP="001F555D">
            <w:pPr>
              <w:pStyle w:val="a3"/>
              <w:ind w:left="0"/>
              <w:jc w:val="center"/>
              <w:rPr>
                <w:rFonts w:ascii="Tahoma" w:hAnsi="Tahoma" w:cs="Tahoma"/>
                <w:b/>
                <w:color w:val="1E293F" w:themeColor="text2" w:themeShade="80"/>
                <w:sz w:val="20"/>
                <w:szCs w:val="20"/>
              </w:rPr>
            </w:pPr>
            <w:r w:rsidRPr="008C206F">
              <w:rPr>
                <w:rFonts w:ascii="Tahoma" w:hAnsi="Tahoma" w:cs="Tahoma"/>
                <w:sz w:val="20"/>
                <w:szCs w:val="20"/>
              </w:rPr>
              <w:t xml:space="preserve">Meeting with State </w:t>
            </w:r>
            <w:r>
              <w:rPr>
                <w:rFonts w:ascii="Tahoma" w:hAnsi="Tahoma" w:cs="Tahoma"/>
                <w:sz w:val="20"/>
                <w:szCs w:val="20"/>
              </w:rPr>
              <w:t>G</w:t>
            </w:r>
            <w:r w:rsidRPr="008C206F">
              <w:rPr>
                <w:rFonts w:ascii="Tahoma" w:hAnsi="Tahoma" w:cs="Tahoma"/>
                <w:sz w:val="20"/>
                <w:szCs w:val="20"/>
              </w:rPr>
              <w:t xml:space="preserve">eological </w:t>
            </w:r>
            <w:r>
              <w:rPr>
                <w:rFonts w:ascii="Tahoma" w:hAnsi="Tahoma" w:cs="Tahoma"/>
                <w:sz w:val="20"/>
                <w:szCs w:val="20"/>
              </w:rPr>
              <w:t>S</w:t>
            </w:r>
            <w:r w:rsidRPr="008C206F">
              <w:rPr>
                <w:rFonts w:ascii="Tahoma" w:hAnsi="Tahoma" w:cs="Tahoma"/>
                <w:sz w:val="20"/>
                <w:szCs w:val="20"/>
              </w:rPr>
              <w:t>ervice</w:t>
            </w:r>
            <w:r>
              <w:rPr>
                <w:rFonts w:ascii="Tahoma" w:hAnsi="Tahoma" w:cs="Tahoma"/>
                <w:sz w:val="20"/>
                <w:szCs w:val="20"/>
              </w:rPr>
              <w:t xml:space="preserve"> – April 4, 2017</w:t>
            </w:r>
          </w:p>
        </w:tc>
        <w:tc>
          <w:tcPr>
            <w:tcW w:w="3294" w:type="dxa"/>
          </w:tcPr>
          <w:p w14:paraId="11E4B1E0" w14:textId="77777777" w:rsidR="001F555D" w:rsidRDefault="001F555D" w:rsidP="001F555D">
            <w:pPr>
              <w:pStyle w:val="a3"/>
              <w:ind w:left="0"/>
              <w:jc w:val="center"/>
              <w:rPr>
                <w:rFonts w:ascii="Tahoma" w:eastAsia="Times New Roman" w:hAnsi="Tahoma" w:cs="Tahoma"/>
                <w:sz w:val="20"/>
                <w:szCs w:val="20"/>
              </w:rPr>
            </w:pPr>
          </w:p>
          <w:p w14:paraId="2ABDA12F" w14:textId="1C9EC47D" w:rsidR="001F555D" w:rsidRDefault="001F555D" w:rsidP="001F555D">
            <w:pPr>
              <w:pStyle w:val="a3"/>
              <w:ind w:left="0"/>
              <w:jc w:val="center"/>
              <w:rPr>
                <w:rFonts w:ascii="Tahoma" w:hAnsi="Tahoma" w:cs="Tahoma"/>
                <w:b/>
                <w:color w:val="1E293F" w:themeColor="text2" w:themeShade="80"/>
                <w:sz w:val="20"/>
                <w:szCs w:val="20"/>
              </w:rPr>
            </w:pPr>
            <w:r>
              <w:rPr>
                <w:rFonts w:ascii="Tahoma" w:eastAsia="Times New Roman" w:hAnsi="Tahoma" w:cs="Tahoma"/>
                <w:sz w:val="20"/>
                <w:szCs w:val="20"/>
              </w:rPr>
              <w:t>Round Table “Liberalization of Natural Gas Retail Market” – September 22</w:t>
            </w:r>
          </w:p>
        </w:tc>
      </w:tr>
      <w:tr w:rsidR="001F555D" w:rsidRPr="008C206F" w14:paraId="1F35D52C" w14:textId="77777777" w:rsidTr="00F0158E">
        <w:trPr>
          <w:trHeight w:val="1133"/>
        </w:trPr>
        <w:tc>
          <w:tcPr>
            <w:tcW w:w="3461" w:type="dxa"/>
            <w:vAlign w:val="center"/>
          </w:tcPr>
          <w:p w14:paraId="14E8D137" w14:textId="77777777" w:rsidR="001F555D" w:rsidRDefault="001F555D" w:rsidP="001F555D">
            <w:pPr>
              <w:pStyle w:val="a3"/>
              <w:ind w:left="0"/>
              <w:jc w:val="center"/>
              <w:rPr>
                <w:rFonts w:ascii="Tahoma" w:hAnsi="Tahoma" w:cs="Tahoma"/>
                <w:color w:val="181818" w:themeColor="background2" w:themeShade="1A"/>
                <w:sz w:val="20"/>
                <w:szCs w:val="20"/>
              </w:rPr>
            </w:pPr>
          </w:p>
          <w:p w14:paraId="515C9E60" w14:textId="77777777" w:rsidR="001F555D" w:rsidRDefault="001F555D" w:rsidP="001F555D">
            <w:pPr>
              <w:pStyle w:val="a3"/>
              <w:ind w:left="0"/>
              <w:jc w:val="center"/>
              <w:rPr>
                <w:rFonts w:ascii="Tahoma" w:hAnsi="Tahoma" w:cs="Tahoma"/>
                <w:color w:val="181818" w:themeColor="background2" w:themeShade="1A"/>
                <w:sz w:val="20"/>
                <w:szCs w:val="20"/>
              </w:rPr>
            </w:pPr>
            <w:r w:rsidRPr="001E0B9B">
              <w:rPr>
                <w:rFonts w:ascii="Tahoma" w:hAnsi="Tahoma" w:cs="Tahoma"/>
                <w:color w:val="181818" w:themeColor="background2" w:themeShade="1A"/>
                <w:sz w:val="20"/>
                <w:szCs w:val="20"/>
              </w:rPr>
              <w:t xml:space="preserve">Meeting with representatives of the </w:t>
            </w:r>
            <w:r w:rsidRPr="000570A5">
              <w:rPr>
                <w:rFonts w:ascii="Tahoma" w:hAnsi="Tahoma" w:cs="Tahoma"/>
                <w:b/>
                <w:color w:val="181818" w:themeColor="background2" w:themeShade="1A"/>
                <w:sz w:val="20"/>
                <w:szCs w:val="20"/>
              </w:rPr>
              <w:t>Energy Charter Secretariat</w:t>
            </w:r>
            <w:r w:rsidRPr="001E0B9B">
              <w:rPr>
                <w:rFonts w:ascii="Tahoma" w:hAnsi="Tahoma" w:cs="Tahoma"/>
                <w:color w:val="181818" w:themeColor="background2" w:themeShade="1A"/>
                <w:sz w:val="20"/>
                <w:szCs w:val="20"/>
              </w:rPr>
              <w:t xml:space="preserve"> regarding Energy Investment Risk Assessment Project –</w:t>
            </w:r>
          </w:p>
          <w:p w14:paraId="0F282C0B" w14:textId="6934B8E4" w:rsidR="001F555D" w:rsidRPr="009754E9" w:rsidRDefault="001F555D" w:rsidP="001F555D">
            <w:pPr>
              <w:pStyle w:val="a3"/>
              <w:ind w:left="0"/>
              <w:jc w:val="center"/>
              <w:rPr>
                <w:rFonts w:ascii="Tahoma" w:hAnsi="Tahoma" w:cs="Tahoma"/>
                <w:b/>
                <w:color w:val="181818" w:themeColor="background2" w:themeShade="1A"/>
                <w:sz w:val="20"/>
                <w:szCs w:val="20"/>
              </w:rPr>
            </w:pPr>
            <w:r w:rsidRPr="001E0B9B">
              <w:rPr>
                <w:rFonts w:ascii="Tahoma" w:hAnsi="Tahoma" w:cs="Tahoma"/>
                <w:color w:val="181818" w:themeColor="background2" w:themeShade="1A"/>
                <w:sz w:val="20"/>
                <w:szCs w:val="20"/>
              </w:rPr>
              <w:t xml:space="preserve"> July</w:t>
            </w:r>
            <w:r>
              <w:rPr>
                <w:rFonts w:ascii="Tahoma" w:hAnsi="Tahoma" w:cs="Tahoma"/>
                <w:color w:val="181818" w:themeColor="background2" w:themeShade="1A"/>
                <w:sz w:val="20"/>
                <w:szCs w:val="20"/>
              </w:rPr>
              <w:t>,</w:t>
            </w:r>
            <w:r w:rsidRPr="001E0B9B">
              <w:rPr>
                <w:rFonts w:ascii="Tahoma" w:hAnsi="Tahoma" w:cs="Tahoma"/>
                <w:color w:val="181818" w:themeColor="background2" w:themeShade="1A"/>
                <w:sz w:val="20"/>
                <w:szCs w:val="20"/>
              </w:rPr>
              <w:t xml:space="preserve"> 5</w:t>
            </w:r>
          </w:p>
        </w:tc>
        <w:tc>
          <w:tcPr>
            <w:tcW w:w="3685" w:type="dxa"/>
            <w:tcBorders>
              <w:right w:val="single" w:sz="2" w:space="0" w:color="auto"/>
            </w:tcBorders>
            <w:shd w:val="clear" w:color="auto" w:fill="D9D9D9" w:themeFill="background1" w:themeFillShade="D9"/>
            <w:vAlign w:val="center"/>
          </w:tcPr>
          <w:p w14:paraId="132E4F1B" w14:textId="208D9672" w:rsidR="001F555D" w:rsidRPr="009754E9" w:rsidRDefault="001F555D" w:rsidP="001F555D">
            <w:pPr>
              <w:pStyle w:val="a3"/>
              <w:ind w:left="0"/>
              <w:jc w:val="center"/>
              <w:rPr>
                <w:rFonts w:ascii="Tahoma" w:hAnsi="Tahoma" w:cs="Tahoma"/>
                <w:b/>
                <w:color w:val="1E293F" w:themeColor="text2" w:themeShade="80"/>
                <w:sz w:val="20"/>
                <w:szCs w:val="20"/>
              </w:rPr>
            </w:pPr>
            <w:r w:rsidRPr="008C206F">
              <w:rPr>
                <w:rFonts w:ascii="Tahoma" w:hAnsi="Tahoma" w:cs="Tahoma"/>
                <w:sz w:val="20"/>
                <w:szCs w:val="20"/>
              </w:rPr>
              <w:t>Energy Committee Meeting – April 11, 2017</w:t>
            </w:r>
          </w:p>
        </w:tc>
        <w:tc>
          <w:tcPr>
            <w:tcW w:w="3294" w:type="dxa"/>
          </w:tcPr>
          <w:p w14:paraId="4BF9C23D" w14:textId="77777777" w:rsidR="001F555D" w:rsidRDefault="001F555D" w:rsidP="001F555D">
            <w:pPr>
              <w:pStyle w:val="a3"/>
              <w:ind w:left="0"/>
              <w:jc w:val="center"/>
              <w:rPr>
                <w:rFonts w:ascii="Tahoma" w:eastAsia="Times New Roman" w:hAnsi="Tahoma" w:cs="Tahoma"/>
                <w:sz w:val="20"/>
                <w:szCs w:val="20"/>
              </w:rPr>
            </w:pPr>
          </w:p>
          <w:p w14:paraId="7D0EE0D1" w14:textId="77777777" w:rsidR="001F555D" w:rsidRDefault="001F555D" w:rsidP="001F555D">
            <w:pPr>
              <w:pStyle w:val="a3"/>
              <w:ind w:left="0"/>
              <w:jc w:val="center"/>
              <w:rPr>
                <w:rFonts w:ascii="Tahoma" w:eastAsia="Times New Roman" w:hAnsi="Tahoma" w:cs="Tahoma"/>
                <w:sz w:val="20"/>
                <w:szCs w:val="20"/>
              </w:rPr>
            </w:pPr>
          </w:p>
          <w:p w14:paraId="729D7F9E" w14:textId="479D6A96" w:rsidR="001F555D" w:rsidRDefault="001F555D" w:rsidP="001F555D">
            <w:pPr>
              <w:pStyle w:val="a3"/>
              <w:ind w:left="0"/>
              <w:jc w:val="center"/>
              <w:rPr>
                <w:rFonts w:ascii="Tahoma" w:hAnsi="Tahoma" w:cs="Tahoma"/>
                <w:b/>
                <w:color w:val="1E293F" w:themeColor="text2" w:themeShade="80"/>
                <w:sz w:val="20"/>
                <w:szCs w:val="20"/>
              </w:rPr>
            </w:pPr>
            <w:r w:rsidRPr="009754E9">
              <w:rPr>
                <w:rFonts w:ascii="Tahoma" w:eastAsia="Times New Roman" w:hAnsi="Tahoma" w:cs="Tahoma"/>
                <w:sz w:val="20"/>
                <w:szCs w:val="20"/>
              </w:rPr>
              <w:t>Argus Gas and Power Seminar – September 28</w:t>
            </w:r>
          </w:p>
        </w:tc>
      </w:tr>
      <w:tr w:rsidR="0057615B" w:rsidRPr="008C206F" w14:paraId="26CAA3C0" w14:textId="77777777" w:rsidTr="00F0158E">
        <w:trPr>
          <w:trHeight w:val="1133"/>
        </w:trPr>
        <w:tc>
          <w:tcPr>
            <w:tcW w:w="3461" w:type="dxa"/>
            <w:vAlign w:val="center"/>
          </w:tcPr>
          <w:p w14:paraId="04651D32" w14:textId="77777777" w:rsidR="001F555D" w:rsidRPr="00E20AA0" w:rsidRDefault="001F555D" w:rsidP="001F555D">
            <w:pPr>
              <w:pStyle w:val="a3"/>
              <w:ind w:left="0"/>
              <w:jc w:val="center"/>
              <w:rPr>
                <w:rFonts w:ascii="Tahoma" w:hAnsi="Tahoma" w:cs="Tahoma"/>
                <w:color w:val="181818" w:themeColor="background2" w:themeShade="1A"/>
                <w:sz w:val="20"/>
                <w:szCs w:val="20"/>
              </w:rPr>
            </w:pPr>
            <w:r w:rsidRPr="00E20AA0">
              <w:rPr>
                <w:rFonts w:ascii="Tahoma" w:hAnsi="Tahoma" w:cs="Tahoma"/>
                <w:color w:val="181818" w:themeColor="background2" w:themeShade="1A"/>
                <w:sz w:val="20"/>
                <w:szCs w:val="20"/>
              </w:rPr>
              <w:t xml:space="preserve">Meeting with </w:t>
            </w:r>
            <w:r>
              <w:rPr>
                <w:rFonts w:ascii="Tahoma" w:hAnsi="Tahoma" w:cs="Tahoma"/>
                <w:b/>
                <w:color w:val="181818" w:themeColor="background2" w:themeShade="1A"/>
                <w:sz w:val="20"/>
                <w:szCs w:val="20"/>
              </w:rPr>
              <w:t>Oleg</w:t>
            </w:r>
            <w:r w:rsidRPr="000570A5">
              <w:rPr>
                <w:rFonts w:ascii="Tahoma" w:hAnsi="Tahoma" w:cs="Tahoma"/>
                <w:b/>
                <w:color w:val="181818" w:themeColor="background2" w:themeShade="1A"/>
                <w:sz w:val="20"/>
                <w:szCs w:val="20"/>
              </w:rPr>
              <w:t xml:space="preserve"> </w:t>
            </w:r>
            <w:proofErr w:type="spellStart"/>
            <w:r w:rsidRPr="000570A5">
              <w:rPr>
                <w:rFonts w:ascii="Tahoma" w:hAnsi="Tahoma" w:cs="Tahoma"/>
                <w:b/>
                <w:color w:val="181818" w:themeColor="background2" w:themeShade="1A"/>
                <w:sz w:val="20"/>
                <w:szCs w:val="20"/>
              </w:rPr>
              <w:t>Tsvyakh</w:t>
            </w:r>
            <w:proofErr w:type="spellEnd"/>
            <w:r>
              <w:rPr>
                <w:rFonts w:ascii="Tahoma" w:hAnsi="Tahoma" w:cs="Tahoma"/>
                <w:color w:val="181818" w:themeColor="background2" w:themeShade="1A"/>
                <w:sz w:val="20"/>
                <w:szCs w:val="20"/>
              </w:rPr>
              <w:t xml:space="preserve">, Acting Head of the </w:t>
            </w:r>
            <w:r w:rsidRPr="00E20AA0">
              <w:rPr>
                <w:rFonts w:ascii="Tahoma" w:hAnsi="Tahoma" w:cs="Tahoma"/>
                <w:color w:val="181818" w:themeColor="background2" w:themeShade="1A"/>
                <w:sz w:val="20"/>
                <w:szCs w:val="20"/>
              </w:rPr>
              <w:t>State Service of Ukraine for Geodesy, Cartography &amp; Cadaster–</w:t>
            </w:r>
          </w:p>
          <w:p w14:paraId="361DCC53" w14:textId="77777777" w:rsidR="001F555D" w:rsidRPr="00E20AA0" w:rsidRDefault="001F555D" w:rsidP="001F555D">
            <w:pPr>
              <w:pStyle w:val="a3"/>
              <w:ind w:left="0"/>
              <w:jc w:val="center"/>
              <w:rPr>
                <w:rFonts w:ascii="Tahoma" w:hAnsi="Tahoma" w:cs="Tahoma"/>
                <w:color w:val="181818" w:themeColor="background2" w:themeShade="1A"/>
                <w:sz w:val="20"/>
                <w:szCs w:val="20"/>
              </w:rPr>
            </w:pPr>
            <w:r w:rsidRPr="00E20AA0">
              <w:rPr>
                <w:rFonts w:ascii="Tahoma" w:hAnsi="Tahoma" w:cs="Tahoma"/>
                <w:color w:val="181818" w:themeColor="background2" w:themeShade="1A"/>
                <w:sz w:val="20"/>
                <w:szCs w:val="20"/>
              </w:rPr>
              <w:t xml:space="preserve"> July, 20</w:t>
            </w:r>
          </w:p>
          <w:p w14:paraId="6F3FCDBA" w14:textId="373E7B23" w:rsidR="0057615B" w:rsidRPr="009754E9" w:rsidRDefault="0057615B" w:rsidP="0057615B">
            <w:pPr>
              <w:pStyle w:val="a3"/>
              <w:ind w:left="0"/>
              <w:jc w:val="center"/>
              <w:rPr>
                <w:rFonts w:ascii="Tahoma" w:hAnsi="Tahoma" w:cs="Tahoma"/>
                <w:b/>
                <w:color w:val="181818" w:themeColor="background2" w:themeShade="1A"/>
                <w:sz w:val="20"/>
                <w:szCs w:val="20"/>
              </w:rPr>
            </w:pPr>
          </w:p>
        </w:tc>
        <w:tc>
          <w:tcPr>
            <w:tcW w:w="3685" w:type="dxa"/>
            <w:tcBorders>
              <w:right w:val="single" w:sz="2" w:space="0" w:color="auto"/>
            </w:tcBorders>
            <w:shd w:val="clear" w:color="auto" w:fill="D9D9D9" w:themeFill="background1" w:themeFillShade="D9"/>
            <w:vAlign w:val="center"/>
          </w:tcPr>
          <w:p w14:paraId="7DC4431D" w14:textId="0643B6E3" w:rsidR="0057615B" w:rsidRPr="009754E9" w:rsidRDefault="0057615B" w:rsidP="0057615B">
            <w:pPr>
              <w:pStyle w:val="a3"/>
              <w:ind w:left="0"/>
              <w:jc w:val="center"/>
              <w:rPr>
                <w:rFonts w:ascii="Tahoma" w:hAnsi="Tahoma" w:cs="Tahoma"/>
                <w:b/>
                <w:color w:val="1E293F" w:themeColor="text2" w:themeShade="80"/>
                <w:sz w:val="20"/>
                <w:szCs w:val="20"/>
              </w:rPr>
            </w:pPr>
            <w:r w:rsidRPr="00531B23">
              <w:rPr>
                <w:rFonts w:ascii="Tahoma" w:hAnsi="Tahoma" w:cs="Tahoma"/>
                <w:sz w:val="20"/>
                <w:szCs w:val="20"/>
              </w:rPr>
              <w:t>Meeting with S</w:t>
            </w:r>
            <w:r>
              <w:rPr>
                <w:rFonts w:ascii="Tahoma" w:hAnsi="Tahoma" w:cs="Tahoma"/>
                <w:sz w:val="20"/>
                <w:szCs w:val="20"/>
              </w:rPr>
              <w:t xml:space="preserve">tate Fiscal Service regarding cancellation of </w:t>
            </w:r>
            <w:r w:rsidRPr="00531B23">
              <w:rPr>
                <w:rFonts w:ascii="Tahoma" w:hAnsi="Tahoma" w:cs="Tahoma"/>
                <w:sz w:val="20"/>
                <w:szCs w:val="20"/>
              </w:rPr>
              <w:t>re</w:t>
            </w:r>
            <w:r>
              <w:rPr>
                <w:rFonts w:ascii="Tahoma" w:hAnsi="Tahoma" w:cs="Tahoma"/>
                <w:sz w:val="20"/>
                <w:szCs w:val="20"/>
              </w:rPr>
              <w:t>-</w:t>
            </w:r>
            <w:r w:rsidRPr="00531B23">
              <w:rPr>
                <w:rFonts w:ascii="Tahoma" w:hAnsi="Tahoma" w:cs="Tahoma"/>
                <w:sz w:val="20"/>
                <w:szCs w:val="20"/>
              </w:rPr>
              <w:t>estimation of reserves</w:t>
            </w:r>
            <w:r>
              <w:rPr>
                <w:rFonts w:ascii="Tahoma" w:hAnsi="Tahoma" w:cs="Tahoma"/>
                <w:sz w:val="20"/>
                <w:szCs w:val="20"/>
              </w:rPr>
              <w:t xml:space="preserve"> – May 31, </w:t>
            </w:r>
            <w:r>
              <w:rPr>
                <w:rFonts w:ascii="Tahoma" w:hAnsi="Tahoma" w:cs="Tahoma"/>
                <w:sz w:val="20"/>
                <w:szCs w:val="20"/>
              </w:rPr>
              <w:t xml:space="preserve">July 27, </w:t>
            </w:r>
            <w:r>
              <w:rPr>
                <w:rFonts w:ascii="Tahoma" w:hAnsi="Tahoma" w:cs="Tahoma"/>
                <w:sz w:val="20"/>
                <w:szCs w:val="20"/>
              </w:rPr>
              <w:t>2017</w:t>
            </w:r>
          </w:p>
        </w:tc>
        <w:tc>
          <w:tcPr>
            <w:tcW w:w="3294" w:type="dxa"/>
          </w:tcPr>
          <w:p w14:paraId="5BA47F74" w14:textId="77777777" w:rsidR="0057615B" w:rsidRDefault="0057615B" w:rsidP="0057615B">
            <w:pPr>
              <w:pStyle w:val="a3"/>
              <w:ind w:left="0"/>
              <w:jc w:val="center"/>
              <w:rPr>
                <w:rFonts w:ascii="Tahoma" w:eastAsia="Calibri" w:hAnsi="Tahoma" w:cs="Tahoma"/>
                <w:bCs/>
                <w:iCs/>
                <w:sz w:val="20"/>
                <w:szCs w:val="20"/>
              </w:rPr>
            </w:pPr>
          </w:p>
          <w:p w14:paraId="797BF2F2" w14:textId="3ED3BA72" w:rsidR="0057615B" w:rsidRPr="009754E9" w:rsidRDefault="0057615B" w:rsidP="0057615B">
            <w:pPr>
              <w:pStyle w:val="a3"/>
              <w:ind w:left="0"/>
              <w:jc w:val="center"/>
              <w:rPr>
                <w:rFonts w:ascii="Tahoma" w:eastAsia="Calibri" w:hAnsi="Tahoma" w:cs="Tahoma"/>
                <w:bCs/>
                <w:iCs/>
                <w:sz w:val="20"/>
                <w:szCs w:val="20"/>
              </w:rPr>
            </w:pPr>
            <w:r w:rsidRPr="009754E9">
              <w:rPr>
                <w:rFonts w:ascii="Tahoma" w:eastAsia="Calibri" w:hAnsi="Tahoma" w:cs="Tahoma"/>
                <w:bCs/>
                <w:iCs/>
                <w:sz w:val="20"/>
                <w:szCs w:val="20"/>
              </w:rPr>
              <w:t>Round Table “Connection to Power Networks under the Law “On Electricity Market” at Ukrainian Crisis Media Center – October 4</w:t>
            </w:r>
          </w:p>
          <w:p w14:paraId="6D4FBB20" w14:textId="77777777" w:rsidR="0057615B" w:rsidRDefault="0057615B" w:rsidP="0057615B">
            <w:pPr>
              <w:pStyle w:val="a3"/>
              <w:ind w:left="0"/>
              <w:jc w:val="center"/>
              <w:rPr>
                <w:rFonts w:ascii="Tahoma" w:hAnsi="Tahoma" w:cs="Tahoma"/>
                <w:b/>
                <w:color w:val="1E293F" w:themeColor="text2" w:themeShade="80"/>
                <w:sz w:val="20"/>
                <w:szCs w:val="20"/>
              </w:rPr>
            </w:pPr>
          </w:p>
        </w:tc>
      </w:tr>
      <w:tr w:rsidR="0057615B" w:rsidRPr="008C206F" w14:paraId="2271A0A3" w14:textId="77777777" w:rsidTr="00734023">
        <w:trPr>
          <w:trHeight w:val="1133"/>
        </w:trPr>
        <w:tc>
          <w:tcPr>
            <w:tcW w:w="3461" w:type="dxa"/>
            <w:vAlign w:val="center"/>
          </w:tcPr>
          <w:p w14:paraId="09AFDCC2" w14:textId="77777777" w:rsidR="001F555D" w:rsidRPr="009754E9" w:rsidRDefault="001F555D" w:rsidP="001F555D">
            <w:pPr>
              <w:pStyle w:val="a3"/>
              <w:ind w:left="90"/>
              <w:jc w:val="center"/>
              <w:rPr>
                <w:rFonts w:ascii="Tahoma" w:eastAsia="Calibri" w:hAnsi="Tahoma" w:cs="Tahoma"/>
                <w:bCs/>
                <w:iCs/>
                <w:sz w:val="20"/>
                <w:szCs w:val="20"/>
              </w:rPr>
            </w:pPr>
            <w:r w:rsidRPr="009754E9">
              <w:rPr>
                <w:rFonts w:ascii="Tahoma" w:eastAsia="Calibri" w:hAnsi="Tahoma" w:cs="Tahoma"/>
                <w:bCs/>
                <w:iCs/>
                <w:sz w:val="20"/>
                <w:szCs w:val="20"/>
              </w:rPr>
              <w:t xml:space="preserve">Meeting with </w:t>
            </w:r>
            <w:r w:rsidRPr="000570A5">
              <w:rPr>
                <w:rFonts w:ascii="Tahoma" w:eastAsia="Calibri" w:hAnsi="Tahoma" w:cs="Tahoma"/>
                <w:b/>
                <w:bCs/>
                <w:iCs/>
                <w:sz w:val="20"/>
                <w:szCs w:val="20"/>
              </w:rPr>
              <w:t xml:space="preserve">Igor </w:t>
            </w:r>
            <w:proofErr w:type="spellStart"/>
            <w:r w:rsidRPr="000570A5">
              <w:rPr>
                <w:rFonts w:ascii="Tahoma" w:eastAsia="Calibri" w:hAnsi="Tahoma" w:cs="Tahoma"/>
                <w:b/>
                <w:bCs/>
                <w:iCs/>
                <w:sz w:val="20"/>
                <w:szCs w:val="20"/>
              </w:rPr>
              <w:t>Nasalyk</w:t>
            </w:r>
            <w:proofErr w:type="spellEnd"/>
            <w:r w:rsidRPr="000570A5">
              <w:rPr>
                <w:rFonts w:ascii="Tahoma" w:eastAsia="Calibri" w:hAnsi="Tahoma" w:cs="Tahoma"/>
                <w:b/>
                <w:bCs/>
                <w:iCs/>
                <w:sz w:val="20"/>
                <w:szCs w:val="20"/>
              </w:rPr>
              <w:t>,</w:t>
            </w:r>
            <w:r w:rsidRPr="009754E9">
              <w:rPr>
                <w:rFonts w:ascii="Tahoma" w:eastAsia="Calibri" w:hAnsi="Tahoma" w:cs="Tahoma"/>
                <w:bCs/>
                <w:iCs/>
                <w:sz w:val="20"/>
                <w:szCs w:val="20"/>
              </w:rPr>
              <w:t xml:space="preserve"> Minister of Energy and Coal Industry – August</w:t>
            </w:r>
            <w:r>
              <w:rPr>
                <w:rFonts w:ascii="Tahoma" w:eastAsia="Calibri" w:hAnsi="Tahoma" w:cs="Tahoma"/>
                <w:bCs/>
                <w:iCs/>
                <w:sz w:val="20"/>
                <w:szCs w:val="20"/>
              </w:rPr>
              <w:t>,</w:t>
            </w:r>
            <w:r w:rsidRPr="009754E9">
              <w:rPr>
                <w:rFonts w:ascii="Tahoma" w:eastAsia="Calibri" w:hAnsi="Tahoma" w:cs="Tahoma"/>
                <w:bCs/>
                <w:iCs/>
                <w:sz w:val="20"/>
                <w:szCs w:val="20"/>
              </w:rPr>
              <w:t xml:space="preserve"> 16</w:t>
            </w:r>
          </w:p>
          <w:p w14:paraId="0B4B5455" w14:textId="77777777" w:rsidR="0057615B" w:rsidRPr="009754E9" w:rsidRDefault="0057615B" w:rsidP="0057615B">
            <w:pPr>
              <w:pStyle w:val="a3"/>
              <w:ind w:left="90"/>
              <w:jc w:val="center"/>
              <w:rPr>
                <w:rFonts w:ascii="Tahoma" w:hAnsi="Tahoma" w:cs="Tahoma"/>
                <w:b/>
                <w:color w:val="181818" w:themeColor="background2" w:themeShade="1A"/>
                <w:sz w:val="20"/>
                <w:szCs w:val="20"/>
              </w:rPr>
            </w:pPr>
          </w:p>
        </w:tc>
        <w:tc>
          <w:tcPr>
            <w:tcW w:w="3685" w:type="dxa"/>
            <w:tcBorders>
              <w:right w:val="single" w:sz="2" w:space="0" w:color="auto"/>
            </w:tcBorders>
            <w:shd w:val="clear" w:color="auto" w:fill="D9D9D9" w:themeFill="background1" w:themeFillShade="D9"/>
            <w:vAlign w:val="center"/>
          </w:tcPr>
          <w:p w14:paraId="63EEF374" w14:textId="6FCA9C09" w:rsidR="0057615B" w:rsidRPr="002E0DED" w:rsidRDefault="0057615B" w:rsidP="0057615B">
            <w:pPr>
              <w:pStyle w:val="a3"/>
              <w:ind w:left="0"/>
              <w:jc w:val="center"/>
              <w:rPr>
                <w:rFonts w:ascii="Tahoma" w:hAnsi="Tahoma" w:cs="Tahoma"/>
                <w:color w:val="1E293F" w:themeColor="text2" w:themeShade="80"/>
                <w:sz w:val="20"/>
                <w:szCs w:val="20"/>
              </w:rPr>
            </w:pPr>
            <w:r w:rsidRPr="002E0DED">
              <w:rPr>
                <w:rFonts w:ascii="Tahoma" w:hAnsi="Tahoma" w:cs="Tahoma"/>
                <w:color w:val="1E293F" w:themeColor="text2" w:themeShade="80"/>
                <w:sz w:val="20"/>
                <w:szCs w:val="20"/>
              </w:rPr>
              <w:t>Energy Committee Meeting on Subsoil Use Issues – June 6, 2017</w:t>
            </w:r>
          </w:p>
        </w:tc>
        <w:tc>
          <w:tcPr>
            <w:tcW w:w="3294" w:type="dxa"/>
          </w:tcPr>
          <w:p w14:paraId="60FE9A48" w14:textId="232439F5" w:rsidR="0057615B" w:rsidRDefault="0057615B" w:rsidP="0057615B">
            <w:pPr>
              <w:pStyle w:val="a3"/>
              <w:ind w:left="0"/>
              <w:jc w:val="center"/>
              <w:rPr>
                <w:rFonts w:ascii="Tahoma" w:hAnsi="Tahoma" w:cs="Tahoma"/>
                <w:b/>
                <w:color w:val="1E293F" w:themeColor="text2" w:themeShade="80"/>
                <w:sz w:val="20"/>
                <w:szCs w:val="20"/>
              </w:rPr>
            </w:pPr>
            <w:r w:rsidRPr="009754E9">
              <w:rPr>
                <w:rFonts w:ascii="Tahoma" w:eastAsia="Times New Roman" w:hAnsi="Tahoma" w:cs="Tahoma"/>
                <w:sz w:val="20"/>
                <w:szCs w:val="20"/>
              </w:rPr>
              <w:t>Round Table “New Trends on Stimulation of Renewable Energy Production” at VRU Committee on Fuel and Energy Complex, Nuclear Policy and Safety – October 10</w:t>
            </w:r>
          </w:p>
        </w:tc>
      </w:tr>
      <w:tr w:rsidR="001F555D" w:rsidRPr="008C206F" w14:paraId="4703B326" w14:textId="77777777" w:rsidTr="00002BD6">
        <w:trPr>
          <w:trHeight w:val="1133"/>
        </w:trPr>
        <w:tc>
          <w:tcPr>
            <w:tcW w:w="3461" w:type="dxa"/>
            <w:tcBorders>
              <w:bottom w:val="single" w:sz="2" w:space="0" w:color="3D3D3D" w:themeColor="background2" w:themeShade="40"/>
            </w:tcBorders>
          </w:tcPr>
          <w:p w14:paraId="5BC8A552" w14:textId="77777777" w:rsidR="001F555D" w:rsidRDefault="001F555D" w:rsidP="001F555D">
            <w:pPr>
              <w:pStyle w:val="a3"/>
              <w:ind w:left="90"/>
              <w:jc w:val="center"/>
              <w:rPr>
                <w:rFonts w:ascii="Tahoma" w:eastAsia="Calibri" w:hAnsi="Tahoma" w:cs="Tahoma"/>
                <w:bCs/>
                <w:iCs/>
                <w:sz w:val="20"/>
                <w:szCs w:val="20"/>
              </w:rPr>
            </w:pPr>
          </w:p>
          <w:p w14:paraId="612635B1" w14:textId="77777777" w:rsidR="001F555D" w:rsidRDefault="001F555D" w:rsidP="001F555D">
            <w:pPr>
              <w:pStyle w:val="a3"/>
              <w:ind w:left="90"/>
              <w:jc w:val="center"/>
              <w:rPr>
                <w:rFonts w:ascii="Tahoma" w:eastAsia="Calibri" w:hAnsi="Tahoma" w:cs="Tahoma"/>
                <w:bCs/>
                <w:iCs/>
                <w:sz w:val="20"/>
                <w:szCs w:val="20"/>
              </w:rPr>
            </w:pPr>
            <w:r w:rsidRPr="009754E9">
              <w:rPr>
                <w:rFonts w:ascii="Tahoma" w:eastAsia="Calibri" w:hAnsi="Tahoma" w:cs="Tahoma"/>
                <w:bCs/>
                <w:iCs/>
                <w:sz w:val="20"/>
                <w:szCs w:val="20"/>
              </w:rPr>
              <w:t xml:space="preserve">Meeting with </w:t>
            </w:r>
            <w:r w:rsidRPr="000570A5">
              <w:rPr>
                <w:rFonts w:ascii="Tahoma" w:eastAsia="Calibri" w:hAnsi="Tahoma" w:cs="Tahoma"/>
                <w:b/>
                <w:bCs/>
                <w:iCs/>
                <w:sz w:val="20"/>
                <w:szCs w:val="20"/>
              </w:rPr>
              <w:t xml:space="preserve">Oleg </w:t>
            </w:r>
            <w:proofErr w:type="spellStart"/>
            <w:r w:rsidRPr="000570A5">
              <w:rPr>
                <w:rFonts w:ascii="Tahoma" w:eastAsia="Calibri" w:hAnsi="Tahoma" w:cs="Tahoma"/>
                <w:b/>
                <w:bCs/>
                <w:iCs/>
                <w:sz w:val="20"/>
                <w:szCs w:val="20"/>
              </w:rPr>
              <w:t>Kyrylyuk</w:t>
            </w:r>
            <w:proofErr w:type="spellEnd"/>
            <w:r w:rsidRPr="000570A5">
              <w:rPr>
                <w:rFonts w:ascii="Tahoma" w:eastAsia="Calibri" w:hAnsi="Tahoma" w:cs="Tahoma"/>
                <w:b/>
                <w:bCs/>
                <w:iCs/>
                <w:sz w:val="20"/>
                <w:szCs w:val="20"/>
              </w:rPr>
              <w:t>,</w:t>
            </w:r>
            <w:r w:rsidRPr="009754E9">
              <w:rPr>
                <w:rFonts w:ascii="Tahoma" w:eastAsia="Calibri" w:hAnsi="Tahoma" w:cs="Tahoma"/>
                <w:bCs/>
                <w:iCs/>
                <w:sz w:val="20"/>
                <w:szCs w:val="20"/>
              </w:rPr>
              <w:t xml:space="preserve"> Acting Head of the State Geology Service – September</w:t>
            </w:r>
            <w:r>
              <w:rPr>
                <w:rFonts w:ascii="Tahoma" w:eastAsia="Calibri" w:hAnsi="Tahoma" w:cs="Tahoma"/>
                <w:bCs/>
                <w:iCs/>
                <w:sz w:val="20"/>
                <w:szCs w:val="20"/>
              </w:rPr>
              <w:t>,</w:t>
            </w:r>
            <w:r w:rsidRPr="009754E9">
              <w:rPr>
                <w:rFonts w:ascii="Tahoma" w:eastAsia="Calibri" w:hAnsi="Tahoma" w:cs="Tahoma"/>
                <w:bCs/>
                <w:iCs/>
                <w:sz w:val="20"/>
                <w:szCs w:val="20"/>
              </w:rPr>
              <w:t xml:space="preserve"> 6</w:t>
            </w:r>
          </w:p>
          <w:p w14:paraId="7C2C56F1" w14:textId="7D4F901C" w:rsidR="001F555D" w:rsidRPr="009754E9" w:rsidRDefault="001F555D" w:rsidP="001F555D">
            <w:pPr>
              <w:pStyle w:val="a3"/>
              <w:ind w:left="90"/>
              <w:jc w:val="center"/>
              <w:rPr>
                <w:rFonts w:ascii="Tahoma" w:hAnsi="Tahoma" w:cs="Tahoma"/>
                <w:b/>
                <w:color w:val="181818" w:themeColor="background2" w:themeShade="1A"/>
                <w:sz w:val="20"/>
                <w:szCs w:val="20"/>
              </w:rPr>
            </w:pPr>
          </w:p>
        </w:tc>
        <w:tc>
          <w:tcPr>
            <w:tcW w:w="3685" w:type="dxa"/>
            <w:tcBorders>
              <w:bottom w:val="single" w:sz="2" w:space="0" w:color="3D3D3D" w:themeColor="background2" w:themeShade="40"/>
              <w:right w:val="single" w:sz="2" w:space="0" w:color="auto"/>
            </w:tcBorders>
            <w:shd w:val="clear" w:color="auto" w:fill="D9D9D9" w:themeFill="background1" w:themeFillShade="D9"/>
            <w:vAlign w:val="center"/>
          </w:tcPr>
          <w:p w14:paraId="4F7B4853" w14:textId="77777777" w:rsidR="001F555D" w:rsidRDefault="001F555D" w:rsidP="001F555D">
            <w:pPr>
              <w:pStyle w:val="a3"/>
              <w:ind w:left="0"/>
              <w:jc w:val="center"/>
              <w:rPr>
                <w:rFonts w:ascii="Tahoma" w:hAnsi="Tahoma" w:cs="Tahoma"/>
                <w:sz w:val="20"/>
                <w:szCs w:val="20"/>
              </w:rPr>
            </w:pPr>
            <w:r>
              <w:rPr>
                <w:rFonts w:ascii="Tahoma" w:hAnsi="Tahoma" w:cs="Tahoma"/>
                <w:sz w:val="20"/>
                <w:szCs w:val="20"/>
              </w:rPr>
              <w:t xml:space="preserve">Meeting with </w:t>
            </w:r>
            <w:r w:rsidRPr="007E3E83">
              <w:rPr>
                <w:rFonts w:ascii="Tahoma" w:hAnsi="Tahoma" w:cs="Tahoma"/>
                <w:sz w:val="20"/>
                <w:szCs w:val="20"/>
              </w:rPr>
              <w:t>Business Ombudsman</w:t>
            </w:r>
            <w:r>
              <w:rPr>
                <w:rFonts w:ascii="Tahoma" w:hAnsi="Tahoma" w:cs="Tahoma"/>
                <w:sz w:val="20"/>
                <w:szCs w:val="20"/>
              </w:rPr>
              <w:t xml:space="preserve"> – June 7, 2017</w:t>
            </w:r>
          </w:p>
          <w:p w14:paraId="4C105190" w14:textId="15D04D6F" w:rsidR="001F555D" w:rsidRPr="009754E9" w:rsidRDefault="001F555D" w:rsidP="001F555D">
            <w:pPr>
              <w:pStyle w:val="a3"/>
              <w:ind w:left="0"/>
              <w:jc w:val="center"/>
              <w:rPr>
                <w:rFonts w:ascii="Tahoma" w:hAnsi="Tahoma" w:cs="Tahoma"/>
                <w:b/>
                <w:color w:val="1E293F" w:themeColor="text2" w:themeShade="80"/>
                <w:sz w:val="20"/>
                <w:szCs w:val="20"/>
              </w:rPr>
            </w:pPr>
          </w:p>
        </w:tc>
        <w:tc>
          <w:tcPr>
            <w:tcW w:w="3294" w:type="dxa"/>
          </w:tcPr>
          <w:p w14:paraId="1B501889" w14:textId="77777777" w:rsidR="001F555D" w:rsidRDefault="001F555D" w:rsidP="001F555D">
            <w:pPr>
              <w:pStyle w:val="a3"/>
              <w:ind w:left="0"/>
              <w:jc w:val="center"/>
              <w:rPr>
                <w:rFonts w:ascii="Tahoma" w:eastAsia="Times New Roman" w:hAnsi="Tahoma" w:cs="Tahoma"/>
                <w:sz w:val="20"/>
                <w:szCs w:val="20"/>
              </w:rPr>
            </w:pPr>
          </w:p>
          <w:p w14:paraId="2915DE73" w14:textId="50BA6F63" w:rsidR="001F555D" w:rsidRDefault="001F555D" w:rsidP="001F555D">
            <w:pPr>
              <w:pStyle w:val="a3"/>
              <w:ind w:left="0"/>
              <w:jc w:val="center"/>
              <w:rPr>
                <w:rFonts w:ascii="Tahoma" w:hAnsi="Tahoma" w:cs="Tahoma"/>
                <w:b/>
                <w:color w:val="1E293F" w:themeColor="text2" w:themeShade="80"/>
                <w:sz w:val="20"/>
                <w:szCs w:val="20"/>
              </w:rPr>
            </w:pPr>
            <w:r w:rsidRPr="009754E9">
              <w:rPr>
                <w:rFonts w:ascii="Tahoma" w:eastAsia="Times New Roman" w:hAnsi="Tahoma" w:cs="Tahoma"/>
                <w:sz w:val="20"/>
                <w:szCs w:val="20"/>
              </w:rPr>
              <w:t>Round Table “Energy Safety of Ukraine” – October 10</w:t>
            </w:r>
          </w:p>
        </w:tc>
      </w:tr>
      <w:tr w:rsidR="001F555D" w:rsidRPr="008C206F" w14:paraId="409DFBFE" w14:textId="77777777" w:rsidTr="00002BD6">
        <w:trPr>
          <w:trHeight w:val="1133"/>
        </w:trPr>
        <w:tc>
          <w:tcPr>
            <w:tcW w:w="3461" w:type="dxa"/>
            <w:tcBorders>
              <w:top w:val="single" w:sz="2" w:space="0" w:color="3D3D3D" w:themeColor="background2" w:themeShade="40"/>
            </w:tcBorders>
          </w:tcPr>
          <w:p w14:paraId="3B7B24E3" w14:textId="77777777" w:rsidR="001F555D" w:rsidRDefault="001F555D" w:rsidP="001F555D">
            <w:pPr>
              <w:pStyle w:val="a3"/>
              <w:ind w:left="0"/>
              <w:jc w:val="center"/>
              <w:rPr>
                <w:rFonts w:ascii="Tahoma" w:hAnsi="Tahoma" w:cs="Tahoma"/>
                <w:bCs/>
                <w:iCs/>
                <w:sz w:val="20"/>
                <w:szCs w:val="20"/>
              </w:rPr>
            </w:pPr>
          </w:p>
          <w:p w14:paraId="73FC9CAE" w14:textId="11E6BC0B" w:rsidR="001F555D" w:rsidRPr="009754E9" w:rsidRDefault="001F555D" w:rsidP="001F555D">
            <w:pPr>
              <w:pStyle w:val="a3"/>
              <w:ind w:left="0"/>
              <w:jc w:val="center"/>
              <w:rPr>
                <w:rFonts w:ascii="Tahoma" w:hAnsi="Tahoma" w:cs="Tahoma"/>
                <w:b/>
                <w:color w:val="181818" w:themeColor="background2" w:themeShade="1A"/>
                <w:sz w:val="20"/>
                <w:szCs w:val="20"/>
              </w:rPr>
            </w:pPr>
            <w:r w:rsidRPr="009754E9">
              <w:rPr>
                <w:rFonts w:ascii="Tahoma" w:hAnsi="Tahoma" w:cs="Tahoma"/>
                <w:bCs/>
                <w:iCs/>
                <w:sz w:val="20"/>
                <w:szCs w:val="20"/>
              </w:rPr>
              <w:t xml:space="preserve">Ceremony of </w:t>
            </w:r>
            <w:r w:rsidRPr="000570A5">
              <w:rPr>
                <w:rFonts w:ascii="Tahoma" w:hAnsi="Tahoma" w:cs="Tahoma"/>
                <w:b/>
                <w:bCs/>
                <w:iCs/>
                <w:sz w:val="20"/>
                <w:szCs w:val="20"/>
              </w:rPr>
              <w:t>Welcoming the First Delivery of Anthracite Coa</w:t>
            </w:r>
            <w:r w:rsidRPr="009754E9">
              <w:rPr>
                <w:rFonts w:ascii="Tahoma" w:hAnsi="Tahoma" w:cs="Tahoma"/>
                <w:bCs/>
                <w:iCs/>
                <w:sz w:val="20"/>
                <w:szCs w:val="20"/>
              </w:rPr>
              <w:t>l from the U.S. in Odesa – September</w:t>
            </w:r>
            <w:r>
              <w:rPr>
                <w:rFonts w:ascii="Tahoma" w:hAnsi="Tahoma" w:cs="Tahoma"/>
                <w:bCs/>
                <w:iCs/>
                <w:sz w:val="20"/>
                <w:szCs w:val="20"/>
              </w:rPr>
              <w:t>,</w:t>
            </w:r>
            <w:r w:rsidRPr="009754E9">
              <w:rPr>
                <w:rFonts w:ascii="Tahoma" w:hAnsi="Tahoma" w:cs="Tahoma"/>
                <w:bCs/>
                <w:iCs/>
                <w:sz w:val="20"/>
                <w:szCs w:val="20"/>
              </w:rPr>
              <w:t xml:space="preserve"> 13</w:t>
            </w:r>
          </w:p>
        </w:tc>
        <w:tc>
          <w:tcPr>
            <w:tcW w:w="3685" w:type="dxa"/>
            <w:tcBorders>
              <w:top w:val="single" w:sz="2" w:space="0" w:color="3D3D3D" w:themeColor="background2" w:themeShade="40"/>
              <w:bottom w:val="single" w:sz="2" w:space="0" w:color="3D3D3D" w:themeColor="background2" w:themeShade="40"/>
              <w:right w:val="single" w:sz="2" w:space="0" w:color="3D3D3D" w:themeColor="background2" w:themeShade="40"/>
            </w:tcBorders>
            <w:shd w:val="clear" w:color="auto" w:fill="D9D9D9" w:themeFill="background1" w:themeFillShade="D9"/>
            <w:vAlign w:val="center"/>
          </w:tcPr>
          <w:p w14:paraId="4C367637" w14:textId="77777777" w:rsidR="001F555D" w:rsidRPr="00860E30" w:rsidRDefault="001F555D" w:rsidP="001F555D">
            <w:pPr>
              <w:pStyle w:val="a3"/>
              <w:ind w:left="0"/>
              <w:jc w:val="center"/>
              <w:rPr>
                <w:rFonts w:ascii="Tahoma" w:hAnsi="Tahoma" w:cs="Tahoma"/>
                <w:sz w:val="20"/>
                <w:szCs w:val="20"/>
              </w:rPr>
            </w:pPr>
            <w:r w:rsidRPr="001E0B9B">
              <w:rPr>
                <w:rFonts w:ascii="Tahoma" w:hAnsi="Tahoma" w:cs="Tahoma"/>
                <w:sz w:val="20"/>
                <w:szCs w:val="20"/>
              </w:rPr>
              <w:t xml:space="preserve">Meeting </w:t>
            </w:r>
            <w:r>
              <w:rPr>
                <w:rFonts w:ascii="Tahoma" w:hAnsi="Tahoma" w:cs="Tahoma"/>
                <w:sz w:val="20"/>
                <w:szCs w:val="20"/>
              </w:rPr>
              <w:t xml:space="preserve">at the </w:t>
            </w:r>
            <w:r w:rsidRPr="001E0B9B">
              <w:rPr>
                <w:rFonts w:ascii="Tahoma" w:hAnsi="Tahoma" w:cs="Tahoma"/>
                <w:sz w:val="20"/>
                <w:szCs w:val="20"/>
              </w:rPr>
              <w:t xml:space="preserve">Ministry of Ecology and National Recourses </w:t>
            </w:r>
            <w:r>
              <w:rPr>
                <w:rFonts w:ascii="Tahoma" w:hAnsi="Tahoma" w:cs="Tahoma"/>
                <w:sz w:val="20"/>
                <w:szCs w:val="20"/>
              </w:rPr>
              <w:t>regarding</w:t>
            </w:r>
            <w:r w:rsidRPr="001E0B9B">
              <w:rPr>
                <w:rFonts w:ascii="Tahoma" w:hAnsi="Tahoma" w:cs="Tahoma"/>
                <w:sz w:val="20"/>
                <w:szCs w:val="20"/>
              </w:rPr>
              <w:t xml:space="preserve"> newly adopted Law of Ukraine </w:t>
            </w:r>
            <w:r>
              <w:rPr>
                <w:rFonts w:ascii="Tahoma" w:hAnsi="Tahoma" w:cs="Tahoma"/>
                <w:sz w:val="20"/>
                <w:szCs w:val="20"/>
              </w:rPr>
              <w:t>“</w:t>
            </w:r>
            <w:r w:rsidRPr="001E0B9B">
              <w:rPr>
                <w:rFonts w:ascii="Tahoma" w:hAnsi="Tahoma" w:cs="Tahoma"/>
                <w:sz w:val="20"/>
                <w:szCs w:val="20"/>
              </w:rPr>
              <w:t>On Environment Impact Assessment” – June</w:t>
            </w:r>
            <w:r>
              <w:rPr>
                <w:rFonts w:ascii="Tahoma" w:hAnsi="Tahoma" w:cs="Tahoma"/>
                <w:sz w:val="20"/>
                <w:szCs w:val="20"/>
              </w:rPr>
              <w:t>,</w:t>
            </w:r>
            <w:r w:rsidRPr="001E0B9B">
              <w:rPr>
                <w:rFonts w:ascii="Tahoma" w:hAnsi="Tahoma" w:cs="Tahoma"/>
                <w:sz w:val="20"/>
                <w:szCs w:val="20"/>
              </w:rPr>
              <w:t xml:space="preserve"> 29</w:t>
            </w:r>
            <w:r>
              <w:rPr>
                <w:rFonts w:ascii="Tahoma" w:hAnsi="Tahoma" w:cs="Tahoma"/>
                <w:sz w:val="20"/>
                <w:szCs w:val="20"/>
              </w:rPr>
              <w:t xml:space="preserve"> and </w:t>
            </w:r>
            <w:r w:rsidRPr="00860E30">
              <w:rPr>
                <w:rFonts w:ascii="Tahoma" w:hAnsi="Tahoma" w:cs="Tahoma"/>
                <w:sz w:val="20"/>
                <w:szCs w:val="20"/>
              </w:rPr>
              <w:t>July</w:t>
            </w:r>
            <w:r>
              <w:rPr>
                <w:rFonts w:ascii="Tahoma" w:hAnsi="Tahoma" w:cs="Tahoma"/>
                <w:sz w:val="20"/>
                <w:szCs w:val="20"/>
              </w:rPr>
              <w:t>,</w:t>
            </w:r>
            <w:r w:rsidRPr="00860E30">
              <w:rPr>
                <w:rFonts w:ascii="Tahoma" w:hAnsi="Tahoma" w:cs="Tahoma"/>
                <w:sz w:val="20"/>
                <w:szCs w:val="20"/>
              </w:rPr>
              <w:t xml:space="preserve"> 27</w:t>
            </w:r>
          </w:p>
          <w:p w14:paraId="3D13C449" w14:textId="77777777" w:rsidR="001F555D" w:rsidRPr="009754E9" w:rsidRDefault="001F555D" w:rsidP="001F555D">
            <w:pPr>
              <w:pStyle w:val="a3"/>
              <w:ind w:left="0"/>
              <w:jc w:val="center"/>
              <w:rPr>
                <w:rFonts w:ascii="Tahoma" w:hAnsi="Tahoma" w:cs="Tahoma"/>
                <w:b/>
                <w:color w:val="1E293F" w:themeColor="text2" w:themeShade="80"/>
                <w:sz w:val="20"/>
                <w:szCs w:val="20"/>
              </w:rPr>
            </w:pPr>
          </w:p>
        </w:tc>
        <w:tc>
          <w:tcPr>
            <w:tcW w:w="3294" w:type="dxa"/>
          </w:tcPr>
          <w:p w14:paraId="632ECAE8" w14:textId="77777777" w:rsidR="001F555D" w:rsidRDefault="001F555D" w:rsidP="001F555D">
            <w:pPr>
              <w:pStyle w:val="a3"/>
              <w:ind w:left="0"/>
              <w:jc w:val="center"/>
              <w:rPr>
                <w:rFonts w:ascii="Tahoma" w:eastAsia="Times New Roman" w:hAnsi="Tahoma" w:cs="Tahoma"/>
                <w:sz w:val="20"/>
                <w:szCs w:val="20"/>
              </w:rPr>
            </w:pPr>
          </w:p>
          <w:p w14:paraId="3A5DEEC6" w14:textId="66BEAB5B" w:rsidR="001F555D" w:rsidRDefault="001F555D" w:rsidP="001F555D">
            <w:pPr>
              <w:pStyle w:val="a3"/>
              <w:ind w:left="0"/>
              <w:jc w:val="center"/>
              <w:rPr>
                <w:rFonts w:ascii="Tahoma" w:hAnsi="Tahoma" w:cs="Tahoma"/>
                <w:b/>
                <w:color w:val="1E293F" w:themeColor="text2" w:themeShade="80"/>
                <w:sz w:val="20"/>
                <w:szCs w:val="20"/>
              </w:rPr>
            </w:pPr>
            <w:r w:rsidRPr="009754E9">
              <w:rPr>
                <w:rFonts w:ascii="Tahoma" w:eastAsia="Times New Roman" w:hAnsi="Tahoma" w:cs="Tahoma"/>
                <w:sz w:val="20"/>
                <w:szCs w:val="20"/>
              </w:rPr>
              <w:t>Third Ukrainian Gas Forum – October 11-12</w:t>
            </w:r>
          </w:p>
        </w:tc>
      </w:tr>
      <w:tr w:rsidR="001F555D" w:rsidRPr="008C206F" w14:paraId="3846A656" w14:textId="77777777" w:rsidTr="00F0158E">
        <w:trPr>
          <w:trHeight w:val="1133"/>
        </w:trPr>
        <w:tc>
          <w:tcPr>
            <w:tcW w:w="3461" w:type="dxa"/>
          </w:tcPr>
          <w:p w14:paraId="11D5C060" w14:textId="77777777" w:rsidR="001F555D" w:rsidRDefault="001F555D" w:rsidP="001F555D">
            <w:pPr>
              <w:ind w:left="90"/>
              <w:jc w:val="center"/>
              <w:rPr>
                <w:rFonts w:ascii="Tahoma" w:hAnsi="Tahoma" w:cs="Tahoma"/>
                <w:bCs/>
                <w:iCs/>
                <w:sz w:val="20"/>
                <w:szCs w:val="20"/>
              </w:rPr>
            </w:pPr>
          </w:p>
          <w:p w14:paraId="5041DA9F" w14:textId="77777777" w:rsidR="001F555D" w:rsidRDefault="001F555D" w:rsidP="001F555D">
            <w:pPr>
              <w:pStyle w:val="a3"/>
              <w:ind w:left="0"/>
              <w:jc w:val="center"/>
              <w:rPr>
                <w:rFonts w:ascii="Tahoma" w:hAnsi="Tahoma" w:cs="Tahoma"/>
                <w:bCs/>
                <w:iCs/>
                <w:sz w:val="20"/>
                <w:szCs w:val="20"/>
              </w:rPr>
            </w:pPr>
            <w:r w:rsidRPr="009754E9">
              <w:rPr>
                <w:rFonts w:ascii="Tahoma" w:hAnsi="Tahoma" w:cs="Tahoma"/>
                <w:bCs/>
                <w:iCs/>
                <w:sz w:val="20"/>
                <w:szCs w:val="20"/>
              </w:rPr>
              <w:t xml:space="preserve">Meeting held by </w:t>
            </w:r>
            <w:r>
              <w:rPr>
                <w:rFonts w:ascii="Tahoma" w:hAnsi="Tahoma" w:cs="Tahoma"/>
                <w:bCs/>
                <w:iCs/>
                <w:sz w:val="20"/>
                <w:szCs w:val="20"/>
              </w:rPr>
              <w:t xml:space="preserve">the </w:t>
            </w:r>
            <w:r w:rsidRPr="009754E9">
              <w:rPr>
                <w:rFonts w:ascii="Tahoma" w:hAnsi="Tahoma" w:cs="Tahoma"/>
                <w:bCs/>
                <w:iCs/>
                <w:sz w:val="20"/>
                <w:szCs w:val="20"/>
              </w:rPr>
              <w:t>Ministry of ecology and natural resources regarding reforms in subsoil sector – September 14</w:t>
            </w:r>
          </w:p>
          <w:p w14:paraId="589DA3A3" w14:textId="0E2ACC0B" w:rsidR="001F555D" w:rsidRPr="009754E9" w:rsidRDefault="001F555D" w:rsidP="001F555D">
            <w:pPr>
              <w:pStyle w:val="a3"/>
              <w:ind w:left="90"/>
              <w:jc w:val="center"/>
              <w:rPr>
                <w:rFonts w:ascii="Tahoma" w:hAnsi="Tahoma" w:cs="Tahoma"/>
                <w:b/>
                <w:color w:val="181818" w:themeColor="background2" w:themeShade="1A"/>
                <w:sz w:val="20"/>
                <w:szCs w:val="20"/>
              </w:rPr>
            </w:pPr>
          </w:p>
        </w:tc>
        <w:tc>
          <w:tcPr>
            <w:tcW w:w="3685" w:type="dxa"/>
            <w:tcBorders>
              <w:top w:val="single" w:sz="2" w:space="0" w:color="3D3D3D" w:themeColor="background2" w:themeShade="40"/>
            </w:tcBorders>
            <w:shd w:val="clear" w:color="auto" w:fill="D9D9D9" w:themeFill="background1" w:themeFillShade="D9"/>
            <w:vAlign w:val="center"/>
          </w:tcPr>
          <w:p w14:paraId="53CC5079" w14:textId="77777777" w:rsidR="001F555D" w:rsidRPr="00860E30" w:rsidRDefault="001F555D" w:rsidP="001F555D">
            <w:pPr>
              <w:pStyle w:val="a3"/>
              <w:ind w:left="0"/>
              <w:jc w:val="center"/>
              <w:rPr>
                <w:rFonts w:ascii="Tahoma" w:hAnsi="Tahoma" w:cs="Tahoma"/>
                <w:sz w:val="20"/>
                <w:szCs w:val="20"/>
              </w:rPr>
            </w:pPr>
            <w:r w:rsidRPr="001E0B9B">
              <w:rPr>
                <w:rFonts w:ascii="Tahoma" w:hAnsi="Tahoma" w:cs="Tahoma"/>
                <w:sz w:val="20"/>
                <w:szCs w:val="20"/>
              </w:rPr>
              <w:t>Meeting with Rob Pitman, expert from National Resource Governance Institute, regarding Extractive Industries Transparency Initiative – Ju</w:t>
            </w:r>
            <w:r>
              <w:rPr>
                <w:rFonts w:ascii="Tahoma" w:hAnsi="Tahoma" w:cs="Tahoma"/>
                <w:sz w:val="20"/>
                <w:szCs w:val="20"/>
              </w:rPr>
              <w:t>ly,</w:t>
            </w:r>
            <w:r w:rsidRPr="001E0B9B">
              <w:rPr>
                <w:rFonts w:ascii="Tahoma" w:hAnsi="Tahoma" w:cs="Tahoma"/>
                <w:sz w:val="20"/>
                <w:szCs w:val="20"/>
              </w:rPr>
              <w:t xml:space="preserve"> </w:t>
            </w:r>
            <w:r>
              <w:rPr>
                <w:rFonts w:ascii="Tahoma" w:hAnsi="Tahoma" w:cs="Tahoma"/>
                <w:sz w:val="20"/>
                <w:szCs w:val="20"/>
              </w:rPr>
              <w:t>14</w:t>
            </w:r>
          </w:p>
          <w:p w14:paraId="329B7F1B" w14:textId="77777777" w:rsidR="001F555D" w:rsidRPr="009754E9" w:rsidRDefault="001F555D" w:rsidP="001F555D">
            <w:pPr>
              <w:pStyle w:val="a3"/>
              <w:ind w:left="0"/>
              <w:jc w:val="center"/>
              <w:rPr>
                <w:rFonts w:ascii="Tahoma" w:hAnsi="Tahoma" w:cs="Tahoma"/>
                <w:b/>
                <w:color w:val="1E293F" w:themeColor="text2" w:themeShade="80"/>
                <w:sz w:val="20"/>
                <w:szCs w:val="20"/>
              </w:rPr>
            </w:pPr>
          </w:p>
        </w:tc>
        <w:tc>
          <w:tcPr>
            <w:tcW w:w="3294" w:type="dxa"/>
          </w:tcPr>
          <w:p w14:paraId="6AFAEC41" w14:textId="77777777" w:rsidR="001F555D" w:rsidRDefault="001F555D" w:rsidP="001F555D">
            <w:pPr>
              <w:pStyle w:val="a3"/>
              <w:ind w:left="0"/>
              <w:jc w:val="center"/>
              <w:rPr>
                <w:rFonts w:ascii="Tahoma" w:eastAsia="Times New Roman" w:hAnsi="Tahoma" w:cs="Tahoma"/>
                <w:sz w:val="20"/>
                <w:szCs w:val="20"/>
              </w:rPr>
            </w:pPr>
          </w:p>
          <w:p w14:paraId="22A87C1C" w14:textId="77777777" w:rsidR="001F555D" w:rsidRDefault="001F555D" w:rsidP="001F555D">
            <w:pPr>
              <w:pStyle w:val="a3"/>
              <w:ind w:left="0"/>
              <w:jc w:val="center"/>
              <w:rPr>
                <w:rFonts w:ascii="Tahoma" w:eastAsia="Times New Roman" w:hAnsi="Tahoma" w:cs="Tahoma"/>
                <w:sz w:val="20"/>
                <w:szCs w:val="20"/>
              </w:rPr>
            </w:pPr>
          </w:p>
          <w:p w14:paraId="1267EEF3" w14:textId="37466549" w:rsidR="001F555D" w:rsidRDefault="001F555D" w:rsidP="001F555D">
            <w:pPr>
              <w:pStyle w:val="a3"/>
              <w:ind w:left="0"/>
              <w:jc w:val="center"/>
              <w:rPr>
                <w:rFonts w:ascii="Tahoma" w:hAnsi="Tahoma" w:cs="Tahoma"/>
                <w:b/>
                <w:color w:val="1E293F" w:themeColor="text2" w:themeShade="80"/>
                <w:sz w:val="20"/>
                <w:szCs w:val="20"/>
              </w:rPr>
            </w:pPr>
            <w:r w:rsidRPr="009754E9">
              <w:rPr>
                <w:rFonts w:ascii="Tahoma" w:eastAsia="Times New Roman" w:hAnsi="Tahoma" w:cs="Tahoma"/>
                <w:sz w:val="20"/>
                <w:szCs w:val="20"/>
              </w:rPr>
              <w:t>International Economic Forum in Poltava – October 17</w:t>
            </w:r>
          </w:p>
        </w:tc>
      </w:tr>
      <w:tr w:rsidR="001F555D" w:rsidRPr="008C206F" w14:paraId="53D639C6" w14:textId="77777777" w:rsidTr="00F0158E">
        <w:trPr>
          <w:trHeight w:val="1133"/>
        </w:trPr>
        <w:tc>
          <w:tcPr>
            <w:tcW w:w="3461" w:type="dxa"/>
          </w:tcPr>
          <w:p w14:paraId="096CE500" w14:textId="77777777" w:rsidR="001F555D" w:rsidRPr="009754E9" w:rsidRDefault="001F555D" w:rsidP="001F555D">
            <w:pPr>
              <w:pStyle w:val="a3"/>
              <w:ind w:left="0"/>
              <w:jc w:val="center"/>
              <w:rPr>
                <w:rFonts w:ascii="Tahoma" w:eastAsia="Calibri" w:hAnsi="Tahoma" w:cs="Tahoma"/>
                <w:bCs/>
                <w:iCs/>
                <w:sz w:val="20"/>
                <w:szCs w:val="20"/>
              </w:rPr>
            </w:pPr>
            <w:r w:rsidRPr="009754E9">
              <w:rPr>
                <w:rFonts w:ascii="Tahoma" w:eastAsia="Calibri" w:hAnsi="Tahoma" w:cs="Tahoma"/>
                <w:bCs/>
                <w:iCs/>
                <w:sz w:val="20"/>
                <w:szCs w:val="20"/>
              </w:rPr>
              <w:t xml:space="preserve">Meeting with </w:t>
            </w:r>
            <w:r w:rsidRPr="000570A5">
              <w:rPr>
                <w:rFonts w:ascii="Tahoma" w:eastAsia="Calibri" w:hAnsi="Tahoma" w:cs="Tahoma"/>
                <w:b/>
                <w:bCs/>
                <w:iCs/>
                <w:sz w:val="20"/>
                <w:szCs w:val="20"/>
              </w:rPr>
              <w:t>Representatives of International Secretariat for Extractive Industries Transparency Initiative</w:t>
            </w:r>
            <w:r w:rsidRPr="009754E9">
              <w:rPr>
                <w:rFonts w:ascii="Tahoma" w:eastAsia="Calibri" w:hAnsi="Tahoma" w:cs="Tahoma"/>
                <w:bCs/>
                <w:iCs/>
                <w:sz w:val="20"/>
                <w:szCs w:val="20"/>
              </w:rPr>
              <w:t xml:space="preserve"> – September 21</w:t>
            </w:r>
          </w:p>
          <w:p w14:paraId="096804B7" w14:textId="7A9EC483" w:rsidR="001F555D" w:rsidRPr="009754E9" w:rsidRDefault="001F555D" w:rsidP="001F555D">
            <w:pPr>
              <w:pStyle w:val="a3"/>
              <w:ind w:left="0"/>
              <w:jc w:val="center"/>
              <w:rPr>
                <w:rFonts w:ascii="Tahoma" w:hAnsi="Tahoma" w:cs="Tahoma"/>
                <w:b/>
                <w:color w:val="181818" w:themeColor="background2" w:themeShade="1A"/>
                <w:sz w:val="20"/>
                <w:szCs w:val="20"/>
              </w:rPr>
            </w:pPr>
          </w:p>
        </w:tc>
        <w:tc>
          <w:tcPr>
            <w:tcW w:w="3685" w:type="dxa"/>
            <w:shd w:val="clear" w:color="auto" w:fill="D9D9D9" w:themeFill="background1" w:themeFillShade="D9"/>
            <w:vAlign w:val="center"/>
          </w:tcPr>
          <w:p w14:paraId="7689A14A" w14:textId="603813D0" w:rsidR="001F555D" w:rsidRPr="009754E9" w:rsidRDefault="001F555D" w:rsidP="001F555D">
            <w:pPr>
              <w:pStyle w:val="a3"/>
              <w:ind w:left="0"/>
              <w:jc w:val="center"/>
              <w:rPr>
                <w:rFonts w:ascii="Tahoma" w:hAnsi="Tahoma" w:cs="Tahoma"/>
                <w:b/>
                <w:color w:val="1E293F" w:themeColor="text2" w:themeShade="80"/>
                <w:sz w:val="20"/>
                <w:szCs w:val="20"/>
              </w:rPr>
            </w:pPr>
            <w:r w:rsidRPr="00860E30">
              <w:rPr>
                <w:rFonts w:ascii="Tahoma" w:hAnsi="Tahoma" w:cs="Tahoma"/>
                <w:sz w:val="20"/>
                <w:szCs w:val="20"/>
              </w:rPr>
              <w:t>Meeting with representatives of Ukrainian Oil &amp; Gas Association – July</w:t>
            </w:r>
            <w:r>
              <w:rPr>
                <w:rFonts w:ascii="Tahoma" w:hAnsi="Tahoma" w:cs="Tahoma"/>
                <w:sz w:val="20"/>
                <w:szCs w:val="20"/>
              </w:rPr>
              <w:t>,</w:t>
            </w:r>
            <w:r w:rsidRPr="00860E30">
              <w:rPr>
                <w:rFonts w:ascii="Tahoma" w:hAnsi="Tahoma" w:cs="Tahoma"/>
                <w:sz w:val="20"/>
                <w:szCs w:val="20"/>
              </w:rPr>
              <w:t xml:space="preserve"> 18</w:t>
            </w:r>
          </w:p>
        </w:tc>
        <w:tc>
          <w:tcPr>
            <w:tcW w:w="3294" w:type="dxa"/>
          </w:tcPr>
          <w:p w14:paraId="13947705" w14:textId="77777777" w:rsidR="001F555D" w:rsidRDefault="001F555D" w:rsidP="001F555D">
            <w:pPr>
              <w:pStyle w:val="a3"/>
              <w:ind w:left="0"/>
              <w:jc w:val="center"/>
              <w:rPr>
                <w:rFonts w:ascii="Tahoma" w:eastAsia="Calibri" w:hAnsi="Tahoma" w:cs="Tahoma"/>
                <w:bCs/>
                <w:iCs/>
                <w:sz w:val="20"/>
                <w:szCs w:val="20"/>
              </w:rPr>
            </w:pPr>
          </w:p>
          <w:p w14:paraId="1CBD43B2" w14:textId="34AE08CD" w:rsidR="001F555D" w:rsidRDefault="001F555D" w:rsidP="001F555D">
            <w:pPr>
              <w:pStyle w:val="a3"/>
              <w:ind w:left="0"/>
              <w:jc w:val="center"/>
              <w:rPr>
                <w:rFonts w:ascii="Tahoma" w:eastAsia="Calibri" w:hAnsi="Tahoma" w:cs="Tahoma"/>
                <w:bCs/>
                <w:iCs/>
                <w:sz w:val="20"/>
                <w:szCs w:val="20"/>
              </w:rPr>
            </w:pPr>
            <w:r w:rsidRPr="009754E9">
              <w:rPr>
                <w:rFonts w:ascii="Tahoma" w:eastAsia="Calibri" w:hAnsi="Tahoma" w:cs="Tahoma"/>
                <w:bCs/>
                <w:iCs/>
                <w:sz w:val="20"/>
                <w:szCs w:val="20"/>
              </w:rPr>
              <w:t>Panel Discussion "Macroeconomic Outlook &amp; Forecast for Ukraine" – November 13</w:t>
            </w:r>
          </w:p>
          <w:p w14:paraId="18FD98A9" w14:textId="77777777" w:rsidR="001F555D" w:rsidRDefault="001F555D" w:rsidP="001F555D">
            <w:pPr>
              <w:pStyle w:val="a3"/>
              <w:ind w:left="0"/>
              <w:jc w:val="center"/>
              <w:rPr>
                <w:rFonts w:ascii="Tahoma" w:hAnsi="Tahoma" w:cs="Tahoma"/>
                <w:b/>
                <w:color w:val="1E293F" w:themeColor="text2" w:themeShade="80"/>
                <w:sz w:val="20"/>
                <w:szCs w:val="20"/>
              </w:rPr>
            </w:pPr>
          </w:p>
        </w:tc>
      </w:tr>
      <w:tr w:rsidR="001F555D" w:rsidRPr="008C206F" w14:paraId="363026AA" w14:textId="77777777" w:rsidTr="00F0158E">
        <w:trPr>
          <w:trHeight w:val="1133"/>
        </w:trPr>
        <w:tc>
          <w:tcPr>
            <w:tcW w:w="3461" w:type="dxa"/>
          </w:tcPr>
          <w:p w14:paraId="50B306BC" w14:textId="77777777" w:rsidR="001F555D" w:rsidRDefault="001F555D" w:rsidP="001F555D">
            <w:pPr>
              <w:pStyle w:val="a3"/>
              <w:ind w:left="0"/>
              <w:jc w:val="center"/>
              <w:rPr>
                <w:rFonts w:ascii="Tahoma" w:eastAsia="Times New Roman" w:hAnsi="Tahoma" w:cs="Tahoma"/>
                <w:sz w:val="20"/>
                <w:szCs w:val="20"/>
              </w:rPr>
            </w:pPr>
          </w:p>
          <w:p w14:paraId="3DE35D33" w14:textId="77777777" w:rsidR="001F555D" w:rsidRPr="009754E9" w:rsidRDefault="001F555D" w:rsidP="001F555D">
            <w:pPr>
              <w:pStyle w:val="a3"/>
              <w:ind w:left="0"/>
              <w:jc w:val="center"/>
              <w:rPr>
                <w:rFonts w:ascii="Tahoma" w:eastAsia="Times New Roman" w:hAnsi="Tahoma" w:cs="Tahoma"/>
                <w:sz w:val="20"/>
                <w:szCs w:val="20"/>
              </w:rPr>
            </w:pPr>
            <w:r w:rsidRPr="009754E9">
              <w:rPr>
                <w:rFonts w:ascii="Tahoma" w:eastAsia="Times New Roman" w:hAnsi="Tahoma" w:cs="Tahoma"/>
                <w:sz w:val="20"/>
                <w:szCs w:val="20"/>
              </w:rPr>
              <w:t xml:space="preserve">Meeting with </w:t>
            </w:r>
            <w:proofErr w:type="spellStart"/>
            <w:r w:rsidRPr="000570A5">
              <w:rPr>
                <w:rFonts w:ascii="Tahoma" w:eastAsia="Times New Roman" w:hAnsi="Tahoma" w:cs="Tahoma"/>
                <w:b/>
                <w:sz w:val="20"/>
                <w:szCs w:val="20"/>
              </w:rPr>
              <w:t>Vsevolod</w:t>
            </w:r>
            <w:proofErr w:type="spellEnd"/>
            <w:r w:rsidRPr="000570A5">
              <w:rPr>
                <w:rFonts w:ascii="Tahoma" w:eastAsia="Times New Roman" w:hAnsi="Tahoma" w:cs="Tahoma"/>
                <w:b/>
                <w:sz w:val="20"/>
                <w:szCs w:val="20"/>
              </w:rPr>
              <w:t xml:space="preserve"> </w:t>
            </w:r>
            <w:proofErr w:type="spellStart"/>
            <w:r w:rsidRPr="000570A5">
              <w:rPr>
                <w:rFonts w:ascii="Tahoma" w:eastAsia="Times New Roman" w:hAnsi="Tahoma" w:cs="Tahoma"/>
                <w:b/>
                <w:sz w:val="20"/>
                <w:szCs w:val="20"/>
              </w:rPr>
              <w:t>Kovalchuk</w:t>
            </w:r>
            <w:proofErr w:type="spellEnd"/>
            <w:r w:rsidRPr="009754E9">
              <w:rPr>
                <w:rFonts w:ascii="Tahoma" w:eastAsia="Times New Roman" w:hAnsi="Tahoma" w:cs="Tahoma"/>
                <w:sz w:val="20"/>
                <w:szCs w:val="20"/>
              </w:rPr>
              <w:t>, Acting Director of State Enterprise "</w:t>
            </w:r>
            <w:proofErr w:type="spellStart"/>
            <w:r w:rsidRPr="009754E9">
              <w:rPr>
                <w:rFonts w:ascii="Tahoma" w:eastAsia="Times New Roman" w:hAnsi="Tahoma" w:cs="Tahoma"/>
                <w:sz w:val="20"/>
                <w:szCs w:val="20"/>
              </w:rPr>
              <w:t>Ukrenergo</w:t>
            </w:r>
            <w:proofErr w:type="spellEnd"/>
            <w:r w:rsidRPr="009754E9">
              <w:rPr>
                <w:rFonts w:ascii="Tahoma" w:eastAsia="Times New Roman" w:hAnsi="Tahoma" w:cs="Tahoma"/>
                <w:sz w:val="20"/>
                <w:szCs w:val="20"/>
              </w:rPr>
              <w:t>" – September 26</w:t>
            </w:r>
          </w:p>
          <w:p w14:paraId="5C734B7A" w14:textId="007DBFF6" w:rsidR="001F555D" w:rsidRPr="009754E9" w:rsidRDefault="001F555D" w:rsidP="001F555D">
            <w:pPr>
              <w:pStyle w:val="a3"/>
              <w:ind w:left="0"/>
              <w:jc w:val="center"/>
              <w:rPr>
                <w:rFonts w:ascii="Tahoma" w:hAnsi="Tahoma" w:cs="Tahoma"/>
                <w:b/>
                <w:color w:val="181818" w:themeColor="background2" w:themeShade="1A"/>
                <w:sz w:val="20"/>
                <w:szCs w:val="20"/>
              </w:rPr>
            </w:pPr>
          </w:p>
        </w:tc>
        <w:tc>
          <w:tcPr>
            <w:tcW w:w="3685" w:type="dxa"/>
            <w:shd w:val="clear" w:color="auto" w:fill="D9D9D9" w:themeFill="background1" w:themeFillShade="D9"/>
            <w:vAlign w:val="center"/>
          </w:tcPr>
          <w:p w14:paraId="625CF4F1" w14:textId="77777777" w:rsidR="001F555D" w:rsidRDefault="001F555D" w:rsidP="001F555D">
            <w:pPr>
              <w:pStyle w:val="a3"/>
              <w:ind w:left="0"/>
              <w:jc w:val="center"/>
              <w:rPr>
                <w:rFonts w:ascii="Tahoma" w:hAnsi="Tahoma" w:cs="Tahoma"/>
                <w:sz w:val="20"/>
                <w:szCs w:val="20"/>
              </w:rPr>
            </w:pPr>
            <w:r w:rsidRPr="00860E30">
              <w:rPr>
                <w:rFonts w:ascii="Tahoma" w:hAnsi="Tahoma" w:cs="Tahoma"/>
                <w:sz w:val="20"/>
                <w:szCs w:val="20"/>
              </w:rPr>
              <w:t xml:space="preserve">Meeting with </w:t>
            </w:r>
            <w:r>
              <w:rPr>
                <w:rFonts w:ascii="Tahoma" w:hAnsi="Tahoma" w:cs="Tahoma"/>
                <w:sz w:val="20"/>
                <w:szCs w:val="20"/>
              </w:rPr>
              <w:t xml:space="preserve">Tucker Brown, </w:t>
            </w:r>
            <w:r w:rsidRPr="00860E30">
              <w:rPr>
                <w:rFonts w:ascii="Tahoma" w:hAnsi="Tahoma" w:cs="Tahoma"/>
                <w:sz w:val="20"/>
                <w:szCs w:val="20"/>
              </w:rPr>
              <w:t xml:space="preserve">Energy Officer, Economic Section of the US Embassy in Kyiv – </w:t>
            </w:r>
          </w:p>
          <w:p w14:paraId="4E236C66" w14:textId="232DAE59" w:rsidR="001F555D" w:rsidRPr="009754E9" w:rsidRDefault="001F555D" w:rsidP="001F555D">
            <w:pPr>
              <w:pStyle w:val="a3"/>
              <w:ind w:left="0"/>
              <w:jc w:val="center"/>
              <w:rPr>
                <w:rFonts w:ascii="Tahoma" w:hAnsi="Tahoma" w:cs="Tahoma"/>
                <w:b/>
                <w:color w:val="1E293F" w:themeColor="text2" w:themeShade="80"/>
                <w:sz w:val="20"/>
                <w:szCs w:val="20"/>
              </w:rPr>
            </w:pPr>
            <w:r w:rsidRPr="00860E30">
              <w:rPr>
                <w:rFonts w:ascii="Tahoma" w:hAnsi="Tahoma" w:cs="Tahoma"/>
                <w:sz w:val="20"/>
                <w:szCs w:val="20"/>
              </w:rPr>
              <w:t>July</w:t>
            </w:r>
            <w:r>
              <w:rPr>
                <w:rFonts w:ascii="Tahoma" w:hAnsi="Tahoma" w:cs="Tahoma"/>
                <w:sz w:val="20"/>
                <w:szCs w:val="20"/>
              </w:rPr>
              <w:t>,</w:t>
            </w:r>
            <w:r w:rsidRPr="00860E30">
              <w:rPr>
                <w:rFonts w:ascii="Tahoma" w:hAnsi="Tahoma" w:cs="Tahoma"/>
                <w:sz w:val="20"/>
                <w:szCs w:val="20"/>
              </w:rPr>
              <w:t xml:space="preserve"> 21</w:t>
            </w:r>
          </w:p>
        </w:tc>
        <w:tc>
          <w:tcPr>
            <w:tcW w:w="3294" w:type="dxa"/>
          </w:tcPr>
          <w:p w14:paraId="314B7280" w14:textId="77777777" w:rsidR="001F555D" w:rsidRDefault="001F555D" w:rsidP="001F555D">
            <w:pPr>
              <w:pStyle w:val="a3"/>
              <w:ind w:left="0"/>
              <w:jc w:val="center"/>
              <w:rPr>
                <w:rFonts w:ascii="Tahoma" w:eastAsia="Calibri" w:hAnsi="Tahoma" w:cs="Tahoma"/>
                <w:bCs/>
                <w:iCs/>
                <w:sz w:val="20"/>
                <w:szCs w:val="20"/>
              </w:rPr>
            </w:pPr>
          </w:p>
          <w:p w14:paraId="23DAD15E" w14:textId="3674563E" w:rsidR="001F555D" w:rsidRDefault="001F555D" w:rsidP="001F555D">
            <w:pPr>
              <w:pStyle w:val="a3"/>
              <w:ind w:left="0"/>
              <w:jc w:val="center"/>
              <w:rPr>
                <w:rFonts w:ascii="Tahoma" w:eastAsia="Calibri" w:hAnsi="Tahoma" w:cs="Tahoma"/>
                <w:bCs/>
                <w:iCs/>
                <w:sz w:val="20"/>
                <w:szCs w:val="20"/>
              </w:rPr>
            </w:pPr>
            <w:r w:rsidRPr="009754E9">
              <w:rPr>
                <w:rFonts w:ascii="Tahoma" w:eastAsia="Calibri" w:hAnsi="Tahoma" w:cs="Tahoma"/>
                <w:bCs/>
                <w:iCs/>
                <w:sz w:val="20"/>
                <w:szCs w:val="20"/>
              </w:rPr>
              <w:t>Presentation of Infographic report "Energy of Ukraine" – October 30</w:t>
            </w:r>
          </w:p>
          <w:p w14:paraId="4002602B" w14:textId="77777777" w:rsidR="001F555D" w:rsidRDefault="001F555D" w:rsidP="001F555D">
            <w:pPr>
              <w:pStyle w:val="a3"/>
              <w:ind w:left="0"/>
              <w:jc w:val="center"/>
              <w:rPr>
                <w:rFonts w:ascii="Tahoma" w:hAnsi="Tahoma" w:cs="Tahoma"/>
                <w:b/>
                <w:color w:val="1E293F" w:themeColor="text2" w:themeShade="80"/>
                <w:sz w:val="20"/>
                <w:szCs w:val="20"/>
              </w:rPr>
            </w:pPr>
          </w:p>
        </w:tc>
      </w:tr>
      <w:tr w:rsidR="001F555D" w:rsidRPr="008C206F" w14:paraId="4FE56F3D" w14:textId="77777777" w:rsidTr="00F0158E">
        <w:trPr>
          <w:trHeight w:val="1133"/>
        </w:trPr>
        <w:tc>
          <w:tcPr>
            <w:tcW w:w="3461" w:type="dxa"/>
          </w:tcPr>
          <w:p w14:paraId="7F164883" w14:textId="77777777" w:rsidR="001F555D" w:rsidRDefault="001F555D" w:rsidP="001F555D">
            <w:pPr>
              <w:pStyle w:val="a3"/>
              <w:ind w:left="0"/>
              <w:jc w:val="center"/>
              <w:rPr>
                <w:rFonts w:ascii="Tahoma" w:eastAsia="Calibri" w:hAnsi="Tahoma" w:cs="Tahoma"/>
                <w:bCs/>
                <w:iCs/>
                <w:sz w:val="20"/>
                <w:szCs w:val="20"/>
              </w:rPr>
            </w:pPr>
          </w:p>
          <w:p w14:paraId="567B3BD4" w14:textId="77777777" w:rsidR="001F555D" w:rsidRPr="009754E9" w:rsidRDefault="001F555D" w:rsidP="001F555D">
            <w:pPr>
              <w:pStyle w:val="a3"/>
              <w:ind w:left="0"/>
              <w:jc w:val="center"/>
              <w:rPr>
                <w:rFonts w:ascii="Tahoma" w:eastAsia="Calibri" w:hAnsi="Tahoma" w:cs="Tahoma"/>
                <w:bCs/>
                <w:iCs/>
                <w:sz w:val="20"/>
                <w:szCs w:val="20"/>
              </w:rPr>
            </w:pPr>
            <w:r w:rsidRPr="009754E9">
              <w:rPr>
                <w:rFonts w:ascii="Tahoma" w:eastAsia="Calibri" w:hAnsi="Tahoma" w:cs="Tahoma"/>
                <w:bCs/>
                <w:iCs/>
                <w:sz w:val="20"/>
                <w:szCs w:val="20"/>
              </w:rPr>
              <w:t xml:space="preserve">Meeting with </w:t>
            </w:r>
            <w:proofErr w:type="spellStart"/>
            <w:r w:rsidRPr="000570A5">
              <w:rPr>
                <w:rFonts w:ascii="Tahoma" w:eastAsia="Calibri" w:hAnsi="Tahoma" w:cs="Tahoma"/>
                <w:b/>
                <w:bCs/>
                <w:iCs/>
                <w:sz w:val="20"/>
                <w:szCs w:val="20"/>
              </w:rPr>
              <w:t>Yuriy</w:t>
            </w:r>
            <w:proofErr w:type="spellEnd"/>
            <w:r w:rsidRPr="000570A5">
              <w:rPr>
                <w:rFonts w:ascii="Tahoma" w:eastAsia="Calibri" w:hAnsi="Tahoma" w:cs="Tahoma"/>
                <w:b/>
                <w:bCs/>
                <w:iCs/>
                <w:sz w:val="20"/>
                <w:szCs w:val="20"/>
              </w:rPr>
              <w:t xml:space="preserve"> </w:t>
            </w:r>
            <w:proofErr w:type="spellStart"/>
            <w:r w:rsidRPr="000570A5">
              <w:rPr>
                <w:rFonts w:ascii="Tahoma" w:eastAsia="Calibri" w:hAnsi="Tahoma" w:cs="Tahoma"/>
                <w:b/>
                <w:bCs/>
                <w:iCs/>
                <w:sz w:val="20"/>
                <w:szCs w:val="20"/>
              </w:rPr>
              <w:t>Hnatiuk</w:t>
            </w:r>
            <w:proofErr w:type="spellEnd"/>
            <w:r w:rsidRPr="009754E9">
              <w:rPr>
                <w:rFonts w:ascii="Tahoma" w:eastAsia="Calibri" w:hAnsi="Tahoma" w:cs="Tahoma"/>
                <w:bCs/>
                <w:iCs/>
                <w:sz w:val="20"/>
                <w:szCs w:val="20"/>
              </w:rPr>
              <w:t>, Director of SE "</w:t>
            </w:r>
            <w:proofErr w:type="spellStart"/>
            <w:r w:rsidRPr="009754E9">
              <w:rPr>
                <w:rFonts w:ascii="Tahoma" w:eastAsia="Calibri" w:hAnsi="Tahoma" w:cs="Tahoma"/>
                <w:bCs/>
                <w:iCs/>
                <w:sz w:val="20"/>
                <w:szCs w:val="20"/>
              </w:rPr>
              <w:t>Energorynok</w:t>
            </w:r>
            <w:proofErr w:type="spellEnd"/>
            <w:r w:rsidRPr="009754E9">
              <w:rPr>
                <w:rFonts w:ascii="Tahoma" w:eastAsia="Calibri" w:hAnsi="Tahoma" w:cs="Tahoma"/>
                <w:bCs/>
                <w:iCs/>
                <w:sz w:val="20"/>
                <w:szCs w:val="20"/>
              </w:rPr>
              <w:t>"– October 25</w:t>
            </w:r>
          </w:p>
          <w:p w14:paraId="25855FB7" w14:textId="1E5C5F5D" w:rsidR="001F555D" w:rsidRPr="009754E9" w:rsidRDefault="001F555D" w:rsidP="001F555D">
            <w:pPr>
              <w:pStyle w:val="a3"/>
              <w:ind w:left="0"/>
              <w:jc w:val="center"/>
              <w:rPr>
                <w:rFonts w:ascii="Tahoma" w:hAnsi="Tahoma" w:cs="Tahoma"/>
                <w:b/>
                <w:color w:val="181818" w:themeColor="background2" w:themeShade="1A"/>
                <w:sz w:val="20"/>
                <w:szCs w:val="20"/>
              </w:rPr>
            </w:pPr>
          </w:p>
        </w:tc>
        <w:tc>
          <w:tcPr>
            <w:tcW w:w="3685" w:type="dxa"/>
            <w:shd w:val="clear" w:color="auto" w:fill="D9D9D9" w:themeFill="background1" w:themeFillShade="D9"/>
            <w:vAlign w:val="center"/>
          </w:tcPr>
          <w:p w14:paraId="08B5C8A6" w14:textId="0E2EB5E0" w:rsidR="001F555D" w:rsidRPr="002E0DED" w:rsidRDefault="001F555D" w:rsidP="001F555D">
            <w:pPr>
              <w:pStyle w:val="a3"/>
              <w:ind w:left="0"/>
              <w:jc w:val="center"/>
              <w:rPr>
                <w:rFonts w:ascii="Tahoma" w:hAnsi="Tahoma" w:cs="Tahoma"/>
                <w:color w:val="1E293F" w:themeColor="text2" w:themeShade="80"/>
                <w:sz w:val="20"/>
                <w:szCs w:val="20"/>
              </w:rPr>
            </w:pPr>
            <w:r w:rsidRPr="002E0DED">
              <w:rPr>
                <w:rFonts w:ascii="Tahoma" w:hAnsi="Tahoma" w:cs="Tahoma"/>
                <w:sz w:val="20"/>
                <w:szCs w:val="20"/>
              </w:rPr>
              <w:t>Kick-Off Meeting of the Working Group on Electricity Issues</w:t>
            </w:r>
            <w:r>
              <w:rPr>
                <w:rFonts w:ascii="Tahoma" w:hAnsi="Tahoma" w:cs="Tahoma"/>
                <w:sz w:val="20"/>
                <w:szCs w:val="20"/>
              </w:rPr>
              <w:t xml:space="preserve"> – December 13, 2017</w:t>
            </w:r>
          </w:p>
        </w:tc>
        <w:tc>
          <w:tcPr>
            <w:tcW w:w="3294" w:type="dxa"/>
          </w:tcPr>
          <w:p w14:paraId="40DF41A0" w14:textId="4F03124D" w:rsidR="001F555D" w:rsidRPr="00F0158E" w:rsidRDefault="001F555D" w:rsidP="001F555D">
            <w:pPr>
              <w:pStyle w:val="a3"/>
              <w:ind w:left="0"/>
              <w:jc w:val="center"/>
              <w:rPr>
                <w:rFonts w:ascii="Tahoma" w:hAnsi="Tahoma" w:cs="Tahoma"/>
                <w:color w:val="1E293F" w:themeColor="text2" w:themeShade="80"/>
                <w:sz w:val="20"/>
                <w:szCs w:val="20"/>
              </w:rPr>
            </w:pPr>
            <w:r w:rsidRPr="00F0158E">
              <w:rPr>
                <w:rFonts w:ascii="Tahoma" w:hAnsi="Tahoma" w:cs="Tahoma"/>
                <w:color w:val="1E293F" w:themeColor="text2" w:themeShade="80"/>
                <w:sz w:val="20"/>
                <w:szCs w:val="20"/>
              </w:rPr>
              <w:t xml:space="preserve">Presentation of the Third Edition of the Chamber </w:t>
            </w:r>
            <w:r w:rsidRPr="00F0158E">
              <w:rPr>
                <w:rFonts w:ascii="Tahoma" w:hAnsi="Tahoma" w:cs="Tahoma"/>
                <w:b/>
                <w:color w:val="1E293F" w:themeColor="text2" w:themeShade="80"/>
                <w:sz w:val="20"/>
                <w:szCs w:val="20"/>
              </w:rPr>
              <w:t>White Paper on Oil &amp; Gas Reforms in Ukraine</w:t>
            </w:r>
            <w:r w:rsidRPr="00F0158E">
              <w:rPr>
                <w:rFonts w:ascii="Tahoma" w:hAnsi="Tahoma" w:cs="Tahoma"/>
                <w:color w:val="1E293F" w:themeColor="text2" w:themeShade="80"/>
                <w:sz w:val="20"/>
                <w:szCs w:val="20"/>
              </w:rPr>
              <w:t xml:space="preserve"> – December 4, 2017</w:t>
            </w:r>
          </w:p>
        </w:tc>
      </w:tr>
      <w:tr w:rsidR="00F0158E" w:rsidRPr="008C206F" w14:paraId="61EC684E" w14:textId="77777777" w:rsidTr="00F0158E">
        <w:trPr>
          <w:trHeight w:val="1133"/>
        </w:trPr>
        <w:tc>
          <w:tcPr>
            <w:tcW w:w="3461" w:type="dxa"/>
          </w:tcPr>
          <w:p w14:paraId="2B309D55" w14:textId="77777777" w:rsidR="00F0158E" w:rsidRPr="009754E9" w:rsidRDefault="00F0158E" w:rsidP="00F0158E">
            <w:pPr>
              <w:pStyle w:val="a3"/>
              <w:ind w:left="0"/>
              <w:jc w:val="center"/>
              <w:rPr>
                <w:rFonts w:ascii="Tahoma" w:hAnsi="Tahoma" w:cs="Tahoma"/>
                <w:b/>
                <w:color w:val="181818" w:themeColor="background2" w:themeShade="1A"/>
                <w:sz w:val="20"/>
                <w:szCs w:val="20"/>
              </w:rPr>
            </w:pPr>
          </w:p>
        </w:tc>
        <w:tc>
          <w:tcPr>
            <w:tcW w:w="3685" w:type="dxa"/>
            <w:shd w:val="clear" w:color="auto" w:fill="D9D9D9" w:themeFill="background1" w:themeFillShade="D9"/>
            <w:vAlign w:val="center"/>
          </w:tcPr>
          <w:p w14:paraId="031094C8" w14:textId="4D761D70" w:rsidR="00F0158E" w:rsidRPr="00860E30" w:rsidRDefault="00F0158E" w:rsidP="00F0158E">
            <w:pPr>
              <w:pStyle w:val="a3"/>
              <w:ind w:left="0"/>
              <w:jc w:val="center"/>
              <w:rPr>
                <w:rFonts w:ascii="Tahoma" w:hAnsi="Tahoma" w:cs="Tahoma"/>
                <w:sz w:val="20"/>
                <w:szCs w:val="20"/>
              </w:rPr>
            </w:pPr>
            <w:r>
              <w:rPr>
                <w:rFonts w:ascii="Tahoma" w:hAnsi="Tahoma" w:cs="Tahoma"/>
                <w:sz w:val="20"/>
                <w:szCs w:val="20"/>
              </w:rPr>
              <w:t xml:space="preserve">Participating in working sessions of the Project Office under the CMU Coordination Center on Implementation of the Law “On Electricity Market” </w:t>
            </w:r>
          </w:p>
        </w:tc>
        <w:tc>
          <w:tcPr>
            <w:tcW w:w="3294" w:type="dxa"/>
          </w:tcPr>
          <w:p w14:paraId="2E287A66" w14:textId="1D4DAD88" w:rsidR="00F0158E" w:rsidRPr="00F0158E" w:rsidRDefault="00F0158E" w:rsidP="00F0158E">
            <w:pPr>
              <w:pStyle w:val="a3"/>
              <w:ind w:left="0"/>
              <w:jc w:val="center"/>
              <w:rPr>
                <w:rFonts w:ascii="Tahoma" w:hAnsi="Tahoma" w:cs="Tahoma"/>
                <w:color w:val="1E293F" w:themeColor="text2" w:themeShade="80"/>
                <w:sz w:val="20"/>
                <w:szCs w:val="20"/>
              </w:rPr>
            </w:pPr>
            <w:r w:rsidRPr="00F0158E">
              <w:rPr>
                <w:rFonts w:ascii="Tahoma" w:hAnsi="Tahoma" w:cs="Tahoma"/>
                <w:color w:val="1E293F" w:themeColor="text2" w:themeShade="80"/>
                <w:sz w:val="20"/>
                <w:szCs w:val="20"/>
              </w:rPr>
              <w:t>Energy Strategy Conference – December 21, 2017</w:t>
            </w:r>
          </w:p>
        </w:tc>
      </w:tr>
      <w:tr w:rsidR="00F0158E" w:rsidRPr="008C206F" w14:paraId="41BBC48F" w14:textId="77777777" w:rsidTr="006F1E13">
        <w:trPr>
          <w:trHeight w:val="1133"/>
        </w:trPr>
        <w:tc>
          <w:tcPr>
            <w:tcW w:w="3461" w:type="dxa"/>
          </w:tcPr>
          <w:p w14:paraId="1EE1A4F1" w14:textId="77777777" w:rsidR="00F0158E" w:rsidRPr="009754E9" w:rsidRDefault="00F0158E" w:rsidP="00F0158E">
            <w:pPr>
              <w:pStyle w:val="a3"/>
              <w:ind w:left="0"/>
              <w:jc w:val="center"/>
              <w:rPr>
                <w:rFonts w:ascii="Tahoma" w:hAnsi="Tahoma" w:cs="Tahoma"/>
                <w:b/>
                <w:color w:val="181818" w:themeColor="background2" w:themeShade="1A"/>
                <w:sz w:val="20"/>
                <w:szCs w:val="20"/>
              </w:rPr>
            </w:pPr>
          </w:p>
        </w:tc>
        <w:tc>
          <w:tcPr>
            <w:tcW w:w="3685" w:type="dxa"/>
            <w:shd w:val="clear" w:color="auto" w:fill="D9D9D9" w:themeFill="background1" w:themeFillShade="D9"/>
            <w:vAlign w:val="center"/>
          </w:tcPr>
          <w:p w14:paraId="51816387" w14:textId="1A7E81CE" w:rsidR="00F0158E" w:rsidRPr="00860E30" w:rsidRDefault="00F0158E" w:rsidP="00F0158E">
            <w:pPr>
              <w:pStyle w:val="a3"/>
              <w:ind w:left="0"/>
              <w:jc w:val="center"/>
              <w:rPr>
                <w:rFonts w:ascii="Tahoma" w:hAnsi="Tahoma" w:cs="Tahoma"/>
                <w:sz w:val="20"/>
                <w:szCs w:val="20"/>
              </w:rPr>
            </w:pPr>
            <w:r>
              <w:rPr>
                <w:rFonts w:ascii="Tahoma" w:hAnsi="Tahoma" w:cs="Tahoma"/>
                <w:sz w:val="20"/>
                <w:szCs w:val="20"/>
              </w:rPr>
              <w:t>Energy Committee Meeting regarding discussion of the Committee’s draft Priorities for 2018 – February 2, 2018</w:t>
            </w:r>
          </w:p>
        </w:tc>
        <w:tc>
          <w:tcPr>
            <w:tcW w:w="3294" w:type="dxa"/>
          </w:tcPr>
          <w:p w14:paraId="6BD411CD" w14:textId="77777777" w:rsidR="00F0158E" w:rsidRDefault="00F0158E" w:rsidP="00F0158E">
            <w:pPr>
              <w:pStyle w:val="a3"/>
              <w:ind w:left="0"/>
              <w:jc w:val="center"/>
              <w:rPr>
                <w:rFonts w:ascii="Tahoma" w:hAnsi="Tahoma" w:cs="Tahoma"/>
                <w:b/>
                <w:color w:val="1E293F" w:themeColor="text2" w:themeShade="80"/>
                <w:sz w:val="20"/>
                <w:szCs w:val="20"/>
              </w:rPr>
            </w:pPr>
          </w:p>
        </w:tc>
      </w:tr>
      <w:tr w:rsidR="00F0158E" w:rsidRPr="008C206F" w14:paraId="4A5446C2" w14:textId="77777777" w:rsidTr="006F1E13">
        <w:trPr>
          <w:trHeight w:val="1133"/>
        </w:trPr>
        <w:tc>
          <w:tcPr>
            <w:tcW w:w="3461" w:type="dxa"/>
          </w:tcPr>
          <w:p w14:paraId="43A20BE4" w14:textId="77777777" w:rsidR="00F0158E" w:rsidRPr="009754E9" w:rsidRDefault="00F0158E" w:rsidP="00F0158E">
            <w:pPr>
              <w:pStyle w:val="a3"/>
              <w:ind w:left="0"/>
              <w:jc w:val="center"/>
              <w:rPr>
                <w:rFonts w:ascii="Tahoma" w:hAnsi="Tahoma" w:cs="Tahoma"/>
                <w:b/>
                <w:color w:val="181818" w:themeColor="background2" w:themeShade="1A"/>
                <w:sz w:val="20"/>
                <w:szCs w:val="20"/>
              </w:rPr>
            </w:pPr>
          </w:p>
        </w:tc>
        <w:tc>
          <w:tcPr>
            <w:tcW w:w="3685" w:type="dxa"/>
            <w:shd w:val="clear" w:color="auto" w:fill="D9D9D9" w:themeFill="background1" w:themeFillShade="D9"/>
            <w:vAlign w:val="center"/>
          </w:tcPr>
          <w:p w14:paraId="3AAEFD13" w14:textId="02467576" w:rsidR="00F0158E" w:rsidRPr="00860E30" w:rsidRDefault="00F0158E" w:rsidP="00F0158E">
            <w:pPr>
              <w:pStyle w:val="a3"/>
              <w:ind w:left="0"/>
              <w:jc w:val="center"/>
              <w:rPr>
                <w:rFonts w:ascii="Tahoma" w:hAnsi="Tahoma" w:cs="Tahoma"/>
                <w:sz w:val="20"/>
                <w:szCs w:val="20"/>
              </w:rPr>
            </w:pPr>
            <w:r w:rsidRPr="001F555D">
              <w:rPr>
                <w:rFonts w:ascii="Tahoma" w:hAnsi="Tahoma" w:cs="Tahoma"/>
                <w:sz w:val="20"/>
                <w:szCs w:val="20"/>
              </w:rPr>
              <w:t>Meeting with EC experts for discussion of the draft new Subsoil Code – January – February 2018</w:t>
            </w:r>
          </w:p>
        </w:tc>
        <w:tc>
          <w:tcPr>
            <w:tcW w:w="3294" w:type="dxa"/>
          </w:tcPr>
          <w:p w14:paraId="662F942C" w14:textId="77777777" w:rsidR="00F0158E" w:rsidRDefault="00F0158E" w:rsidP="00F0158E">
            <w:pPr>
              <w:pStyle w:val="a3"/>
              <w:ind w:left="0"/>
              <w:jc w:val="center"/>
              <w:rPr>
                <w:rFonts w:ascii="Tahoma" w:hAnsi="Tahoma" w:cs="Tahoma"/>
                <w:b/>
                <w:color w:val="1E293F" w:themeColor="text2" w:themeShade="80"/>
                <w:sz w:val="20"/>
                <w:szCs w:val="20"/>
              </w:rPr>
            </w:pPr>
          </w:p>
        </w:tc>
      </w:tr>
    </w:tbl>
    <w:p w14:paraId="77F1640E" w14:textId="07BBCF7C" w:rsidR="003F4B7B" w:rsidRDefault="003F4B7B" w:rsidP="00A4476D">
      <w:pPr>
        <w:jc w:val="center"/>
      </w:pPr>
    </w:p>
    <w:tbl>
      <w:tblPr>
        <w:tblStyle w:val="TableGrid1"/>
        <w:tblpPr w:leftFromText="180" w:rightFromText="180" w:horzAnchor="margin" w:tblpXSpec="center" w:tblpY="-11025"/>
        <w:tblW w:w="10440" w:type="dxa"/>
        <w:tblBorders>
          <w:top w:val="single" w:sz="4" w:space="0" w:color="7A7A7A" w:themeColor="background2" w:themeShade="80"/>
          <w:left w:val="single" w:sz="4" w:space="0" w:color="7A7A7A" w:themeColor="background2" w:themeShade="80"/>
          <w:bottom w:val="single" w:sz="4" w:space="0" w:color="7A7A7A" w:themeColor="background2" w:themeShade="80"/>
          <w:right w:val="single" w:sz="4" w:space="0" w:color="7A7A7A" w:themeColor="background2" w:themeShade="80"/>
          <w:insideH w:val="single" w:sz="4" w:space="0" w:color="7A7A7A" w:themeColor="background2" w:themeShade="80"/>
          <w:insideV w:val="single" w:sz="4" w:space="0" w:color="7A7A7A" w:themeColor="background2" w:themeShade="80"/>
        </w:tblBorders>
        <w:tblLayout w:type="fixed"/>
        <w:tblLook w:val="04A0" w:firstRow="1" w:lastRow="0" w:firstColumn="1" w:lastColumn="0" w:noHBand="0" w:noVBand="1"/>
      </w:tblPr>
      <w:tblGrid>
        <w:gridCol w:w="10440"/>
      </w:tblGrid>
      <w:tr w:rsidR="000E7969" w:rsidRPr="00DD7900" w14:paraId="1A8CAA0A" w14:textId="77777777" w:rsidTr="0068522D">
        <w:tc>
          <w:tcPr>
            <w:tcW w:w="10440" w:type="dxa"/>
            <w:tcBorders>
              <w:top w:val="nil"/>
              <w:left w:val="nil"/>
              <w:bottom w:val="single" w:sz="18" w:space="0" w:color="C00000"/>
              <w:right w:val="nil"/>
            </w:tcBorders>
          </w:tcPr>
          <w:p w14:paraId="0B03605A" w14:textId="77777777" w:rsidR="00320F5C" w:rsidRDefault="00320F5C" w:rsidP="0068522D">
            <w:pPr>
              <w:pStyle w:val="a3"/>
              <w:ind w:left="0"/>
              <w:jc w:val="center"/>
              <w:rPr>
                <w:rFonts w:ascii="Tahoma" w:hAnsi="Tahoma" w:cs="Tahoma"/>
                <w:b/>
                <w:sz w:val="20"/>
                <w:szCs w:val="20"/>
              </w:rPr>
            </w:pPr>
          </w:p>
          <w:p w14:paraId="1D98B2FD" w14:textId="77777777" w:rsidR="0068522D" w:rsidRDefault="0068522D" w:rsidP="0068522D">
            <w:pPr>
              <w:pStyle w:val="a3"/>
              <w:ind w:left="0"/>
              <w:jc w:val="center"/>
              <w:rPr>
                <w:rFonts w:ascii="Tahoma" w:hAnsi="Tahoma" w:cs="Tahoma"/>
                <w:b/>
                <w:sz w:val="20"/>
                <w:szCs w:val="20"/>
              </w:rPr>
            </w:pPr>
          </w:p>
          <w:p w14:paraId="4B199916" w14:textId="77777777" w:rsidR="0068522D" w:rsidRDefault="0068522D" w:rsidP="0068522D">
            <w:pPr>
              <w:pStyle w:val="a3"/>
              <w:ind w:left="0"/>
              <w:jc w:val="center"/>
              <w:rPr>
                <w:rFonts w:ascii="Tahoma" w:hAnsi="Tahoma" w:cs="Tahoma"/>
                <w:b/>
                <w:sz w:val="20"/>
                <w:szCs w:val="20"/>
              </w:rPr>
            </w:pPr>
          </w:p>
          <w:p w14:paraId="5AA762C3" w14:textId="77777777" w:rsidR="0068522D" w:rsidRDefault="0068522D" w:rsidP="0068522D">
            <w:pPr>
              <w:pStyle w:val="a3"/>
              <w:ind w:left="0"/>
              <w:jc w:val="center"/>
              <w:rPr>
                <w:rFonts w:ascii="Tahoma" w:hAnsi="Tahoma" w:cs="Tahoma"/>
                <w:b/>
                <w:sz w:val="20"/>
                <w:szCs w:val="20"/>
              </w:rPr>
            </w:pPr>
          </w:p>
          <w:p w14:paraId="1B620D07" w14:textId="77777777" w:rsidR="0068522D" w:rsidRDefault="0068522D" w:rsidP="0068522D">
            <w:pPr>
              <w:pStyle w:val="a3"/>
              <w:ind w:left="0"/>
              <w:jc w:val="center"/>
              <w:rPr>
                <w:rFonts w:ascii="Tahoma" w:hAnsi="Tahoma" w:cs="Tahoma"/>
                <w:b/>
                <w:sz w:val="20"/>
                <w:szCs w:val="20"/>
              </w:rPr>
            </w:pPr>
          </w:p>
          <w:p w14:paraId="0FA02C50" w14:textId="77777777" w:rsidR="0068522D" w:rsidRDefault="0068522D" w:rsidP="0068522D">
            <w:pPr>
              <w:pStyle w:val="a3"/>
              <w:ind w:left="0"/>
              <w:jc w:val="center"/>
              <w:rPr>
                <w:rFonts w:ascii="Tahoma" w:hAnsi="Tahoma" w:cs="Tahoma"/>
                <w:b/>
                <w:sz w:val="20"/>
                <w:szCs w:val="20"/>
              </w:rPr>
            </w:pPr>
          </w:p>
          <w:p w14:paraId="75726792" w14:textId="77777777" w:rsidR="0068522D" w:rsidRDefault="0068522D" w:rsidP="0068522D">
            <w:pPr>
              <w:pStyle w:val="a3"/>
              <w:ind w:left="0"/>
              <w:jc w:val="center"/>
              <w:rPr>
                <w:rFonts w:ascii="Tahoma" w:hAnsi="Tahoma" w:cs="Tahoma"/>
                <w:b/>
                <w:sz w:val="20"/>
                <w:szCs w:val="20"/>
              </w:rPr>
            </w:pPr>
          </w:p>
          <w:p w14:paraId="7A2176D4" w14:textId="77777777" w:rsidR="0068522D" w:rsidRDefault="0068522D" w:rsidP="0068522D">
            <w:pPr>
              <w:pStyle w:val="a3"/>
              <w:ind w:left="0"/>
              <w:jc w:val="center"/>
              <w:rPr>
                <w:rFonts w:ascii="Tahoma" w:hAnsi="Tahoma" w:cs="Tahoma"/>
                <w:b/>
                <w:sz w:val="20"/>
                <w:szCs w:val="20"/>
              </w:rPr>
            </w:pPr>
            <w:r>
              <w:rPr>
                <w:rFonts w:ascii="Tahoma" w:hAnsi="Tahoma" w:cs="Tahoma"/>
                <w:b/>
                <w:sz w:val="20"/>
                <w:szCs w:val="20"/>
              </w:rPr>
              <w:t>Activities:</w:t>
            </w:r>
          </w:p>
          <w:p w14:paraId="7E5B95BF" w14:textId="799F94EE" w:rsidR="0068522D" w:rsidRPr="00DD7900" w:rsidRDefault="0068522D" w:rsidP="0068522D">
            <w:pPr>
              <w:pStyle w:val="a3"/>
              <w:ind w:left="0"/>
              <w:jc w:val="center"/>
              <w:rPr>
                <w:rFonts w:ascii="Tahoma" w:hAnsi="Tahoma" w:cs="Tahoma"/>
                <w:b/>
                <w:sz w:val="20"/>
                <w:szCs w:val="20"/>
              </w:rPr>
            </w:pPr>
          </w:p>
        </w:tc>
      </w:tr>
      <w:tr w:rsidR="00320F5C" w:rsidRPr="008C206F" w14:paraId="136B7D16" w14:textId="77777777" w:rsidTr="0068522D">
        <w:tc>
          <w:tcPr>
            <w:tcW w:w="10440" w:type="dxa"/>
            <w:tcBorders>
              <w:top w:val="single" w:sz="18" w:space="0" w:color="C00000"/>
              <w:left w:val="single" w:sz="18" w:space="0" w:color="C00000"/>
              <w:bottom w:val="single" w:sz="18" w:space="0" w:color="C00000"/>
              <w:right w:val="single" w:sz="18" w:space="0" w:color="C00000"/>
            </w:tcBorders>
          </w:tcPr>
          <w:p w14:paraId="564E3E94" w14:textId="6CD76869" w:rsidR="0068522D" w:rsidRDefault="0057615B" w:rsidP="0068522D">
            <w:pPr>
              <w:pStyle w:val="a3"/>
              <w:ind w:left="1152"/>
              <w:contextualSpacing w:val="0"/>
              <w:rPr>
                <w:rFonts w:ascii="Tahoma" w:eastAsia="Calibri" w:hAnsi="Tahoma" w:cs="Tahoma"/>
                <w:b/>
                <w:bCs/>
                <w:iCs/>
                <w:sz w:val="20"/>
                <w:szCs w:val="20"/>
              </w:rPr>
            </w:pPr>
            <w:r>
              <w:rPr>
                <w:rFonts w:ascii="Tahoma" w:eastAsia="Calibri" w:hAnsi="Tahoma" w:cs="Tahoma"/>
                <w:b/>
                <w:bCs/>
                <w:iCs/>
                <w:sz w:val="20"/>
                <w:szCs w:val="20"/>
              </w:rPr>
              <w:t>Policy Achievements</w:t>
            </w:r>
            <w:r w:rsidR="0068522D" w:rsidRPr="009754E9">
              <w:rPr>
                <w:rFonts w:ascii="Tahoma" w:eastAsia="Calibri" w:hAnsi="Tahoma" w:cs="Tahoma"/>
                <w:b/>
                <w:bCs/>
                <w:iCs/>
                <w:sz w:val="20"/>
                <w:szCs w:val="20"/>
              </w:rPr>
              <w:t>:</w:t>
            </w:r>
            <w:r w:rsidR="0068522D">
              <w:rPr>
                <w:rFonts w:ascii="Tahoma" w:eastAsia="Calibri" w:hAnsi="Tahoma" w:cs="Tahoma"/>
                <w:b/>
                <w:bCs/>
                <w:iCs/>
                <w:sz w:val="20"/>
                <w:szCs w:val="20"/>
              </w:rPr>
              <w:t xml:space="preserve"> </w:t>
            </w:r>
            <w:r w:rsidR="001F555D">
              <w:rPr>
                <w:rFonts w:ascii="Tahoma" w:eastAsia="Calibri" w:hAnsi="Tahoma" w:cs="Tahoma"/>
                <w:b/>
                <w:bCs/>
                <w:iCs/>
                <w:sz w:val="20"/>
                <w:szCs w:val="20"/>
              </w:rPr>
              <w:t>7</w:t>
            </w:r>
            <w:bookmarkStart w:id="0" w:name="_GoBack"/>
            <w:bookmarkEnd w:id="0"/>
          </w:p>
          <w:p w14:paraId="55568DFB" w14:textId="3CDC5BA1" w:rsidR="0057615B" w:rsidRDefault="0057615B" w:rsidP="0068522D">
            <w:pPr>
              <w:pStyle w:val="a3"/>
              <w:numPr>
                <w:ilvl w:val="0"/>
                <w:numId w:val="25"/>
              </w:numPr>
              <w:ind w:left="1170" w:hanging="270"/>
              <w:contextualSpacing w:val="0"/>
              <w:jc w:val="both"/>
              <w:rPr>
                <w:rFonts w:ascii="Tahoma" w:eastAsia="Calibri" w:hAnsi="Tahoma" w:cs="Tahoma"/>
                <w:bCs/>
                <w:iCs/>
                <w:sz w:val="20"/>
                <w:szCs w:val="20"/>
              </w:rPr>
            </w:pPr>
            <w:r w:rsidRPr="008D51BF">
              <w:rPr>
                <w:rFonts w:ascii="Tahoma" w:eastAsia="Calibri" w:hAnsi="Tahoma" w:cs="Tahoma"/>
                <w:bCs/>
                <w:iCs/>
                <w:sz w:val="20"/>
                <w:szCs w:val="20"/>
              </w:rPr>
              <w:t>Policy Win</w:t>
            </w:r>
            <w:r>
              <w:rPr>
                <w:rFonts w:ascii="Tahoma" w:eastAsia="Calibri" w:hAnsi="Tahoma" w:cs="Tahoma"/>
                <w:bCs/>
                <w:iCs/>
                <w:sz w:val="20"/>
                <w:szCs w:val="20"/>
              </w:rPr>
              <w:t xml:space="preserve">: the Law on Royalty Rates Decentralization was signed by the President of Ukraine; </w:t>
            </w:r>
          </w:p>
          <w:p w14:paraId="12C3A270" w14:textId="6CB3F88A" w:rsidR="0068522D"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8D51BF">
              <w:rPr>
                <w:rFonts w:ascii="Tahoma" w:eastAsia="Calibri" w:hAnsi="Tahoma" w:cs="Tahoma"/>
                <w:bCs/>
                <w:iCs/>
                <w:sz w:val="20"/>
                <w:szCs w:val="20"/>
              </w:rPr>
              <w:t>Policy Win: President of Ukraine Signed the Law Establishing Legal Principles and Structure of the Electricity Market</w:t>
            </w:r>
            <w:r w:rsidR="0057615B">
              <w:rPr>
                <w:rFonts w:ascii="Tahoma" w:eastAsia="Calibri" w:hAnsi="Tahoma" w:cs="Tahoma"/>
                <w:bCs/>
                <w:iCs/>
                <w:sz w:val="20"/>
                <w:szCs w:val="20"/>
              </w:rPr>
              <w:t>;</w:t>
            </w:r>
          </w:p>
          <w:p w14:paraId="4B3364E6" w14:textId="4F52CA28" w:rsidR="003024EB" w:rsidRDefault="003024EB" w:rsidP="003024EB">
            <w:pPr>
              <w:pStyle w:val="a3"/>
              <w:numPr>
                <w:ilvl w:val="0"/>
                <w:numId w:val="25"/>
              </w:numPr>
              <w:ind w:left="1170" w:hanging="270"/>
              <w:contextualSpacing w:val="0"/>
              <w:jc w:val="both"/>
              <w:rPr>
                <w:rFonts w:ascii="Tahoma" w:eastAsia="Calibri" w:hAnsi="Tahoma" w:cs="Tahoma"/>
                <w:bCs/>
                <w:iCs/>
                <w:sz w:val="20"/>
                <w:szCs w:val="20"/>
              </w:rPr>
            </w:pPr>
            <w:r w:rsidRPr="008D51BF">
              <w:rPr>
                <w:rFonts w:ascii="Tahoma" w:eastAsia="Calibri" w:hAnsi="Tahoma" w:cs="Tahoma"/>
                <w:bCs/>
                <w:iCs/>
                <w:sz w:val="20"/>
                <w:szCs w:val="20"/>
              </w:rPr>
              <w:t>Policy Win: Ministry of Ecology and Natural Resources adopted final text of the Rules improving national regulatory regime of the development of oil &amp; gas deposits</w:t>
            </w:r>
            <w:r w:rsidR="0057615B">
              <w:rPr>
                <w:rFonts w:ascii="Tahoma" w:eastAsia="Calibri" w:hAnsi="Tahoma" w:cs="Tahoma"/>
                <w:bCs/>
                <w:iCs/>
                <w:sz w:val="20"/>
                <w:szCs w:val="20"/>
              </w:rPr>
              <w:t>;</w:t>
            </w:r>
          </w:p>
          <w:p w14:paraId="3657038E" w14:textId="7D017B19" w:rsidR="0057615B" w:rsidRDefault="0057615B" w:rsidP="003024EB">
            <w:pPr>
              <w:pStyle w:val="a3"/>
              <w:numPr>
                <w:ilvl w:val="0"/>
                <w:numId w:val="25"/>
              </w:numPr>
              <w:ind w:left="1170" w:hanging="270"/>
              <w:contextualSpacing w:val="0"/>
              <w:jc w:val="both"/>
              <w:rPr>
                <w:rFonts w:ascii="Tahoma" w:eastAsia="Calibri" w:hAnsi="Tahoma" w:cs="Tahoma"/>
                <w:bCs/>
                <w:iCs/>
                <w:sz w:val="20"/>
                <w:szCs w:val="20"/>
              </w:rPr>
            </w:pPr>
            <w:r>
              <w:rPr>
                <w:rFonts w:ascii="Tahoma" w:eastAsia="Calibri" w:hAnsi="Tahoma" w:cs="Tahoma"/>
                <w:bCs/>
                <w:iCs/>
                <w:sz w:val="20"/>
                <w:szCs w:val="20"/>
              </w:rPr>
              <w:t>Policy Win: Amendments to PPA Template for Renewable Electricity entered into force;</w:t>
            </w:r>
          </w:p>
          <w:p w14:paraId="5446AC90" w14:textId="5101C482" w:rsidR="0057615B" w:rsidRDefault="0057615B" w:rsidP="0057615B">
            <w:pPr>
              <w:pStyle w:val="a3"/>
              <w:numPr>
                <w:ilvl w:val="0"/>
                <w:numId w:val="25"/>
              </w:numPr>
              <w:ind w:left="1170" w:hanging="270"/>
              <w:contextualSpacing w:val="0"/>
              <w:jc w:val="both"/>
              <w:rPr>
                <w:rFonts w:ascii="Tahoma" w:eastAsia="Calibri" w:hAnsi="Tahoma" w:cs="Tahoma"/>
                <w:bCs/>
                <w:iCs/>
                <w:sz w:val="20"/>
                <w:szCs w:val="20"/>
              </w:rPr>
            </w:pPr>
            <w:r w:rsidRPr="007F6373">
              <w:rPr>
                <w:rFonts w:ascii="Tahoma" w:eastAsia="Calibri" w:hAnsi="Tahoma" w:cs="Tahoma"/>
                <w:bCs/>
                <w:iCs/>
                <w:sz w:val="20"/>
                <w:szCs w:val="20"/>
              </w:rPr>
              <w:t xml:space="preserve">Policy Win: </w:t>
            </w:r>
            <w:r>
              <w:rPr>
                <w:rFonts w:ascii="Tahoma" w:eastAsia="Calibri" w:hAnsi="Tahoma" w:cs="Tahoma"/>
                <w:bCs/>
                <w:iCs/>
                <w:sz w:val="20"/>
                <w:szCs w:val="20"/>
              </w:rPr>
              <w:t>Parliament</w:t>
            </w:r>
            <w:r w:rsidRPr="007F6373">
              <w:rPr>
                <w:rFonts w:ascii="Tahoma" w:eastAsia="Calibri" w:hAnsi="Tahoma" w:cs="Tahoma"/>
                <w:bCs/>
                <w:iCs/>
                <w:sz w:val="20"/>
                <w:szCs w:val="20"/>
              </w:rPr>
              <w:t xml:space="preserve"> voted for the change of royalty rates for hydrocarbons production;</w:t>
            </w:r>
          </w:p>
          <w:p w14:paraId="5F06282D" w14:textId="77777777" w:rsidR="0068522D" w:rsidRPr="007F6373"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7F6373">
              <w:rPr>
                <w:rFonts w:ascii="Tahoma" w:eastAsia="Calibri" w:hAnsi="Tahoma" w:cs="Tahoma"/>
                <w:bCs/>
                <w:iCs/>
                <w:sz w:val="20"/>
                <w:szCs w:val="20"/>
              </w:rPr>
              <w:t>Policy Progress:  Parliament passed Draft Law #3096-d in the first reading simplifying the application of land legislation for the purposes of oil &amp; gas sector;</w:t>
            </w:r>
          </w:p>
          <w:p w14:paraId="0A403013" w14:textId="77777777" w:rsidR="0068522D"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7F6373">
              <w:rPr>
                <w:rFonts w:ascii="Tahoma" w:eastAsia="Calibri" w:hAnsi="Tahoma" w:cs="Tahoma"/>
                <w:bCs/>
                <w:iCs/>
                <w:sz w:val="20"/>
                <w:szCs w:val="20"/>
              </w:rPr>
              <w:t>Policy Progress: Government supported the cancellation of re-estimation of reserves of natural resources every 5 years.</w:t>
            </w:r>
          </w:p>
          <w:p w14:paraId="3FACAEDB" w14:textId="77777777" w:rsidR="0057615B" w:rsidRPr="007F6373" w:rsidRDefault="0057615B" w:rsidP="0057615B">
            <w:pPr>
              <w:pStyle w:val="a3"/>
              <w:ind w:left="1170"/>
              <w:contextualSpacing w:val="0"/>
              <w:jc w:val="both"/>
              <w:rPr>
                <w:rFonts w:ascii="Tahoma" w:eastAsia="Calibri" w:hAnsi="Tahoma" w:cs="Tahoma"/>
                <w:bCs/>
                <w:iCs/>
                <w:sz w:val="20"/>
                <w:szCs w:val="20"/>
              </w:rPr>
            </w:pPr>
          </w:p>
          <w:p w14:paraId="5B8107B1" w14:textId="124E4F17" w:rsidR="0068522D" w:rsidRPr="008D51BF" w:rsidRDefault="0057615B" w:rsidP="0068522D">
            <w:pPr>
              <w:pStyle w:val="a3"/>
              <w:ind w:left="1170"/>
              <w:jc w:val="both"/>
              <w:rPr>
                <w:rFonts w:ascii="Tahoma" w:eastAsia="Calibri" w:hAnsi="Tahoma" w:cs="Tahoma"/>
                <w:bCs/>
                <w:iCs/>
                <w:sz w:val="20"/>
                <w:szCs w:val="20"/>
              </w:rPr>
            </w:pPr>
            <w:r w:rsidRPr="009754E9">
              <w:rPr>
                <w:rFonts w:ascii="Tahoma" w:eastAsia="Calibri" w:hAnsi="Tahoma" w:cs="Tahoma"/>
                <w:b/>
                <w:bCs/>
                <w:iCs/>
                <w:sz w:val="20"/>
                <w:szCs w:val="20"/>
              </w:rPr>
              <w:t>Position Papers:</w:t>
            </w:r>
            <w:r w:rsidR="001F555D">
              <w:rPr>
                <w:rFonts w:ascii="Tahoma" w:eastAsia="Calibri" w:hAnsi="Tahoma" w:cs="Tahoma"/>
                <w:b/>
                <w:bCs/>
                <w:iCs/>
                <w:sz w:val="20"/>
                <w:szCs w:val="20"/>
              </w:rPr>
              <w:t xml:space="preserve"> 30</w:t>
            </w:r>
          </w:p>
          <w:p w14:paraId="0010F363" w14:textId="105D5EBE" w:rsidR="0068522D" w:rsidRPr="008D51BF"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8D51BF">
              <w:rPr>
                <w:rFonts w:ascii="Tahoma" w:eastAsia="Calibri" w:hAnsi="Tahoma" w:cs="Tahoma"/>
                <w:bCs/>
                <w:iCs/>
                <w:sz w:val="20"/>
                <w:szCs w:val="20"/>
              </w:rPr>
              <w:t xml:space="preserve">Position Paper on Revision of Tariffs for Access to Ukrainian GTS addressed to Dmytro </w:t>
            </w:r>
            <w:proofErr w:type="spellStart"/>
            <w:r w:rsidRPr="008D51BF">
              <w:rPr>
                <w:rFonts w:ascii="Tahoma" w:eastAsia="Calibri" w:hAnsi="Tahoma" w:cs="Tahoma"/>
                <w:bCs/>
                <w:iCs/>
                <w:sz w:val="20"/>
                <w:szCs w:val="20"/>
              </w:rPr>
              <w:t>Vovk</w:t>
            </w:r>
            <w:proofErr w:type="spellEnd"/>
            <w:r w:rsidRPr="008D51BF">
              <w:rPr>
                <w:rFonts w:ascii="Tahoma" w:eastAsia="Calibri" w:hAnsi="Tahoma" w:cs="Tahoma"/>
                <w:bCs/>
                <w:iCs/>
                <w:sz w:val="20"/>
                <w:szCs w:val="20"/>
              </w:rPr>
              <w:t>, Head of NERC</w:t>
            </w:r>
            <w:r w:rsidR="0057615B">
              <w:rPr>
                <w:rFonts w:ascii="Tahoma" w:eastAsia="Calibri" w:hAnsi="Tahoma" w:cs="Tahoma"/>
                <w:bCs/>
                <w:iCs/>
                <w:sz w:val="20"/>
                <w:szCs w:val="20"/>
              </w:rPr>
              <w:t>;</w:t>
            </w:r>
          </w:p>
          <w:p w14:paraId="2555C787" w14:textId="690860F5" w:rsidR="0068522D" w:rsidRPr="008D51BF"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8D51BF">
              <w:rPr>
                <w:rFonts w:ascii="Tahoma" w:eastAsia="Calibri" w:hAnsi="Tahoma" w:cs="Tahoma"/>
                <w:bCs/>
                <w:iCs/>
                <w:sz w:val="20"/>
                <w:szCs w:val="20"/>
              </w:rPr>
              <w:t>Position Paper on Necessity to Adopt New Rules for Development of Oil&amp;Gas Deposits addressed to Pavlo Petrenko, Minister for Justice of Ukraine</w:t>
            </w:r>
            <w:r w:rsidR="0057615B">
              <w:rPr>
                <w:rFonts w:ascii="Tahoma" w:eastAsia="Calibri" w:hAnsi="Tahoma" w:cs="Tahoma"/>
                <w:bCs/>
                <w:iCs/>
                <w:sz w:val="20"/>
                <w:szCs w:val="20"/>
              </w:rPr>
              <w:t>;</w:t>
            </w:r>
          </w:p>
          <w:p w14:paraId="66D4401D" w14:textId="017C9137" w:rsidR="0068522D" w:rsidRPr="008D51BF"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8D51BF">
              <w:rPr>
                <w:rFonts w:ascii="Tahoma" w:eastAsia="Calibri" w:hAnsi="Tahoma" w:cs="Tahoma"/>
                <w:bCs/>
                <w:iCs/>
                <w:sz w:val="20"/>
                <w:szCs w:val="20"/>
              </w:rPr>
              <w:t>Position Paper on Urgent Consideration of Project Documents for Development of Oil&amp;Gas Deposits by the Central Commission on Development of Gas, Gas Condensate, Oil Deposits addressed to Igor Nasalyk, Minister for Energy and Coal Industry of Ukraine</w:t>
            </w:r>
            <w:r w:rsidR="0057615B">
              <w:rPr>
                <w:rFonts w:ascii="Tahoma" w:eastAsia="Calibri" w:hAnsi="Tahoma" w:cs="Tahoma"/>
                <w:bCs/>
                <w:iCs/>
                <w:sz w:val="20"/>
                <w:szCs w:val="20"/>
              </w:rPr>
              <w:t>;</w:t>
            </w:r>
          </w:p>
          <w:p w14:paraId="77AC773E" w14:textId="22DBA846" w:rsidR="0068522D" w:rsidRPr="008D51BF"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8D51BF">
              <w:rPr>
                <w:rFonts w:ascii="Tahoma" w:eastAsia="Calibri" w:hAnsi="Tahoma" w:cs="Tahoma"/>
                <w:bCs/>
                <w:iCs/>
                <w:sz w:val="20"/>
                <w:szCs w:val="20"/>
              </w:rPr>
              <w:t>Position Paper on Meeting with Chamber Member Companies regarding Land Reforms for the Needs of Oil&amp;Gas Sector addressed to VRU Committee on Agricultural Policy and Land Relations</w:t>
            </w:r>
            <w:r w:rsidR="0057615B">
              <w:rPr>
                <w:rFonts w:ascii="Tahoma" w:eastAsia="Calibri" w:hAnsi="Tahoma" w:cs="Tahoma"/>
                <w:bCs/>
                <w:iCs/>
                <w:sz w:val="20"/>
                <w:szCs w:val="20"/>
              </w:rPr>
              <w:t>;</w:t>
            </w:r>
          </w:p>
          <w:p w14:paraId="2E677624" w14:textId="5FD34F3C" w:rsidR="0068522D" w:rsidRPr="008D51BF"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8D51BF">
              <w:rPr>
                <w:rFonts w:ascii="Tahoma" w:eastAsia="Calibri" w:hAnsi="Tahoma" w:cs="Tahoma"/>
                <w:bCs/>
                <w:iCs/>
                <w:sz w:val="20"/>
                <w:szCs w:val="20"/>
              </w:rPr>
              <w:t>Position Paper on Chamber Proposals to Amendments to Draft Law #6229 (“On Ensuring Transparency in Extractive Industries”) addressed to VRU Committee on Fuel and Energy Complex, Nuclear Policy and Nuclear Safety</w:t>
            </w:r>
            <w:r w:rsidR="0057615B">
              <w:rPr>
                <w:rFonts w:ascii="Tahoma" w:eastAsia="Calibri" w:hAnsi="Tahoma" w:cs="Tahoma"/>
                <w:bCs/>
                <w:iCs/>
                <w:sz w:val="20"/>
                <w:szCs w:val="20"/>
              </w:rPr>
              <w:t>;</w:t>
            </w:r>
          </w:p>
          <w:p w14:paraId="522C1D37" w14:textId="489392EA" w:rsidR="0068522D" w:rsidRPr="008D51BF"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8D51BF">
              <w:rPr>
                <w:rFonts w:ascii="Tahoma" w:eastAsia="Calibri" w:hAnsi="Tahoma" w:cs="Tahoma"/>
                <w:bCs/>
                <w:iCs/>
                <w:sz w:val="20"/>
                <w:szCs w:val="20"/>
              </w:rPr>
              <w:t xml:space="preserve">Position Paper on Support of Draft Law #6229 (“On Ensuring Transparency in Extractive Industries”) addressed to Andrii </w:t>
            </w:r>
            <w:proofErr w:type="spellStart"/>
            <w:r w:rsidRPr="008D51BF">
              <w:rPr>
                <w:rFonts w:ascii="Tahoma" w:eastAsia="Calibri" w:hAnsi="Tahoma" w:cs="Tahoma"/>
                <w:bCs/>
                <w:iCs/>
                <w:sz w:val="20"/>
                <w:szCs w:val="20"/>
              </w:rPr>
              <w:t>Parubyi</w:t>
            </w:r>
            <w:proofErr w:type="spellEnd"/>
            <w:r w:rsidRPr="008D51BF">
              <w:rPr>
                <w:rFonts w:ascii="Tahoma" w:eastAsia="Calibri" w:hAnsi="Tahoma" w:cs="Tahoma"/>
                <w:bCs/>
                <w:iCs/>
                <w:sz w:val="20"/>
                <w:szCs w:val="20"/>
              </w:rPr>
              <w:t>, Head of VRU</w:t>
            </w:r>
            <w:r w:rsidR="0057615B">
              <w:rPr>
                <w:rFonts w:ascii="Tahoma" w:eastAsia="Calibri" w:hAnsi="Tahoma" w:cs="Tahoma"/>
                <w:bCs/>
                <w:iCs/>
                <w:sz w:val="20"/>
                <w:szCs w:val="20"/>
              </w:rPr>
              <w:t>;</w:t>
            </w:r>
          </w:p>
          <w:p w14:paraId="0169B488" w14:textId="6078028F" w:rsidR="0068522D" w:rsidRPr="008D51BF"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8D51BF">
              <w:rPr>
                <w:rFonts w:ascii="Tahoma" w:eastAsia="Calibri" w:hAnsi="Tahoma" w:cs="Tahoma"/>
                <w:bCs/>
                <w:iCs/>
                <w:sz w:val="20"/>
                <w:szCs w:val="20"/>
              </w:rPr>
              <w:t>Position Paper on Chamber Proposals Regarding Problematic Aspects of Investors’ Activities in Energy Sector addressed to Natalia Boyko, Deputy Minister for Energy and Coal Industry of Ukraine</w:t>
            </w:r>
            <w:r w:rsidR="0057615B">
              <w:rPr>
                <w:rFonts w:ascii="Tahoma" w:eastAsia="Calibri" w:hAnsi="Tahoma" w:cs="Tahoma"/>
                <w:bCs/>
                <w:iCs/>
                <w:sz w:val="20"/>
                <w:szCs w:val="20"/>
              </w:rPr>
              <w:t>;</w:t>
            </w:r>
          </w:p>
          <w:p w14:paraId="4F3F67F3" w14:textId="770702D6" w:rsidR="0068522D"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8D51BF">
              <w:rPr>
                <w:rFonts w:ascii="Tahoma" w:eastAsia="Calibri" w:hAnsi="Tahoma" w:cs="Tahoma"/>
                <w:bCs/>
                <w:iCs/>
                <w:sz w:val="20"/>
                <w:szCs w:val="20"/>
              </w:rPr>
              <w:t xml:space="preserve">Position Paper on Support of Draft Law #3096-d (On Amendments of Some Legal Acts of Ukraine on Simplification of Some Aspects of Oil and Gas Sector) addressed to Andrii </w:t>
            </w:r>
            <w:proofErr w:type="spellStart"/>
            <w:r w:rsidRPr="008D51BF">
              <w:rPr>
                <w:rFonts w:ascii="Tahoma" w:eastAsia="Calibri" w:hAnsi="Tahoma" w:cs="Tahoma"/>
                <w:bCs/>
                <w:iCs/>
                <w:sz w:val="20"/>
                <w:szCs w:val="20"/>
              </w:rPr>
              <w:t>Parubyi</w:t>
            </w:r>
            <w:proofErr w:type="spellEnd"/>
            <w:r w:rsidRPr="008D51BF">
              <w:rPr>
                <w:rFonts w:ascii="Tahoma" w:eastAsia="Calibri" w:hAnsi="Tahoma" w:cs="Tahoma"/>
                <w:bCs/>
                <w:iCs/>
                <w:sz w:val="20"/>
                <w:szCs w:val="20"/>
              </w:rPr>
              <w:t>, Head of VRU</w:t>
            </w:r>
            <w:r w:rsidR="0057615B">
              <w:rPr>
                <w:rFonts w:ascii="Tahoma" w:eastAsia="Calibri" w:hAnsi="Tahoma" w:cs="Tahoma"/>
                <w:bCs/>
                <w:iCs/>
                <w:sz w:val="20"/>
                <w:szCs w:val="20"/>
              </w:rPr>
              <w:t>;</w:t>
            </w:r>
          </w:p>
          <w:p w14:paraId="2B5DE07F" w14:textId="6304B23E" w:rsidR="0068522D" w:rsidRPr="008D51BF"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8D51BF">
              <w:rPr>
                <w:rFonts w:ascii="Tahoma" w:eastAsia="Calibri" w:hAnsi="Tahoma" w:cs="Tahoma"/>
                <w:bCs/>
                <w:iCs/>
                <w:sz w:val="20"/>
                <w:szCs w:val="20"/>
              </w:rPr>
              <w:t>Position Paper on request for Participation in Working Group on Development of “Step 1 Action Plan” for New Energy Strategy till 2035</w:t>
            </w:r>
            <w:r w:rsidR="0057615B">
              <w:rPr>
                <w:rFonts w:ascii="Tahoma" w:eastAsia="Calibri" w:hAnsi="Tahoma" w:cs="Tahoma"/>
                <w:bCs/>
                <w:iCs/>
                <w:sz w:val="20"/>
                <w:szCs w:val="20"/>
              </w:rPr>
              <w:t>;</w:t>
            </w:r>
          </w:p>
          <w:p w14:paraId="4B7A2667" w14:textId="4636E0F2" w:rsidR="0068522D" w:rsidRPr="008D51BF"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8D51BF">
              <w:rPr>
                <w:rFonts w:ascii="Tahoma" w:eastAsia="Calibri" w:hAnsi="Tahoma" w:cs="Tahoma"/>
                <w:bCs/>
                <w:iCs/>
                <w:sz w:val="20"/>
                <w:szCs w:val="20"/>
              </w:rPr>
              <w:t>Position Paper on proposals regarding cancellation of a requirement for re-estimation of natural resources every 5 years (CMU Resolution #865 dated December 22, 1994)</w:t>
            </w:r>
            <w:r w:rsidR="0057615B">
              <w:rPr>
                <w:rFonts w:ascii="Tahoma" w:eastAsia="Calibri" w:hAnsi="Tahoma" w:cs="Tahoma"/>
                <w:bCs/>
                <w:iCs/>
                <w:sz w:val="20"/>
                <w:szCs w:val="20"/>
              </w:rPr>
              <w:t>;</w:t>
            </w:r>
            <w:r w:rsidRPr="008D51BF">
              <w:rPr>
                <w:rFonts w:ascii="Tahoma" w:eastAsia="Calibri" w:hAnsi="Tahoma" w:cs="Tahoma"/>
                <w:bCs/>
                <w:iCs/>
                <w:sz w:val="20"/>
                <w:szCs w:val="20"/>
              </w:rPr>
              <w:t xml:space="preserve"> </w:t>
            </w:r>
          </w:p>
          <w:p w14:paraId="28201516" w14:textId="42607762" w:rsidR="0068522D" w:rsidRPr="008D51BF"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8D51BF">
              <w:rPr>
                <w:rFonts w:ascii="Tahoma" w:eastAsia="Calibri" w:hAnsi="Tahoma" w:cs="Tahoma"/>
                <w:bCs/>
                <w:iCs/>
                <w:sz w:val="20"/>
                <w:szCs w:val="20"/>
              </w:rPr>
              <w:t>Position Paper on proposals for amendments to the newly adopted Law of Ukraine #2009 a-d “On Environment Impact Assessment”</w:t>
            </w:r>
            <w:r w:rsidR="0057615B">
              <w:rPr>
                <w:rFonts w:ascii="Tahoma" w:eastAsia="Calibri" w:hAnsi="Tahoma" w:cs="Tahoma"/>
                <w:bCs/>
                <w:iCs/>
                <w:sz w:val="20"/>
                <w:szCs w:val="20"/>
              </w:rPr>
              <w:t>;</w:t>
            </w:r>
          </w:p>
          <w:p w14:paraId="71D5B465" w14:textId="09D0D1C8" w:rsidR="0068522D" w:rsidRPr="008D51BF"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8D51BF">
              <w:rPr>
                <w:rFonts w:ascii="Tahoma" w:eastAsia="Calibri" w:hAnsi="Tahoma" w:cs="Tahoma"/>
                <w:bCs/>
                <w:iCs/>
                <w:sz w:val="20"/>
                <w:szCs w:val="20"/>
              </w:rPr>
              <w:t>Position Paper on proposals for amendments of some CMU Resolutions regarding subsoil use (regarding acquisition and realization of geological information, cancellation of payment for increase of mineral resources, decrease of amount of charge for extension of special permit’s validity, cancellation of requirement to monitor business activities for financing terrorism as a basis for refusal to grant special permits)</w:t>
            </w:r>
            <w:r w:rsidR="0057615B">
              <w:rPr>
                <w:rFonts w:ascii="Tahoma" w:eastAsia="Calibri" w:hAnsi="Tahoma" w:cs="Tahoma"/>
                <w:bCs/>
                <w:iCs/>
                <w:sz w:val="20"/>
                <w:szCs w:val="20"/>
              </w:rPr>
              <w:t>;</w:t>
            </w:r>
          </w:p>
          <w:p w14:paraId="2E768ADE" w14:textId="2B0C9DB4" w:rsidR="0068522D" w:rsidRPr="008D51BF"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8D51BF">
              <w:rPr>
                <w:rFonts w:ascii="Tahoma" w:eastAsia="Calibri" w:hAnsi="Tahoma" w:cs="Tahoma"/>
                <w:bCs/>
                <w:iCs/>
                <w:sz w:val="20"/>
                <w:szCs w:val="20"/>
              </w:rPr>
              <w:t>Position paper on proposals for amendments to CMU Resolution #615 introduced by CMU Resolution #518 dated May 20, 2017 regarding granting of special permits on subsoil use out of auction</w:t>
            </w:r>
            <w:r w:rsidR="0057615B">
              <w:rPr>
                <w:rFonts w:ascii="Tahoma" w:eastAsia="Calibri" w:hAnsi="Tahoma" w:cs="Tahoma"/>
                <w:bCs/>
                <w:iCs/>
                <w:sz w:val="20"/>
                <w:szCs w:val="20"/>
              </w:rPr>
              <w:t>;</w:t>
            </w:r>
          </w:p>
          <w:p w14:paraId="14BA2A03" w14:textId="77777777" w:rsidR="0068522D" w:rsidRPr="009754E9"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9754E9">
              <w:rPr>
                <w:rFonts w:ascii="Tahoma" w:eastAsia="Calibri" w:hAnsi="Tahoma" w:cs="Tahoma"/>
                <w:bCs/>
                <w:iCs/>
                <w:sz w:val="20"/>
                <w:szCs w:val="20"/>
              </w:rPr>
              <w:t>Position Paper on re-estimation of reserves of natural resources (CMU Resolution #865);</w:t>
            </w:r>
          </w:p>
          <w:p w14:paraId="44EA73E1" w14:textId="77777777" w:rsidR="0068522D" w:rsidRPr="009754E9"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9754E9">
              <w:rPr>
                <w:rFonts w:ascii="Tahoma" w:eastAsia="Calibri" w:hAnsi="Tahoma" w:cs="Tahoma"/>
                <w:bCs/>
                <w:iCs/>
                <w:sz w:val="20"/>
                <w:szCs w:val="20"/>
              </w:rPr>
              <w:t>Position Paper on proposals for amendments to CMU Resolution #518 dated May 20, 2017 regarding granting of special permits on subsoil use;</w:t>
            </w:r>
          </w:p>
          <w:p w14:paraId="716C60D1" w14:textId="77777777" w:rsidR="0068522D" w:rsidRPr="009754E9"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9754E9">
              <w:rPr>
                <w:rFonts w:ascii="Tahoma" w:eastAsia="Calibri" w:hAnsi="Tahoma" w:cs="Tahoma"/>
                <w:bCs/>
                <w:iCs/>
                <w:sz w:val="20"/>
                <w:szCs w:val="20"/>
              </w:rPr>
              <w:lastRenderedPageBreak/>
              <w:t>Position Paper on proposals for amendments of some CMU Resolutions regarding subsoil use;</w:t>
            </w:r>
          </w:p>
          <w:p w14:paraId="65CB2936" w14:textId="77777777" w:rsidR="0068522D" w:rsidRPr="009754E9"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9754E9">
              <w:rPr>
                <w:rFonts w:ascii="Tahoma" w:eastAsia="Calibri" w:hAnsi="Tahoma" w:cs="Tahoma"/>
                <w:bCs/>
                <w:iCs/>
                <w:sz w:val="20"/>
                <w:szCs w:val="20"/>
              </w:rPr>
              <w:t>Position Paper</w:t>
            </w:r>
            <w:r>
              <w:rPr>
                <w:rFonts w:ascii="Tahoma" w:eastAsia="Calibri" w:hAnsi="Tahoma" w:cs="Tahoma"/>
                <w:bCs/>
                <w:iCs/>
                <w:sz w:val="20"/>
                <w:szCs w:val="20"/>
              </w:rPr>
              <w:t xml:space="preserve"> </w:t>
            </w:r>
            <w:r w:rsidRPr="009754E9">
              <w:rPr>
                <w:rFonts w:ascii="Tahoma" w:eastAsia="Calibri" w:hAnsi="Tahoma" w:cs="Tahoma"/>
                <w:bCs/>
                <w:iCs/>
                <w:sz w:val="20"/>
                <w:szCs w:val="20"/>
              </w:rPr>
              <w:t>on proposals for amendments to the newly adopted Law of Ukraine #2009 a-d “On Environment Impact Assessment”;</w:t>
            </w:r>
          </w:p>
          <w:p w14:paraId="3DF8DD0D" w14:textId="77777777" w:rsidR="0068522D" w:rsidRPr="009754E9"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9754E9">
              <w:rPr>
                <w:rFonts w:ascii="Tahoma" w:eastAsia="Calibri" w:hAnsi="Tahoma" w:cs="Tahoma"/>
                <w:bCs/>
                <w:iCs/>
                <w:sz w:val="20"/>
                <w:szCs w:val="20"/>
              </w:rPr>
              <w:t>Position Paper on proposals and comments to Draft Law #6229;</w:t>
            </w:r>
          </w:p>
          <w:p w14:paraId="0F450CCC" w14:textId="77777777" w:rsidR="0068522D" w:rsidRPr="009754E9"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9754E9">
              <w:rPr>
                <w:rFonts w:ascii="Tahoma" w:eastAsia="Calibri" w:hAnsi="Tahoma" w:cs="Tahoma"/>
                <w:bCs/>
                <w:iCs/>
                <w:sz w:val="20"/>
                <w:szCs w:val="20"/>
              </w:rPr>
              <w:t>Position Paper regarding draft amendments to CMU Resolution #615</w:t>
            </w:r>
            <w:r>
              <w:rPr>
                <w:rFonts w:ascii="Tahoma" w:eastAsia="Calibri" w:hAnsi="Tahoma" w:cs="Tahoma"/>
                <w:bCs/>
                <w:iCs/>
                <w:sz w:val="20"/>
                <w:szCs w:val="20"/>
              </w:rPr>
              <w:t xml:space="preserve"> </w:t>
            </w:r>
            <w:r w:rsidRPr="009754E9">
              <w:rPr>
                <w:rFonts w:ascii="Tahoma" w:eastAsia="Calibri" w:hAnsi="Tahoma" w:cs="Tahoma"/>
                <w:bCs/>
                <w:iCs/>
                <w:sz w:val="20"/>
                <w:szCs w:val="20"/>
              </w:rPr>
              <w:t>(subsoil use);</w:t>
            </w:r>
          </w:p>
          <w:p w14:paraId="6708B61D" w14:textId="77777777" w:rsidR="0068522D" w:rsidRPr="009754E9"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9754E9">
              <w:rPr>
                <w:rFonts w:ascii="Tahoma" w:eastAsia="Calibri" w:hAnsi="Tahoma" w:cs="Tahoma"/>
                <w:bCs/>
                <w:iCs/>
                <w:sz w:val="20"/>
                <w:szCs w:val="20"/>
              </w:rPr>
              <w:t>Position Paper regarding amendments to CMU Resolutions #615 and #594 (subsoil use);</w:t>
            </w:r>
          </w:p>
          <w:p w14:paraId="543F65BA" w14:textId="77777777" w:rsidR="0068522D" w:rsidRPr="009754E9"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9754E9">
              <w:rPr>
                <w:rFonts w:ascii="Tahoma" w:eastAsia="Calibri" w:hAnsi="Tahoma" w:cs="Tahoma"/>
                <w:bCs/>
                <w:iCs/>
                <w:sz w:val="20"/>
                <w:szCs w:val="20"/>
              </w:rPr>
              <w:t>Position Paper regarding necessity to appoint the Members of the National Commission for State Regulation of Energy and Utilit</w:t>
            </w:r>
            <w:r>
              <w:rPr>
                <w:rFonts w:ascii="Tahoma" w:eastAsia="Calibri" w:hAnsi="Tahoma" w:cs="Tahoma"/>
                <w:bCs/>
                <w:iCs/>
                <w:sz w:val="20"/>
                <w:szCs w:val="20"/>
              </w:rPr>
              <w:t>ies</w:t>
            </w:r>
            <w:r w:rsidRPr="009754E9">
              <w:rPr>
                <w:rFonts w:ascii="Tahoma" w:eastAsia="Calibri" w:hAnsi="Tahoma" w:cs="Tahoma"/>
                <w:bCs/>
                <w:iCs/>
                <w:sz w:val="20"/>
                <w:szCs w:val="20"/>
              </w:rPr>
              <w:t>;</w:t>
            </w:r>
            <w:r>
              <w:rPr>
                <w:rFonts w:ascii="Tahoma" w:eastAsia="Calibri" w:hAnsi="Tahoma" w:cs="Tahoma"/>
                <w:bCs/>
                <w:iCs/>
                <w:sz w:val="20"/>
                <w:szCs w:val="20"/>
              </w:rPr>
              <w:t xml:space="preserve"> </w:t>
            </w:r>
          </w:p>
          <w:p w14:paraId="1F2E7FB1" w14:textId="77777777" w:rsidR="0068522D" w:rsidRPr="009754E9"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9754E9">
              <w:rPr>
                <w:rFonts w:ascii="Tahoma" w:eastAsia="Calibri" w:hAnsi="Tahoma" w:cs="Tahoma"/>
                <w:bCs/>
                <w:iCs/>
                <w:sz w:val="20"/>
                <w:szCs w:val="20"/>
              </w:rPr>
              <w:t>Position Paper regarding</w:t>
            </w:r>
            <w:r>
              <w:rPr>
                <w:rFonts w:ascii="Tahoma" w:eastAsia="Calibri" w:hAnsi="Tahoma" w:cs="Tahoma"/>
                <w:bCs/>
                <w:iCs/>
                <w:sz w:val="20"/>
                <w:szCs w:val="20"/>
              </w:rPr>
              <w:t xml:space="preserve"> re-estimation of deposits of natural r</w:t>
            </w:r>
            <w:r w:rsidRPr="009754E9">
              <w:rPr>
                <w:rFonts w:ascii="Tahoma" w:eastAsia="Calibri" w:hAnsi="Tahoma" w:cs="Tahoma"/>
                <w:bCs/>
                <w:iCs/>
                <w:sz w:val="20"/>
                <w:szCs w:val="20"/>
              </w:rPr>
              <w:t>esources;</w:t>
            </w:r>
          </w:p>
          <w:p w14:paraId="55E56B16" w14:textId="77777777" w:rsidR="0068522D" w:rsidRPr="009754E9"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9754E9">
              <w:rPr>
                <w:rFonts w:ascii="Tahoma" w:eastAsia="Times New Roman" w:hAnsi="Tahoma" w:cs="Tahoma"/>
                <w:sz w:val="20"/>
                <w:szCs w:val="20"/>
              </w:rPr>
              <w:t>Position Paper regarding necessity to apply the same tax rate for oil and gas condensate to VRU Committee on Tax Policy;</w:t>
            </w:r>
          </w:p>
          <w:p w14:paraId="5D4A1743" w14:textId="77777777" w:rsidR="0068522D" w:rsidRPr="009754E9"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9754E9">
              <w:rPr>
                <w:rFonts w:ascii="Tahoma" w:eastAsia="Calibri" w:hAnsi="Tahoma" w:cs="Tahoma"/>
                <w:bCs/>
                <w:iCs/>
                <w:sz w:val="20"/>
                <w:szCs w:val="20"/>
              </w:rPr>
              <w:t>Posi</w:t>
            </w:r>
            <w:r>
              <w:rPr>
                <w:rFonts w:ascii="Tahoma" w:eastAsia="Calibri" w:hAnsi="Tahoma" w:cs="Tahoma"/>
                <w:bCs/>
                <w:iCs/>
                <w:sz w:val="20"/>
                <w:szCs w:val="20"/>
              </w:rPr>
              <w:t>tion Paper regarding procedure on e</w:t>
            </w:r>
            <w:r w:rsidRPr="009754E9">
              <w:rPr>
                <w:rFonts w:ascii="Tahoma" w:eastAsia="Calibri" w:hAnsi="Tahoma" w:cs="Tahoma"/>
                <w:bCs/>
                <w:iCs/>
                <w:sz w:val="20"/>
                <w:szCs w:val="20"/>
              </w:rPr>
              <w:t xml:space="preserve">stablishment of </w:t>
            </w:r>
            <w:r>
              <w:rPr>
                <w:rFonts w:ascii="Tahoma" w:eastAsia="Calibri" w:hAnsi="Tahoma" w:cs="Tahoma"/>
                <w:bCs/>
                <w:iCs/>
                <w:sz w:val="20"/>
                <w:szCs w:val="20"/>
              </w:rPr>
              <w:t>natural gas s</w:t>
            </w:r>
            <w:r w:rsidRPr="009754E9">
              <w:rPr>
                <w:rFonts w:ascii="Tahoma" w:eastAsia="Calibri" w:hAnsi="Tahoma" w:cs="Tahoma"/>
                <w:bCs/>
                <w:iCs/>
                <w:sz w:val="20"/>
                <w:szCs w:val="20"/>
              </w:rPr>
              <w:t xml:space="preserve">tock </w:t>
            </w:r>
            <w:r>
              <w:rPr>
                <w:rFonts w:ascii="Tahoma" w:eastAsia="Calibri" w:hAnsi="Tahoma" w:cs="Tahoma"/>
                <w:bCs/>
                <w:iCs/>
                <w:sz w:val="20"/>
                <w:szCs w:val="20"/>
              </w:rPr>
              <w:t>r</w:t>
            </w:r>
            <w:r w:rsidRPr="009754E9">
              <w:rPr>
                <w:rFonts w:ascii="Tahoma" w:eastAsia="Calibri" w:hAnsi="Tahoma" w:cs="Tahoma"/>
                <w:bCs/>
                <w:iCs/>
                <w:sz w:val="20"/>
                <w:szCs w:val="20"/>
              </w:rPr>
              <w:t xml:space="preserve">eserve for 2018; </w:t>
            </w:r>
          </w:p>
          <w:p w14:paraId="7E6B513C" w14:textId="77777777" w:rsidR="0068522D" w:rsidRPr="009754E9"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9754E9">
              <w:rPr>
                <w:rFonts w:ascii="Tahoma" w:eastAsia="Calibri" w:hAnsi="Tahoma" w:cs="Tahoma"/>
                <w:bCs/>
                <w:iCs/>
                <w:sz w:val="20"/>
                <w:szCs w:val="20"/>
              </w:rPr>
              <w:t xml:space="preserve">Position Paper regarding Draft CMU Resolution on </w:t>
            </w:r>
            <w:r>
              <w:rPr>
                <w:rFonts w:ascii="Tahoma" w:eastAsia="Calibri" w:hAnsi="Tahoma" w:cs="Tahoma"/>
                <w:bCs/>
                <w:iCs/>
                <w:sz w:val="20"/>
                <w:szCs w:val="20"/>
              </w:rPr>
              <w:t>competition for conclusion of a PSA for hydrocarbons at certain s</w:t>
            </w:r>
            <w:r w:rsidRPr="009754E9">
              <w:rPr>
                <w:rFonts w:ascii="Tahoma" w:eastAsia="Calibri" w:hAnsi="Tahoma" w:cs="Tahoma"/>
                <w:bCs/>
                <w:iCs/>
                <w:sz w:val="20"/>
                <w:szCs w:val="20"/>
              </w:rPr>
              <w:t>ites;</w:t>
            </w:r>
          </w:p>
          <w:p w14:paraId="76185A36" w14:textId="77777777" w:rsidR="0068522D"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9754E9">
              <w:rPr>
                <w:rFonts w:ascii="Tahoma" w:eastAsia="Calibri" w:hAnsi="Tahoma" w:cs="Tahoma"/>
                <w:bCs/>
                <w:iCs/>
                <w:sz w:val="20"/>
                <w:szCs w:val="20"/>
              </w:rPr>
              <w:t xml:space="preserve">Position Paper regarding </w:t>
            </w:r>
            <w:r>
              <w:rPr>
                <w:rFonts w:ascii="Tahoma" w:eastAsia="Calibri" w:hAnsi="Tahoma" w:cs="Tahoma"/>
                <w:bCs/>
                <w:iCs/>
                <w:sz w:val="20"/>
                <w:szCs w:val="20"/>
              </w:rPr>
              <w:t>critical upstream d</w:t>
            </w:r>
            <w:r w:rsidRPr="009754E9">
              <w:rPr>
                <w:rFonts w:ascii="Tahoma" w:eastAsia="Calibri" w:hAnsi="Tahoma" w:cs="Tahoma"/>
                <w:bCs/>
                <w:iCs/>
                <w:sz w:val="20"/>
                <w:szCs w:val="20"/>
              </w:rPr>
              <w:t xml:space="preserve">eregulation </w:t>
            </w:r>
            <w:r>
              <w:rPr>
                <w:rFonts w:ascii="Tahoma" w:eastAsia="Calibri" w:hAnsi="Tahoma" w:cs="Tahoma"/>
                <w:bCs/>
                <w:iCs/>
                <w:sz w:val="20"/>
                <w:szCs w:val="20"/>
              </w:rPr>
              <w:t>i</w:t>
            </w:r>
            <w:r w:rsidRPr="009754E9">
              <w:rPr>
                <w:rFonts w:ascii="Tahoma" w:eastAsia="Calibri" w:hAnsi="Tahoma" w:cs="Tahoma"/>
                <w:bCs/>
                <w:iCs/>
                <w:sz w:val="20"/>
                <w:szCs w:val="20"/>
              </w:rPr>
              <w:t>ssues</w:t>
            </w:r>
            <w:r>
              <w:rPr>
                <w:rFonts w:ascii="Tahoma" w:eastAsia="Calibri" w:hAnsi="Tahoma" w:cs="Tahoma"/>
                <w:bCs/>
                <w:iCs/>
                <w:sz w:val="20"/>
                <w:szCs w:val="20"/>
              </w:rPr>
              <w:t>;</w:t>
            </w:r>
          </w:p>
          <w:p w14:paraId="1F49CDB8" w14:textId="1D43E5A3" w:rsidR="0068522D" w:rsidRPr="008D51BF"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8D51BF">
              <w:rPr>
                <w:rFonts w:ascii="Tahoma" w:eastAsia="Calibri" w:hAnsi="Tahoma" w:cs="Tahoma"/>
                <w:bCs/>
                <w:iCs/>
                <w:sz w:val="20"/>
                <w:szCs w:val="20"/>
              </w:rPr>
              <w:t>Recommendations regarding important upstream reforms in Ukraine for national EITI Report.</w:t>
            </w:r>
          </w:p>
          <w:p w14:paraId="6D65C84F" w14:textId="20EC1DE7" w:rsidR="0068522D" w:rsidRPr="008D51BF"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8D51BF">
              <w:rPr>
                <w:rFonts w:ascii="Tahoma" w:eastAsia="Calibri" w:hAnsi="Tahoma" w:cs="Tahoma"/>
                <w:bCs/>
                <w:iCs/>
                <w:sz w:val="20"/>
                <w:szCs w:val="20"/>
              </w:rPr>
              <w:t>Position Paper regarding Critical Upstream Deregulation Issues; Chamber recommendations regarding important upstream reforms in Ukraine for national EITI Report;</w:t>
            </w:r>
          </w:p>
          <w:p w14:paraId="74C26EF0" w14:textId="1E0AD723" w:rsidR="0068522D" w:rsidRPr="008D51BF" w:rsidRDefault="0068522D" w:rsidP="0068522D">
            <w:pPr>
              <w:pStyle w:val="a3"/>
              <w:numPr>
                <w:ilvl w:val="0"/>
                <w:numId w:val="25"/>
              </w:numPr>
              <w:ind w:left="1170" w:hanging="270"/>
              <w:contextualSpacing w:val="0"/>
              <w:jc w:val="both"/>
              <w:rPr>
                <w:rFonts w:ascii="Tahoma" w:eastAsia="Calibri" w:hAnsi="Tahoma" w:cs="Tahoma"/>
                <w:bCs/>
                <w:iCs/>
                <w:sz w:val="20"/>
                <w:szCs w:val="20"/>
              </w:rPr>
            </w:pPr>
            <w:r w:rsidRPr="008D51BF">
              <w:rPr>
                <w:rFonts w:ascii="Tahoma" w:eastAsia="Calibri" w:hAnsi="Tahoma" w:cs="Tahoma"/>
                <w:bCs/>
                <w:iCs/>
                <w:sz w:val="20"/>
                <w:szCs w:val="20"/>
              </w:rPr>
              <w:t xml:space="preserve">Position Paper regarding necessity to publish amendments to CMU Resolution #865 (cancellation of re-estimation of reserves of natural resources every 5 years). </w:t>
            </w:r>
          </w:p>
          <w:p w14:paraId="2163F99B" w14:textId="40FC11E9" w:rsidR="00320F5C" w:rsidRPr="0068522D" w:rsidRDefault="00320F5C" w:rsidP="0068522D">
            <w:pPr>
              <w:pStyle w:val="a3"/>
              <w:ind w:left="0"/>
              <w:rPr>
                <w:rFonts w:ascii="Tahoma" w:hAnsi="Tahoma" w:cs="Tahoma"/>
                <w:b/>
                <w:sz w:val="20"/>
                <w:szCs w:val="20"/>
                <w:lang w:val="uk-UA"/>
              </w:rPr>
            </w:pPr>
          </w:p>
        </w:tc>
      </w:tr>
    </w:tbl>
    <w:p w14:paraId="2BA312BD" w14:textId="77777777" w:rsidR="0013445D" w:rsidRPr="008C206F" w:rsidRDefault="0013445D" w:rsidP="00A4476D">
      <w:pPr>
        <w:pStyle w:val="a3"/>
        <w:spacing w:after="0" w:line="240" w:lineRule="auto"/>
        <w:ind w:left="284"/>
        <w:jc w:val="center"/>
        <w:rPr>
          <w:rFonts w:ascii="Tahoma" w:hAnsi="Tahoma" w:cs="Tahoma"/>
          <w:sz w:val="20"/>
          <w:szCs w:val="20"/>
        </w:rPr>
      </w:pPr>
    </w:p>
    <w:sectPr w:rsidR="0013445D" w:rsidRPr="008C206F">
      <w:head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15F56" w14:textId="77777777" w:rsidR="00851F23" w:rsidRDefault="00851F23" w:rsidP="00503D21">
      <w:pPr>
        <w:spacing w:after="0" w:line="240" w:lineRule="auto"/>
      </w:pPr>
      <w:r>
        <w:separator/>
      </w:r>
    </w:p>
  </w:endnote>
  <w:endnote w:type="continuationSeparator" w:id="0">
    <w:p w14:paraId="5D592599" w14:textId="77777777" w:rsidR="00851F23" w:rsidRDefault="00851F23" w:rsidP="0050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680B9" w14:textId="77777777" w:rsidR="00851F23" w:rsidRDefault="00851F23" w:rsidP="00503D21">
      <w:pPr>
        <w:spacing w:after="0" w:line="240" w:lineRule="auto"/>
      </w:pPr>
      <w:r>
        <w:separator/>
      </w:r>
    </w:p>
  </w:footnote>
  <w:footnote w:type="continuationSeparator" w:id="0">
    <w:p w14:paraId="7061969E" w14:textId="77777777" w:rsidR="00851F23" w:rsidRDefault="00851F23" w:rsidP="00503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B2560" w14:textId="77777777" w:rsidR="007D4D30" w:rsidRPr="00FC5068" w:rsidRDefault="007D4D30" w:rsidP="00FC5068">
    <w:pPr>
      <w:spacing w:after="0" w:line="240" w:lineRule="auto"/>
      <w:jc w:val="center"/>
      <w:rPr>
        <w:rFonts w:ascii="Tahoma" w:hAnsi="Tahoma" w:cs="Tahoma"/>
        <w:b/>
        <w:sz w:val="20"/>
        <w:szCs w:val="20"/>
        <w:lang w:val="en-US"/>
      </w:rPr>
    </w:pPr>
    <w:r w:rsidRPr="00FC5068">
      <w:rPr>
        <w:rFonts w:ascii="Tahoma" w:hAnsi="Tahoma" w:cs="Tahoma"/>
        <w:b/>
        <w:sz w:val="20"/>
        <w:szCs w:val="20"/>
        <w:lang w:val="en-US"/>
      </w:rPr>
      <w:t>BRIEFING</w:t>
    </w:r>
  </w:p>
  <w:p w14:paraId="2B659F08" w14:textId="2AC78AB1" w:rsidR="007D4D30" w:rsidRPr="00FC5068" w:rsidRDefault="007D4D30" w:rsidP="00FC5068">
    <w:pPr>
      <w:spacing w:after="0" w:line="240" w:lineRule="auto"/>
      <w:jc w:val="center"/>
      <w:rPr>
        <w:rFonts w:ascii="Tahoma" w:hAnsi="Tahoma" w:cs="Tahoma"/>
        <w:b/>
        <w:sz w:val="20"/>
        <w:szCs w:val="20"/>
        <w:lang w:val="en-US"/>
      </w:rPr>
    </w:pPr>
    <w:proofErr w:type="gramStart"/>
    <w:r w:rsidRPr="00FC5068">
      <w:rPr>
        <w:rFonts w:ascii="Tahoma" w:hAnsi="Tahoma" w:cs="Tahoma"/>
        <w:b/>
        <w:sz w:val="20"/>
        <w:szCs w:val="20"/>
        <w:lang w:val="en-US"/>
      </w:rPr>
      <w:t>on</w:t>
    </w:r>
    <w:proofErr w:type="gramEnd"/>
    <w:r w:rsidRPr="00FC5068">
      <w:rPr>
        <w:rFonts w:ascii="Tahoma" w:hAnsi="Tahoma" w:cs="Tahoma"/>
        <w:b/>
        <w:sz w:val="20"/>
        <w:szCs w:val="20"/>
        <w:lang w:val="en-US"/>
      </w:rPr>
      <w:t xml:space="preserve"> the Chamber Energy Committee activities</w:t>
    </w:r>
    <w:r w:rsidR="000570A5">
      <w:rPr>
        <w:rFonts w:ascii="Tahoma" w:hAnsi="Tahoma" w:cs="Tahoma"/>
        <w:b/>
        <w:sz w:val="20"/>
        <w:szCs w:val="20"/>
        <w:lang w:val="en-US"/>
      </w:rPr>
      <w:t xml:space="preserve"> in 2017</w:t>
    </w:r>
  </w:p>
  <w:p w14:paraId="7492B07F" w14:textId="77777777" w:rsidR="007D4D30" w:rsidRPr="00FC5068" w:rsidRDefault="007D4D30" w:rsidP="00FC5068">
    <w:pPr>
      <w:suppressAutoHyphens/>
      <w:spacing w:after="0" w:line="240" w:lineRule="auto"/>
      <w:jc w:val="center"/>
      <w:rPr>
        <w:rFonts w:ascii="Tahoma" w:eastAsia="Calibri" w:hAnsi="Tahoma" w:cs="Tahoma"/>
        <w:sz w:val="20"/>
        <w:szCs w:val="20"/>
        <w:lang w:val="en-US"/>
      </w:rPr>
    </w:pPr>
  </w:p>
  <w:p w14:paraId="1E79BDA6" w14:textId="77777777" w:rsidR="007D4D30" w:rsidRDefault="007D4D30">
    <w:pPr>
      <w:pStyle w:val="a7"/>
      <w:rPr>
        <w:lang w:val="en-US"/>
      </w:rPr>
    </w:pPr>
  </w:p>
  <w:p w14:paraId="3F6D5BA7" w14:textId="77777777" w:rsidR="007D4D30" w:rsidRPr="00FC5068" w:rsidRDefault="007D4D30">
    <w:pPr>
      <w:pStyle w:val="a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533C"/>
    <w:multiLevelType w:val="hybridMultilevel"/>
    <w:tmpl w:val="81E802C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EE8002B"/>
    <w:multiLevelType w:val="hybridMultilevel"/>
    <w:tmpl w:val="1E82E104"/>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 w15:restartNumberingAfterBreak="0">
    <w:nsid w:val="110F2531"/>
    <w:multiLevelType w:val="hybridMultilevel"/>
    <w:tmpl w:val="0F64D24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15:restartNumberingAfterBreak="0">
    <w:nsid w:val="15AA5D4F"/>
    <w:multiLevelType w:val="hybridMultilevel"/>
    <w:tmpl w:val="6A0CD942"/>
    <w:lvl w:ilvl="0" w:tplc="C7C8C86C">
      <w:start w:val="1"/>
      <w:numFmt w:val="decimal"/>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61B489B"/>
    <w:multiLevelType w:val="hybridMultilevel"/>
    <w:tmpl w:val="43B850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9CF4F8B"/>
    <w:multiLevelType w:val="multilevel"/>
    <w:tmpl w:val="A8A8A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35AB0"/>
    <w:multiLevelType w:val="hybridMultilevel"/>
    <w:tmpl w:val="C170658A"/>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1F215BEB"/>
    <w:multiLevelType w:val="hybridMultilevel"/>
    <w:tmpl w:val="08AC14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6652FC1"/>
    <w:multiLevelType w:val="hybridMultilevel"/>
    <w:tmpl w:val="3D4A91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E3A16BF"/>
    <w:multiLevelType w:val="hybridMultilevel"/>
    <w:tmpl w:val="5AAC1070"/>
    <w:lvl w:ilvl="0" w:tplc="F07202DE">
      <w:start w:val="1"/>
      <w:numFmt w:val="decimal"/>
      <w:lvlText w:val="%1."/>
      <w:lvlJc w:val="left"/>
      <w:pPr>
        <w:ind w:left="360" w:hanging="360"/>
      </w:pPr>
      <w:rPr>
        <w:b/>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0" w15:restartNumberingAfterBreak="0">
    <w:nsid w:val="35E852D7"/>
    <w:multiLevelType w:val="hybridMultilevel"/>
    <w:tmpl w:val="A5DA417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15:restartNumberingAfterBreak="0">
    <w:nsid w:val="378F2278"/>
    <w:multiLevelType w:val="hybridMultilevel"/>
    <w:tmpl w:val="25C2C7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A186FEB"/>
    <w:multiLevelType w:val="hybridMultilevel"/>
    <w:tmpl w:val="E19CAF26"/>
    <w:lvl w:ilvl="0" w:tplc="D5FA9782">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D603CC0"/>
    <w:multiLevelType w:val="hybridMultilevel"/>
    <w:tmpl w:val="922C3E12"/>
    <w:lvl w:ilvl="0" w:tplc="04220001">
      <w:start w:val="1"/>
      <w:numFmt w:val="bullet"/>
      <w:lvlText w:val=""/>
      <w:lvlJc w:val="left"/>
      <w:pPr>
        <w:ind w:left="1800" w:hanging="360"/>
      </w:pPr>
      <w:rPr>
        <w:rFonts w:ascii="Symbol" w:hAnsi="Symbol" w:hint="default"/>
        <w:b w:val="0"/>
        <w:u w:val="none"/>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4" w15:restartNumberingAfterBreak="0">
    <w:nsid w:val="4D87037F"/>
    <w:multiLevelType w:val="hybridMultilevel"/>
    <w:tmpl w:val="AF2835F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5" w15:restartNumberingAfterBreak="0">
    <w:nsid w:val="501C0B7C"/>
    <w:multiLevelType w:val="hybridMultilevel"/>
    <w:tmpl w:val="7F60F7B8"/>
    <w:lvl w:ilvl="0" w:tplc="04220001">
      <w:start w:val="1"/>
      <w:numFmt w:val="bullet"/>
      <w:lvlText w:val=""/>
      <w:lvlJc w:val="left"/>
      <w:pPr>
        <w:ind w:left="775" w:hanging="360"/>
      </w:pPr>
      <w:rPr>
        <w:rFonts w:ascii="Symbol" w:hAnsi="Symbol" w:hint="default"/>
      </w:rPr>
    </w:lvl>
    <w:lvl w:ilvl="1" w:tplc="04220003" w:tentative="1">
      <w:start w:val="1"/>
      <w:numFmt w:val="bullet"/>
      <w:lvlText w:val="o"/>
      <w:lvlJc w:val="left"/>
      <w:pPr>
        <w:ind w:left="1495" w:hanging="360"/>
      </w:pPr>
      <w:rPr>
        <w:rFonts w:ascii="Courier New" w:hAnsi="Courier New" w:cs="Courier New" w:hint="default"/>
      </w:rPr>
    </w:lvl>
    <w:lvl w:ilvl="2" w:tplc="04220005" w:tentative="1">
      <w:start w:val="1"/>
      <w:numFmt w:val="bullet"/>
      <w:lvlText w:val=""/>
      <w:lvlJc w:val="left"/>
      <w:pPr>
        <w:ind w:left="2215" w:hanging="360"/>
      </w:pPr>
      <w:rPr>
        <w:rFonts w:ascii="Wingdings" w:hAnsi="Wingdings" w:hint="default"/>
      </w:rPr>
    </w:lvl>
    <w:lvl w:ilvl="3" w:tplc="04220001" w:tentative="1">
      <w:start w:val="1"/>
      <w:numFmt w:val="bullet"/>
      <w:lvlText w:val=""/>
      <w:lvlJc w:val="left"/>
      <w:pPr>
        <w:ind w:left="2935" w:hanging="360"/>
      </w:pPr>
      <w:rPr>
        <w:rFonts w:ascii="Symbol" w:hAnsi="Symbol" w:hint="default"/>
      </w:rPr>
    </w:lvl>
    <w:lvl w:ilvl="4" w:tplc="04220003" w:tentative="1">
      <w:start w:val="1"/>
      <w:numFmt w:val="bullet"/>
      <w:lvlText w:val="o"/>
      <w:lvlJc w:val="left"/>
      <w:pPr>
        <w:ind w:left="3655" w:hanging="360"/>
      </w:pPr>
      <w:rPr>
        <w:rFonts w:ascii="Courier New" w:hAnsi="Courier New" w:cs="Courier New" w:hint="default"/>
      </w:rPr>
    </w:lvl>
    <w:lvl w:ilvl="5" w:tplc="04220005" w:tentative="1">
      <w:start w:val="1"/>
      <w:numFmt w:val="bullet"/>
      <w:lvlText w:val=""/>
      <w:lvlJc w:val="left"/>
      <w:pPr>
        <w:ind w:left="4375" w:hanging="360"/>
      </w:pPr>
      <w:rPr>
        <w:rFonts w:ascii="Wingdings" w:hAnsi="Wingdings" w:hint="default"/>
      </w:rPr>
    </w:lvl>
    <w:lvl w:ilvl="6" w:tplc="04220001" w:tentative="1">
      <w:start w:val="1"/>
      <w:numFmt w:val="bullet"/>
      <w:lvlText w:val=""/>
      <w:lvlJc w:val="left"/>
      <w:pPr>
        <w:ind w:left="5095" w:hanging="360"/>
      </w:pPr>
      <w:rPr>
        <w:rFonts w:ascii="Symbol" w:hAnsi="Symbol" w:hint="default"/>
      </w:rPr>
    </w:lvl>
    <w:lvl w:ilvl="7" w:tplc="04220003" w:tentative="1">
      <w:start w:val="1"/>
      <w:numFmt w:val="bullet"/>
      <w:lvlText w:val="o"/>
      <w:lvlJc w:val="left"/>
      <w:pPr>
        <w:ind w:left="5815" w:hanging="360"/>
      </w:pPr>
      <w:rPr>
        <w:rFonts w:ascii="Courier New" w:hAnsi="Courier New" w:cs="Courier New" w:hint="default"/>
      </w:rPr>
    </w:lvl>
    <w:lvl w:ilvl="8" w:tplc="04220005" w:tentative="1">
      <w:start w:val="1"/>
      <w:numFmt w:val="bullet"/>
      <w:lvlText w:val=""/>
      <w:lvlJc w:val="left"/>
      <w:pPr>
        <w:ind w:left="6535" w:hanging="360"/>
      </w:pPr>
      <w:rPr>
        <w:rFonts w:ascii="Wingdings" w:hAnsi="Wingdings" w:hint="default"/>
      </w:rPr>
    </w:lvl>
  </w:abstractNum>
  <w:abstractNum w:abstractNumId="16" w15:restartNumberingAfterBreak="0">
    <w:nsid w:val="50940631"/>
    <w:multiLevelType w:val="hybridMultilevel"/>
    <w:tmpl w:val="91AE2C6C"/>
    <w:lvl w:ilvl="0" w:tplc="95CC29B6">
      <w:start w:val="4"/>
      <w:numFmt w:val="bullet"/>
      <w:lvlText w:val="-"/>
      <w:lvlJc w:val="left"/>
      <w:pPr>
        <w:ind w:left="1800" w:hanging="360"/>
      </w:pPr>
      <w:rPr>
        <w:rFonts w:ascii="Times New Roman" w:eastAsiaTheme="minorHAnsi" w:hAnsi="Times New Roman" w:cs="Times New Roman" w:hint="default"/>
        <w:b w:val="0"/>
        <w:u w:val="none"/>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7" w15:restartNumberingAfterBreak="0">
    <w:nsid w:val="51A207A8"/>
    <w:multiLevelType w:val="hybridMultilevel"/>
    <w:tmpl w:val="6DB0579A"/>
    <w:lvl w:ilvl="0" w:tplc="997A64B0">
      <w:start w:val="1"/>
      <w:numFmt w:val="upperRoman"/>
      <w:lvlText w:val="%1."/>
      <w:lvlJc w:val="left"/>
      <w:pPr>
        <w:ind w:left="1080" w:hanging="720"/>
      </w:pPr>
      <w:rPr>
        <w:rFonts w:hint="default"/>
      </w:rPr>
    </w:lvl>
    <w:lvl w:ilvl="1" w:tplc="42C009F8">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2AD5CC5"/>
    <w:multiLevelType w:val="hybridMultilevel"/>
    <w:tmpl w:val="0CBE2F08"/>
    <w:lvl w:ilvl="0" w:tplc="E8D4D146">
      <w:start w:val="2"/>
      <w:numFmt w:val="bullet"/>
      <w:lvlText w:val="-"/>
      <w:lvlJc w:val="left"/>
      <w:pPr>
        <w:ind w:left="1512" w:hanging="360"/>
      </w:pPr>
      <w:rPr>
        <w:rFonts w:ascii="Times New Roman" w:eastAsia="Calibri"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15:restartNumberingAfterBreak="0">
    <w:nsid w:val="64F56463"/>
    <w:multiLevelType w:val="hybridMultilevel"/>
    <w:tmpl w:val="41084142"/>
    <w:lvl w:ilvl="0" w:tplc="04220017">
      <w:start w:val="1"/>
      <w:numFmt w:val="lowerLetter"/>
      <w:lvlText w:val="%1)"/>
      <w:lvlJc w:val="left"/>
      <w:pPr>
        <w:ind w:left="1440" w:hanging="360"/>
      </w:pPr>
      <w:rPr>
        <w:rFont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15:restartNumberingAfterBreak="0">
    <w:nsid w:val="65AD5FF5"/>
    <w:multiLevelType w:val="hybridMultilevel"/>
    <w:tmpl w:val="D18EE78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DD3192A"/>
    <w:multiLevelType w:val="hybridMultilevel"/>
    <w:tmpl w:val="6E36A642"/>
    <w:lvl w:ilvl="0" w:tplc="4EA0E674">
      <w:start w:val="4"/>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15:restartNumberingAfterBreak="0">
    <w:nsid w:val="6E2830CB"/>
    <w:multiLevelType w:val="hybridMultilevel"/>
    <w:tmpl w:val="1400BA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E455E1D"/>
    <w:multiLevelType w:val="hybridMultilevel"/>
    <w:tmpl w:val="294E1AC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6"/>
  </w:num>
  <w:num w:numId="2">
    <w:abstractNumId w:val="17"/>
  </w:num>
  <w:num w:numId="3">
    <w:abstractNumId w:val="9"/>
  </w:num>
  <w:num w:numId="4">
    <w:abstractNumId w:val="0"/>
  </w:num>
  <w:num w:numId="5">
    <w:abstractNumId w:val="1"/>
  </w:num>
  <w:num w:numId="6">
    <w:abstractNumId w:val="19"/>
  </w:num>
  <w:num w:numId="7">
    <w:abstractNumId w:val="20"/>
  </w:num>
  <w:num w:numId="8">
    <w:abstractNumId w:val="11"/>
  </w:num>
  <w:num w:numId="9">
    <w:abstractNumId w:val="23"/>
  </w:num>
  <w:num w:numId="10">
    <w:abstractNumId w:val="22"/>
  </w:num>
  <w:num w:numId="11">
    <w:abstractNumId w:val="7"/>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14"/>
  </w:num>
  <w:num w:numId="17">
    <w:abstractNumId w:val="21"/>
  </w:num>
  <w:num w:numId="18">
    <w:abstractNumId w:val="16"/>
  </w:num>
  <w:num w:numId="19">
    <w:abstractNumId w:val="12"/>
  </w:num>
  <w:num w:numId="20">
    <w:abstractNumId w:val="13"/>
  </w:num>
  <w:num w:numId="21">
    <w:abstractNumId w:val="2"/>
  </w:num>
  <w:num w:numId="22">
    <w:abstractNumId w:val="15"/>
  </w:num>
  <w:num w:numId="23">
    <w:abstractNumId w:val="4"/>
  </w:num>
  <w:num w:numId="24">
    <w:abstractNumId w:val="3"/>
  </w:num>
  <w:num w:numId="2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2MjIwMTQ2NjC2NDFX0lEKTi0uzszPAykwrAUAGOJjSCwAAAA="/>
  </w:docVars>
  <w:rsids>
    <w:rsidRoot w:val="00934599"/>
    <w:rsid w:val="000058AE"/>
    <w:rsid w:val="0001030D"/>
    <w:rsid w:val="0002136A"/>
    <w:rsid w:val="00023B86"/>
    <w:rsid w:val="000242BC"/>
    <w:rsid w:val="000266AC"/>
    <w:rsid w:val="00032907"/>
    <w:rsid w:val="00034306"/>
    <w:rsid w:val="00034316"/>
    <w:rsid w:val="0004163D"/>
    <w:rsid w:val="00041F75"/>
    <w:rsid w:val="00043A50"/>
    <w:rsid w:val="00044BC7"/>
    <w:rsid w:val="0005396F"/>
    <w:rsid w:val="00053CD7"/>
    <w:rsid w:val="000570A5"/>
    <w:rsid w:val="00060117"/>
    <w:rsid w:val="00060CF9"/>
    <w:rsid w:val="0006233C"/>
    <w:rsid w:val="000623D1"/>
    <w:rsid w:val="0007324E"/>
    <w:rsid w:val="000742BB"/>
    <w:rsid w:val="00091AD4"/>
    <w:rsid w:val="000A20DF"/>
    <w:rsid w:val="000A3870"/>
    <w:rsid w:val="000A3EF4"/>
    <w:rsid w:val="000A62F6"/>
    <w:rsid w:val="000A74B3"/>
    <w:rsid w:val="000B33D9"/>
    <w:rsid w:val="000B4B1A"/>
    <w:rsid w:val="000B740B"/>
    <w:rsid w:val="000C0761"/>
    <w:rsid w:val="000C0C47"/>
    <w:rsid w:val="000C2706"/>
    <w:rsid w:val="000C3414"/>
    <w:rsid w:val="000C480A"/>
    <w:rsid w:val="000C5ECC"/>
    <w:rsid w:val="000C6A22"/>
    <w:rsid w:val="000C6B97"/>
    <w:rsid w:val="000C6C57"/>
    <w:rsid w:val="000D6526"/>
    <w:rsid w:val="000E1F40"/>
    <w:rsid w:val="000E3168"/>
    <w:rsid w:val="000E7969"/>
    <w:rsid w:val="000E7E69"/>
    <w:rsid w:val="000F4446"/>
    <w:rsid w:val="000F555B"/>
    <w:rsid w:val="000F5B24"/>
    <w:rsid w:val="000F5C99"/>
    <w:rsid w:val="0010253C"/>
    <w:rsid w:val="00115DEE"/>
    <w:rsid w:val="00116D90"/>
    <w:rsid w:val="00121988"/>
    <w:rsid w:val="001272CB"/>
    <w:rsid w:val="0013445D"/>
    <w:rsid w:val="0013556D"/>
    <w:rsid w:val="00141338"/>
    <w:rsid w:val="001432B5"/>
    <w:rsid w:val="00143F57"/>
    <w:rsid w:val="00144036"/>
    <w:rsid w:val="00152EBC"/>
    <w:rsid w:val="00152F4C"/>
    <w:rsid w:val="001610CC"/>
    <w:rsid w:val="001649F2"/>
    <w:rsid w:val="00164AF6"/>
    <w:rsid w:val="0016538D"/>
    <w:rsid w:val="00171734"/>
    <w:rsid w:val="00173DFE"/>
    <w:rsid w:val="001778E7"/>
    <w:rsid w:val="00191012"/>
    <w:rsid w:val="0019247E"/>
    <w:rsid w:val="00196159"/>
    <w:rsid w:val="00196BDC"/>
    <w:rsid w:val="0019703A"/>
    <w:rsid w:val="00197D06"/>
    <w:rsid w:val="001A15B0"/>
    <w:rsid w:val="001A15F6"/>
    <w:rsid w:val="001A3046"/>
    <w:rsid w:val="001A57B0"/>
    <w:rsid w:val="001B12EC"/>
    <w:rsid w:val="001B221D"/>
    <w:rsid w:val="001C0378"/>
    <w:rsid w:val="001C79F4"/>
    <w:rsid w:val="001D091B"/>
    <w:rsid w:val="001D10E1"/>
    <w:rsid w:val="001D306D"/>
    <w:rsid w:val="001D7974"/>
    <w:rsid w:val="001D7F44"/>
    <w:rsid w:val="001E2FD8"/>
    <w:rsid w:val="001F323C"/>
    <w:rsid w:val="001F3FE0"/>
    <w:rsid w:val="001F555D"/>
    <w:rsid w:val="001F69E1"/>
    <w:rsid w:val="0020787E"/>
    <w:rsid w:val="002106FB"/>
    <w:rsid w:val="00213D6C"/>
    <w:rsid w:val="00220075"/>
    <w:rsid w:val="002200E3"/>
    <w:rsid w:val="002242FB"/>
    <w:rsid w:val="00240E66"/>
    <w:rsid w:val="00244575"/>
    <w:rsid w:val="00254F0E"/>
    <w:rsid w:val="00256517"/>
    <w:rsid w:val="00257135"/>
    <w:rsid w:val="002576F3"/>
    <w:rsid w:val="00265107"/>
    <w:rsid w:val="002755EC"/>
    <w:rsid w:val="00290BB1"/>
    <w:rsid w:val="00291737"/>
    <w:rsid w:val="00294D87"/>
    <w:rsid w:val="00294FD9"/>
    <w:rsid w:val="00296A79"/>
    <w:rsid w:val="002A3527"/>
    <w:rsid w:val="002B2AC4"/>
    <w:rsid w:val="002B3345"/>
    <w:rsid w:val="002B3A6D"/>
    <w:rsid w:val="002C0B20"/>
    <w:rsid w:val="002C25BC"/>
    <w:rsid w:val="002C6C83"/>
    <w:rsid w:val="002D1036"/>
    <w:rsid w:val="002D303D"/>
    <w:rsid w:val="002D4DF6"/>
    <w:rsid w:val="002D7A34"/>
    <w:rsid w:val="002E0DED"/>
    <w:rsid w:val="002E3DE6"/>
    <w:rsid w:val="002F09DB"/>
    <w:rsid w:val="002F1B6A"/>
    <w:rsid w:val="002F4B3F"/>
    <w:rsid w:val="002F56F4"/>
    <w:rsid w:val="003024EB"/>
    <w:rsid w:val="003045EB"/>
    <w:rsid w:val="0030537F"/>
    <w:rsid w:val="00305B53"/>
    <w:rsid w:val="00320F5C"/>
    <w:rsid w:val="00327725"/>
    <w:rsid w:val="00330A12"/>
    <w:rsid w:val="003324B1"/>
    <w:rsid w:val="003347F9"/>
    <w:rsid w:val="00334CF8"/>
    <w:rsid w:val="00336630"/>
    <w:rsid w:val="0033760B"/>
    <w:rsid w:val="00341DF9"/>
    <w:rsid w:val="00343657"/>
    <w:rsid w:val="00345E75"/>
    <w:rsid w:val="003460F9"/>
    <w:rsid w:val="00346B9C"/>
    <w:rsid w:val="00346F71"/>
    <w:rsid w:val="00351FE9"/>
    <w:rsid w:val="00352E2E"/>
    <w:rsid w:val="003538BD"/>
    <w:rsid w:val="00360A46"/>
    <w:rsid w:val="00371B4E"/>
    <w:rsid w:val="00372DA2"/>
    <w:rsid w:val="003808D3"/>
    <w:rsid w:val="00381C2A"/>
    <w:rsid w:val="003864AC"/>
    <w:rsid w:val="00391649"/>
    <w:rsid w:val="00397DCF"/>
    <w:rsid w:val="003A2945"/>
    <w:rsid w:val="003C755F"/>
    <w:rsid w:val="003D4B72"/>
    <w:rsid w:val="003D50B6"/>
    <w:rsid w:val="003F09FE"/>
    <w:rsid w:val="003F25E1"/>
    <w:rsid w:val="003F4915"/>
    <w:rsid w:val="003F4B7B"/>
    <w:rsid w:val="003F665D"/>
    <w:rsid w:val="003F723B"/>
    <w:rsid w:val="003F7C1F"/>
    <w:rsid w:val="00404638"/>
    <w:rsid w:val="00406031"/>
    <w:rsid w:val="00407C77"/>
    <w:rsid w:val="0041033D"/>
    <w:rsid w:val="00411A40"/>
    <w:rsid w:val="00414648"/>
    <w:rsid w:val="00416716"/>
    <w:rsid w:val="00416F6E"/>
    <w:rsid w:val="00424909"/>
    <w:rsid w:val="00427633"/>
    <w:rsid w:val="00432569"/>
    <w:rsid w:val="00433AE6"/>
    <w:rsid w:val="00441EFC"/>
    <w:rsid w:val="004446E4"/>
    <w:rsid w:val="00453067"/>
    <w:rsid w:val="00456420"/>
    <w:rsid w:val="00460D51"/>
    <w:rsid w:val="004652F4"/>
    <w:rsid w:val="00466282"/>
    <w:rsid w:val="0047532E"/>
    <w:rsid w:val="00476CFC"/>
    <w:rsid w:val="00487802"/>
    <w:rsid w:val="00491D99"/>
    <w:rsid w:val="0049372C"/>
    <w:rsid w:val="004A6E16"/>
    <w:rsid w:val="004B2206"/>
    <w:rsid w:val="004B5082"/>
    <w:rsid w:val="004B5472"/>
    <w:rsid w:val="004B7461"/>
    <w:rsid w:val="004C1987"/>
    <w:rsid w:val="004D4CCA"/>
    <w:rsid w:val="004E1146"/>
    <w:rsid w:val="004E1B71"/>
    <w:rsid w:val="004E2B0B"/>
    <w:rsid w:val="004E6FE4"/>
    <w:rsid w:val="0050076A"/>
    <w:rsid w:val="0050291A"/>
    <w:rsid w:val="00503D21"/>
    <w:rsid w:val="00505C47"/>
    <w:rsid w:val="0050729E"/>
    <w:rsid w:val="0050771E"/>
    <w:rsid w:val="00514FC5"/>
    <w:rsid w:val="005157F3"/>
    <w:rsid w:val="00520094"/>
    <w:rsid w:val="005205E3"/>
    <w:rsid w:val="005236C1"/>
    <w:rsid w:val="00524A14"/>
    <w:rsid w:val="00530CB5"/>
    <w:rsid w:val="00531527"/>
    <w:rsid w:val="00531B23"/>
    <w:rsid w:val="00532187"/>
    <w:rsid w:val="00552646"/>
    <w:rsid w:val="005553AD"/>
    <w:rsid w:val="00561333"/>
    <w:rsid w:val="00571FDF"/>
    <w:rsid w:val="00574DA8"/>
    <w:rsid w:val="00575134"/>
    <w:rsid w:val="005754E5"/>
    <w:rsid w:val="0057615B"/>
    <w:rsid w:val="00577D02"/>
    <w:rsid w:val="00582CBB"/>
    <w:rsid w:val="00583828"/>
    <w:rsid w:val="005838B5"/>
    <w:rsid w:val="005A068F"/>
    <w:rsid w:val="005A711F"/>
    <w:rsid w:val="005C20EE"/>
    <w:rsid w:val="005C49BA"/>
    <w:rsid w:val="005D14F2"/>
    <w:rsid w:val="005D5C5F"/>
    <w:rsid w:val="005E10B5"/>
    <w:rsid w:val="005E429C"/>
    <w:rsid w:val="005F148D"/>
    <w:rsid w:val="005F400F"/>
    <w:rsid w:val="005F4F62"/>
    <w:rsid w:val="006000EC"/>
    <w:rsid w:val="00603B2A"/>
    <w:rsid w:val="00606155"/>
    <w:rsid w:val="00610246"/>
    <w:rsid w:val="00610878"/>
    <w:rsid w:val="00611FEB"/>
    <w:rsid w:val="00615555"/>
    <w:rsid w:val="006169BE"/>
    <w:rsid w:val="00640D59"/>
    <w:rsid w:val="00642586"/>
    <w:rsid w:val="00643BB6"/>
    <w:rsid w:val="0064699B"/>
    <w:rsid w:val="00650394"/>
    <w:rsid w:val="006507A4"/>
    <w:rsid w:val="006544F0"/>
    <w:rsid w:val="006550CC"/>
    <w:rsid w:val="00660948"/>
    <w:rsid w:val="006639B2"/>
    <w:rsid w:val="00665263"/>
    <w:rsid w:val="006700BA"/>
    <w:rsid w:val="0067192A"/>
    <w:rsid w:val="0067303A"/>
    <w:rsid w:val="00675AD4"/>
    <w:rsid w:val="00675AFE"/>
    <w:rsid w:val="00677C86"/>
    <w:rsid w:val="00681919"/>
    <w:rsid w:val="0068522D"/>
    <w:rsid w:val="0068740D"/>
    <w:rsid w:val="006930A2"/>
    <w:rsid w:val="006A0C52"/>
    <w:rsid w:val="006A61DF"/>
    <w:rsid w:val="006A6722"/>
    <w:rsid w:val="006C0AF5"/>
    <w:rsid w:val="006D4DFD"/>
    <w:rsid w:val="006D607D"/>
    <w:rsid w:val="006E07B7"/>
    <w:rsid w:val="006E652C"/>
    <w:rsid w:val="006E757A"/>
    <w:rsid w:val="006F59AD"/>
    <w:rsid w:val="00724C47"/>
    <w:rsid w:val="007260AC"/>
    <w:rsid w:val="007265F2"/>
    <w:rsid w:val="0072695B"/>
    <w:rsid w:val="0073054D"/>
    <w:rsid w:val="0073078B"/>
    <w:rsid w:val="0073250D"/>
    <w:rsid w:val="00733034"/>
    <w:rsid w:val="007333FE"/>
    <w:rsid w:val="007504F6"/>
    <w:rsid w:val="00754B01"/>
    <w:rsid w:val="007619C8"/>
    <w:rsid w:val="00770604"/>
    <w:rsid w:val="00770F85"/>
    <w:rsid w:val="007757CF"/>
    <w:rsid w:val="00785757"/>
    <w:rsid w:val="00787982"/>
    <w:rsid w:val="007A7850"/>
    <w:rsid w:val="007B4264"/>
    <w:rsid w:val="007B5F01"/>
    <w:rsid w:val="007D44FE"/>
    <w:rsid w:val="007D4D30"/>
    <w:rsid w:val="007E20FE"/>
    <w:rsid w:val="007E3E83"/>
    <w:rsid w:val="007F442A"/>
    <w:rsid w:val="00802818"/>
    <w:rsid w:val="00811F56"/>
    <w:rsid w:val="0081665A"/>
    <w:rsid w:val="00816A2D"/>
    <w:rsid w:val="00820F4E"/>
    <w:rsid w:val="00824C00"/>
    <w:rsid w:val="008258BD"/>
    <w:rsid w:val="00827581"/>
    <w:rsid w:val="008307FE"/>
    <w:rsid w:val="00835C1F"/>
    <w:rsid w:val="0084181D"/>
    <w:rsid w:val="00851F23"/>
    <w:rsid w:val="00857611"/>
    <w:rsid w:val="0085798D"/>
    <w:rsid w:val="00862EF2"/>
    <w:rsid w:val="00872045"/>
    <w:rsid w:val="0087314B"/>
    <w:rsid w:val="00877470"/>
    <w:rsid w:val="00877B6D"/>
    <w:rsid w:val="00881D7C"/>
    <w:rsid w:val="008874EA"/>
    <w:rsid w:val="00896C2B"/>
    <w:rsid w:val="0089787D"/>
    <w:rsid w:val="008A1D93"/>
    <w:rsid w:val="008A1EFD"/>
    <w:rsid w:val="008A50AC"/>
    <w:rsid w:val="008A7B56"/>
    <w:rsid w:val="008B056A"/>
    <w:rsid w:val="008B0C73"/>
    <w:rsid w:val="008B1EA0"/>
    <w:rsid w:val="008B4ECB"/>
    <w:rsid w:val="008C206F"/>
    <w:rsid w:val="008C6F19"/>
    <w:rsid w:val="008D521B"/>
    <w:rsid w:val="008D5984"/>
    <w:rsid w:val="008E5320"/>
    <w:rsid w:val="008F29FA"/>
    <w:rsid w:val="008F3C82"/>
    <w:rsid w:val="008F4C9A"/>
    <w:rsid w:val="008F6805"/>
    <w:rsid w:val="00910C89"/>
    <w:rsid w:val="00910F83"/>
    <w:rsid w:val="00914070"/>
    <w:rsid w:val="00917FE1"/>
    <w:rsid w:val="009203B2"/>
    <w:rsid w:val="0092176C"/>
    <w:rsid w:val="009232D1"/>
    <w:rsid w:val="009309DF"/>
    <w:rsid w:val="009325D4"/>
    <w:rsid w:val="009330B7"/>
    <w:rsid w:val="00934599"/>
    <w:rsid w:val="009371D6"/>
    <w:rsid w:val="00937F6E"/>
    <w:rsid w:val="009427E4"/>
    <w:rsid w:val="00944DA6"/>
    <w:rsid w:val="0094699E"/>
    <w:rsid w:val="0096196E"/>
    <w:rsid w:val="00962F0A"/>
    <w:rsid w:val="00971E7E"/>
    <w:rsid w:val="00973ECF"/>
    <w:rsid w:val="00976E29"/>
    <w:rsid w:val="00983E86"/>
    <w:rsid w:val="00983E99"/>
    <w:rsid w:val="009B22BC"/>
    <w:rsid w:val="009B3F34"/>
    <w:rsid w:val="009B4115"/>
    <w:rsid w:val="009C5E04"/>
    <w:rsid w:val="009C6FDD"/>
    <w:rsid w:val="009C7872"/>
    <w:rsid w:val="009C78CD"/>
    <w:rsid w:val="009C7B03"/>
    <w:rsid w:val="009D038D"/>
    <w:rsid w:val="009D5171"/>
    <w:rsid w:val="009E1771"/>
    <w:rsid w:val="009E7D2C"/>
    <w:rsid w:val="009F5BCE"/>
    <w:rsid w:val="00A00EDB"/>
    <w:rsid w:val="00A01445"/>
    <w:rsid w:val="00A06B76"/>
    <w:rsid w:val="00A1065D"/>
    <w:rsid w:val="00A10B10"/>
    <w:rsid w:val="00A11840"/>
    <w:rsid w:val="00A220FC"/>
    <w:rsid w:val="00A22799"/>
    <w:rsid w:val="00A33E59"/>
    <w:rsid w:val="00A34212"/>
    <w:rsid w:val="00A348CC"/>
    <w:rsid w:val="00A373E6"/>
    <w:rsid w:val="00A42345"/>
    <w:rsid w:val="00A4476D"/>
    <w:rsid w:val="00A51D33"/>
    <w:rsid w:val="00A61A68"/>
    <w:rsid w:val="00A632A9"/>
    <w:rsid w:val="00A700FA"/>
    <w:rsid w:val="00A70CC2"/>
    <w:rsid w:val="00A740F1"/>
    <w:rsid w:val="00A832F2"/>
    <w:rsid w:val="00A91AEB"/>
    <w:rsid w:val="00A91B0C"/>
    <w:rsid w:val="00A9783A"/>
    <w:rsid w:val="00AB0DB7"/>
    <w:rsid w:val="00AB2E2A"/>
    <w:rsid w:val="00AB3D6D"/>
    <w:rsid w:val="00AB5EA6"/>
    <w:rsid w:val="00AC0557"/>
    <w:rsid w:val="00AC7DB0"/>
    <w:rsid w:val="00AD29AA"/>
    <w:rsid w:val="00AE0FAC"/>
    <w:rsid w:val="00AE1A72"/>
    <w:rsid w:val="00AE216A"/>
    <w:rsid w:val="00AE3E13"/>
    <w:rsid w:val="00AE4B47"/>
    <w:rsid w:val="00AE68B3"/>
    <w:rsid w:val="00AF256A"/>
    <w:rsid w:val="00AF56C7"/>
    <w:rsid w:val="00AF7E7B"/>
    <w:rsid w:val="00B04A84"/>
    <w:rsid w:val="00B15AB4"/>
    <w:rsid w:val="00B16C01"/>
    <w:rsid w:val="00B171F5"/>
    <w:rsid w:val="00B4075B"/>
    <w:rsid w:val="00B429C6"/>
    <w:rsid w:val="00B45A3C"/>
    <w:rsid w:val="00B46291"/>
    <w:rsid w:val="00B558CB"/>
    <w:rsid w:val="00B62D26"/>
    <w:rsid w:val="00B63760"/>
    <w:rsid w:val="00B67EA4"/>
    <w:rsid w:val="00B80006"/>
    <w:rsid w:val="00B82016"/>
    <w:rsid w:val="00B844B1"/>
    <w:rsid w:val="00B87E07"/>
    <w:rsid w:val="00B92748"/>
    <w:rsid w:val="00B9443C"/>
    <w:rsid w:val="00B94914"/>
    <w:rsid w:val="00B97FA2"/>
    <w:rsid w:val="00BA1827"/>
    <w:rsid w:val="00BA5B96"/>
    <w:rsid w:val="00BA7BA5"/>
    <w:rsid w:val="00BB2506"/>
    <w:rsid w:val="00BB3309"/>
    <w:rsid w:val="00BB532A"/>
    <w:rsid w:val="00BB538C"/>
    <w:rsid w:val="00BD43F4"/>
    <w:rsid w:val="00BE09EC"/>
    <w:rsid w:val="00BE7ECC"/>
    <w:rsid w:val="00C030C1"/>
    <w:rsid w:val="00C07C82"/>
    <w:rsid w:val="00C07DEB"/>
    <w:rsid w:val="00C107CA"/>
    <w:rsid w:val="00C24394"/>
    <w:rsid w:val="00C3008A"/>
    <w:rsid w:val="00C30194"/>
    <w:rsid w:val="00C32BAD"/>
    <w:rsid w:val="00C34B46"/>
    <w:rsid w:val="00C35025"/>
    <w:rsid w:val="00C36091"/>
    <w:rsid w:val="00C36BF2"/>
    <w:rsid w:val="00C3730E"/>
    <w:rsid w:val="00C43946"/>
    <w:rsid w:val="00C4450B"/>
    <w:rsid w:val="00C45A19"/>
    <w:rsid w:val="00C46CCE"/>
    <w:rsid w:val="00C47BD8"/>
    <w:rsid w:val="00C608C6"/>
    <w:rsid w:val="00C62D67"/>
    <w:rsid w:val="00C733B2"/>
    <w:rsid w:val="00C74299"/>
    <w:rsid w:val="00C813EA"/>
    <w:rsid w:val="00C84622"/>
    <w:rsid w:val="00C93C18"/>
    <w:rsid w:val="00CA1614"/>
    <w:rsid w:val="00CA29C3"/>
    <w:rsid w:val="00CB0EEB"/>
    <w:rsid w:val="00CB5CD7"/>
    <w:rsid w:val="00CB7E0E"/>
    <w:rsid w:val="00CC4710"/>
    <w:rsid w:val="00CC76E1"/>
    <w:rsid w:val="00CD027F"/>
    <w:rsid w:val="00CD2202"/>
    <w:rsid w:val="00CD4A65"/>
    <w:rsid w:val="00CE03C7"/>
    <w:rsid w:val="00CE2033"/>
    <w:rsid w:val="00CF2C62"/>
    <w:rsid w:val="00D03862"/>
    <w:rsid w:val="00D042C1"/>
    <w:rsid w:val="00D06A8D"/>
    <w:rsid w:val="00D075E0"/>
    <w:rsid w:val="00D07BA7"/>
    <w:rsid w:val="00D120CB"/>
    <w:rsid w:val="00D125A7"/>
    <w:rsid w:val="00D144E4"/>
    <w:rsid w:val="00D14C9D"/>
    <w:rsid w:val="00D16C44"/>
    <w:rsid w:val="00D27E1A"/>
    <w:rsid w:val="00D4090D"/>
    <w:rsid w:val="00D41E45"/>
    <w:rsid w:val="00D41F4A"/>
    <w:rsid w:val="00D456D7"/>
    <w:rsid w:val="00D53C42"/>
    <w:rsid w:val="00D62076"/>
    <w:rsid w:val="00D62E3E"/>
    <w:rsid w:val="00D64C1D"/>
    <w:rsid w:val="00D659D9"/>
    <w:rsid w:val="00D678D4"/>
    <w:rsid w:val="00D70615"/>
    <w:rsid w:val="00D7206F"/>
    <w:rsid w:val="00D72B5E"/>
    <w:rsid w:val="00D744DC"/>
    <w:rsid w:val="00D77191"/>
    <w:rsid w:val="00D8360C"/>
    <w:rsid w:val="00D9083C"/>
    <w:rsid w:val="00D911C8"/>
    <w:rsid w:val="00DA17A3"/>
    <w:rsid w:val="00DA629B"/>
    <w:rsid w:val="00DA7686"/>
    <w:rsid w:val="00DB11D2"/>
    <w:rsid w:val="00DB11E0"/>
    <w:rsid w:val="00DB3A7A"/>
    <w:rsid w:val="00DB3E93"/>
    <w:rsid w:val="00DC252D"/>
    <w:rsid w:val="00DC6C1F"/>
    <w:rsid w:val="00DC7374"/>
    <w:rsid w:val="00DD796F"/>
    <w:rsid w:val="00DE5383"/>
    <w:rsid w:val="00DE5470"/>
    <w:rsid w:val="00DF135F"/>
    <w:rsid w:val="00DF682C"/>
    <w:rsid w:val="00DF770E"/>
    <w:rsid w:val="00E03790"/>
    <w:rsid w:val="00E03D15"/>
    <w:rsid w:val="00E0483F"/>
    <w:rsid w:val="00E055E5"/>
    <w:rsid w:val="00E06B75"/>
    <w:rsid w:val="00E12165"/>
    <w:rsid w:val="00E1318F"/>
    <w:rsid w:val="00E13B37"/>
    <w:rsid w:val="00E14A3A"/>
    <w:rsid w:val="00E20AA0"/>
    <w:rsid w:val="00E230D8"/>
    <w:rsid w:val="00E41694"/>
    <w:rsid w:val="00E4217B"/>
    <w:rsid w:val="00E4766D"/>
    <w:rsid w:val="00E664B6"/>
    <w:rsid w:val="00E72C8C"/>
    <w:rsid w:val="00E746DC"/>
    <w:rsid w:val="00E806FF"/>
    <w:rsid w:val="00E84F81"/>
    <w:rsid w:val="00E9021D"/>
    <w:rsid w:val="00EA69C6"/>
    <w:rsid w:val="00EB2EF7"/>
    <w:rsid w:val="00EB3A75"/>
    <w:rsid w:val="00ED0BB7"/>
    <w:rsid w:val="00ED257F"/>
    <w:rsid w:val="00ED28C0"/>
    <w:rsid w:val="00EE405A"/>
    <w:rsid w:val="00EF0C65"/>
    <w:rsid w:val="00EF53D3"/>
    <w:rsid w:val="00EF5439"/>
    <w:rsid w:val="00F011A8"/>
    <w:rsid w:val="00F01391"/>
    <w:rsid w:val="00F0158E"/>
    <w:rsid w:val="00F01CB6"/>
    <w:rsid w:val="00F02EFB"/>
    <w:rsid w:val="00F03609"/>
    <w:rsid w:val="00F059FC"/>
    <w:rsid w:val="00F10444"/>
    <w:rsid w:val="00F10D9B"/>
    <w:rsid w:val="00F11671"/>
    <w:rsid w:val="00F1781F"/>
    <w:rsid w:val="00F2030A"/>
    <w:rsid w:val="00F254A8"/>
    <w:rsid w:val="00F25575"/>
    <w:rsid w:val="00F272FF"/>
    <w:rsid w:val="00F43355"/>
    <w:rsid w:val="00F44813"/>
    <w:rsid w:val="00F47C0D"/>
    <w:rsid w:val="00F50725"/>
    <w:rsid w:val="00F50CED"/>
    <w:rsid w:val="00F50E7A"/>
    <w:rsid w:val="00F516B1"/>
    <w:rsid w:val="00F526CA"/>
    <w:rsid w:val="00F547B8"/>
    <w:rsid w:val="00F55331"/>
    <w:rsid w:val="00F64F9B"/>
    <w:rsid w:val="00F7072D"/>
    <w:rsid w:val="00F7199A"/>
    <w:rsid w:val="00F74894"/>
    <w:rsid w:val="00F81FE8"/>
    <w:rsid w:val="00F841CF"/>
    <w:rsid w:val="00F9093F"/>
    <w:rsid w:val="00F91486"/>
    <w:rsid w:val="00F921BC"/>
    <w:rsid w:val="00F95816"/>
    <w:rsid w:val="00F96A9C"/>
    <w:rsid w:val="00FA3036"/>
    <w:rsid w:val="00FA43C8"/>
    <w:rsid w:val="00FA7092"/>
    <w:rsid w:val="00FA7730"/>
    <w:rsid w:val="00FA7F96"/>
    <w:rsid w:val="00FB5A73"/>
    <w:rsid w:val="00FC1CB4"/>
    <w:rsid w:val="00FC47D4"/>
    <w:rsid w:val="00FC5068"/>
    <w:rsid w:val="00FC51D3"/>
    <w:rsid w:val="00FC5337"/>
    <w:rsid w:val="00FD1C3F"/>
    <w:rsid w:val="00FD53CC"/>
    <w:rsid w:val="00FE0893"/>
    <w:rsid w:val="00FE1CC4"/>
    <w:rsid w:val="00FF052D"/>
    <w:rsid w:val="00FF334B"/>
    <w:rsid w:val="00FF51F3"/>
    <w:rsid w:val="033BDF2E"/>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D20202"/>
  <w15:docId w15:val="{19D04562-63C4-4A53-8302-F8CD9E42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599"/>
    <w:pPr>
      <w:ind w:left="720"/>
      <w:contextualSpacing/>
    </w:pPr>
  </w:style>
  <w:style w:type="character" w:styleId="a4">
    <w:name w:val="Hyperlink"/>
    <w:basedOn w:val="a0"/>
    <w:uiPriority w:val="99"/>
    <w:unhideWhenUsed/>
    <w:rsid w:val="00441EFC"/>
    <w:rPr>
      <w:color w:val="3F5DD4" w:themeColor="hyperlink"/>
      <w:u w:val="single"/>
    </w:rPr>
  </w:style>
  <w:style w:type="paragraph" w:styleId="a5">
    <w:name w:val="Balloon Text"/>
    <w:basedOn w:val="a"/>
    <w:link w:val="a6"/>
    <w:uiPriority w:val="99"/>
    <w:semiHidden/>
    <w:unhideWhenUsed/>
    <w:rsid w:val="00FA70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7092"/>
    <w:rPr>
      <w:rFonts w:ascii="Tahoma" w:hAnsi="Tahoma" w:cs="Tahoma"/>
      <w:sz w:val="16"/>
      <w:szCs w:val="16"/>
    </w:rPr>
  </w:style>
  <w:style w:type="paragraph" w:styleId="a7">
    <w:name w:val="header"/>
    <w:basedOn w:val="a"/>
    <w:link w:val="a8"/>
    <w:uiPriority w:val="99"/>
    <w:unhideWhenUsed/>
    <w:rsid w:val="00503D2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03D21"/>
  </w:style>
  <w:style w:type="paragraph" w:styleId="a9">
    <w:name w:val="footer"/>
    <w:basedOn w:val="a"/>
    <w:link w:val="aa"/>
    <w:uiPriority w:val="99"/>
    <w:unhideWhenUsed/>
    <w:rsid w:val="00503D2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503D21"/>
  </w:style>
  <w:style w:type="character" w:customStyle="1" w:styleId="s1">
    <w:name w:val="s1"/>
    <w:basedOn w:val="a0"/>
    <w:rsid w:val="00603B2A"/>
  </w:style>
  <w:style w:type="character" w:styleId="ab">
    <w:name w:val="Strong"/>
    <w:basedOn w:val="a0"/>
    <w:uiPriority w:val="22"/>
    <w:qFormat/>
    <w:rsid w:val="00857611"/>
    <w:rPr>
      <w:b/>
      <w:bCs/>
    </w:rPr>
  </w:style>
  <w:style w:type="table" w:styleId="ac">
    <w:name w:val="Table Grid"/>
    <w:basedOn w:val="a1"/>
    <w:uiPriority w:val="59"/>
    <w:rsid w:val="001344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c"/>
    <w:uiPriority w:val="59"/>
    <w:rsid w:val="000E79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9224">
      <w:bodyDiv w:val="1"/>
      <w:marLeft w:val="0"/>
      <w:marRight w:val="0"/>
      <w:marTop w:val="0"/>
      <w:marBottom w:val="0"/>
      <w:divBdr>
        <w:top w:val="none" w:sz="0" w:space="0" w:color="auto"/>
        <w:left w:val="none" w:sz="0" w:space="0" w:color="auto"/>
        <w:bottom w:val="none" w:sz="0" w:space="0" w:color="auto"/>
        <w:right w:val="none" w:sz="0" w:space="0" w:color="auto"/>
      </w:divBdr>
    </w:div>
    <w:div w:id="68777390">
      <w:bodyDiv w:val="1"/>
      <w:marLeft w:val="0"/>
      <w:marRight w:val="0"/>
      <w:marTop w:val="0"/>
      <w:marBottom w:val="0"/>
      <w:divBdr>
        <w:top w:val="none" w:sz="0" w:space="0" w:color="auto"/>
        <w:left w:val="none" w:sz="0" w:space="0" w:color="auto"/>
        <w:bottom w:val="none" w:sz="0" w:space="0" w:color="auto"/>
        <w:right w:val="none" w:sz="0" w:space="0" w:color="auto"/>
      </w:divBdr>
    </w:div>
    <w:div w:id="221796114">
      <w:bodyDiv w:val="1"/>
      <w:marLeft w:val="0"/>
      <w:marRight w:val="0"/>
      <w:marTop w:val="0"/>
      <w:marBottom w:val="0"/>
      <w:divBdr>
        <w:top w:val="none" w:sz="0" w:space="0" w:color="auto"/>
        <w:left w:val="none" w:sz="0" w:space="0" w:color="auto"/>
        <w:bottom w:val="none" w:sz="0" w:space="0" w:color="auto"/>
        <w:right w:val="none" w:sz="0" w:space="0" w:color="auto"/>
      </w:divBdr>
    </w:div>
    <w:div w:id="321130279">
      <w:bodyDiv w:val="1"/>
      <w:marLeft w:val="0"/>
      <w:marRight w:val="0"/>
      <w:marTop w:val="0"/>
      <w:marBottom w:val="0"/>
      <w:divBdr>
        <w:top w:val="none" w:sz="0" w:space="0" w:color="auto"/>
        <w:left w:val="none" w:sz="0" w:space="0" w:color="auto"/>
        <w:bottom w:val="none" w:sz="0" w:space="0" w:color="auto"/>
        <w:right w:val="none" w:sz="0" w:space="0" w:color="auto"/>
      </w:divBdr>
    </w:div>
    <w:div w:id="394165373">
      <w:bodyDiv w:val="1"/>
      <w:marLeft w:val="0"/>
      <w:marRight w:val="0"/>
      <w:marTop w:val="0"/>
      <w:marBottom w:val="0"/>
      <w:divBdr>
        <w:top w:val="none" w:sz="0" w:space="0" w:color="auto"/>
        <w:left w:val="none" w:sz="0" w:space="0" w:color="auto"/>
        <w:bottom w:val="none" w:sz="0" w:space="0" w:color="auto"/>
        <w:right w:val="none" w:sz="0" w:space="0" w:color="auto"/>
      </w:divBdr>
    </w:div>
    <w:div w:id="404837753">
      <w:bodyDiv w:val="1"/>
      <w:marLeft w:val="0"/>
      <w:marRight w:val="0"/>
      <w:marTop w:val="0"/>
      <w:marBottom w:val="0"/>
      <w:divBdr>
        <w:top w:val="none" w:sz="0" w:space="0" w:color="auto"/>
        <w:left w:val="none" w:sz="0" w:space="0" w:color="auto"/>
        <w:bottom w:val="none" w:sz="0" w:space="0" w:color="auto"/>
        <w:right w:val="none" w:sz="0" w:space="0" w:color="auto"/>
      </w:divBdr>
    </w:div>
    <w:div w:id="461311372">
      <w:bodyDiv w:val="1"/>
      <w:marLeft w:val="0"/>
      <w:marRight w:val="0"/>
      <w:marTop w:val="0"/>
      <w:marBottom w:val="0"/>
      <w:divBdr>
        <w:top w:val="none" w:sz="0" w:space="0" w:color="auto"/>
        <w:left w:val="none" w:sz="0" w:space="0" w:color="auto"/>
        <w:bottom w:val="none" w:sz="0" w:space="0" w:color="auto"/>
        <w:right w:val="none" w:sz="0" w:space="0" w:color="auto"/>
      </w:divBdr>
    </w:div>
    <w:div w:id="538973458">
      <w:bodyDiv w:val="1"/>
      <w:marLeft w:val="0"/>
      <w:marRight w:val="0"/>
      <w:marTop w:val="0"/>
      <w:marBottom w:val="0"/>
      <w:divBdr>
        <w:top w:val="none" w:sz="0" w:space="0" w:color="auto"/>
        <w:left w:val="none" w:sz="0" w:space="0" w:color="auto"/>
        <w:bottom w:val="none" w:sz="0" w:space="0" w:color="auto"/>
        <w:right w:val="none" w:sz="0" w:space="0" w:color="auto"/>
      </w:divBdr>
    </w:div>
    <w:div w:id="572273478">
      <w:bodyDiv w:val="1"/>
      <w:marLeft w:val="0"/>
      <w:marRight w:val="0"/>
      <w:marTop w:val="0"/>
      <w:marBottom w:val="0"/>
      <w:divBdr>
        <w:top w:val="none" w:sz="0" w:space="0" w:color="auto"/>
        <w:left w:val="none" w:sz="0" w:space="0" w:color="auto"/>
        <w:bottom w:val="none" w:sz="0" w:space="0" w:color="auto"/>
        <w:right w:val="none" w:sz="0" w:space="0" w:color="auto"/>
      </w:divBdr>
    </w:div>
    <w:div w:id="590354258">
      <w:bodyDiv w:val="1"/>
      <w:marLeft w:val="0"/>
      <w:marRight w:val="0"/>
      <w:marTop w:val="0"/>
      <w:marBottom w:val="0"/>
      <w:divBdr>
        <w:top w:val="none" w:sz="0" w:space="0" w:color="auto"/>
        <w:left w:val="none" w:sz="0" w:space="0" w:color="auto"/>
        <w:bottom w:val="none" w:sz="0" w:space="0" w:color="auto"/>
        <w:right w:val="none" w:sz="0" w:space="0" w:color="auto"/>
      </w:divBdr>
    </w:div>
    <w:div w:id="623078457">
      <w:bodyDiv w:val="1"/>
      <w:marLeft w:val="0"/>
      <w:marRight w:val="0"/>
      <w:marTop w:val="0"/>
      <w:marBottom w:val="0"/>
      <w:divBdr>
        <w:top w:val="none" w:sz="0" w:space="0" w:color="auto"/>
        <w:left w:val="none" w:sz="0" w:space="0" w:color="auto"/>
        <w:bottom w:val="none" w:sz="0" w:space="0" w:color="auto"/>
        <w:right w:val="none" w:sz="0" w:space="0" w:color="auto"/>
      </w:divBdr>
    </w:div>
    <w:div w:id="696735305">
      <w:bodyDiv w:val="1"/>
      <w:marLeft w:val="0"/>
      <w:marRight w:val="0"/>
      <w:marTop w:val="0"/>
      <w:marBottom w:val="0"/>
      <w:divBdr>
        <w:top w:val="none" w:sz="0" w:space="0" w:color="auto"/>
        <w:left w:val="none" w:sz="0" w:space="0" w:color="auto"/>
        <w:bottom w:val="none" w:sz="0" w:space="0" w:color="auto"/>
        <w:right w:val="none" w:sz="0" w:space="0" w:color="auto"/>
      </w:divBdr>
    </w:div>
    <w:div w:id="713774581">
      <w:bodyDiv w:val="1"/>
      <w:marLeft w:val="0"/>
      <w:marRight w:val="0"/>
      <w:marTop w:val="0"/>
      <w:marBottom w:val="0"/>
      <w:divBdr>
        <w:top w:val="none" w:sz="0" w:space="0" w:color="auto"/>
        <w:left w:val="none" w:sz="0" w:space="0" w:color="auto"/>
        <w:bottom w:val="none" w:sz="0" w:space="0" w:color="auto"/>
        <w:right w:val="none" w:sz="0" w:space="0" w:color="auto"/>
      </w:divBdr>
    </w:div>
    <w:div w:id="719400000">
      <w:bodyDiv w:val="1"/>
      <w:marLeft w:val="0"/>
      <w:marRight w:val="0"/>
      <w:marTop w:val="0"/>
      <w:marBottom w:val="0"/>
      <w:divBdr>
        <w:top w:val="none" w:sz="0" w:space="0" w:color="auto"/>
        <w:left w:val="none" w:sz="0" w:space="0" w:color="auto"/>
        <w:bottom w:val="none" w:sz="0" w:space="0" w:color="auto"/>
        <w:right w:val="none" w:sz="0" w:space="0" w:color="auto"/>
      </w:divBdr>
    </w:div>
    <w:div w:id="724722496">
      <w:bodyDiv w:val="1"/>
      <w:marLeft w:val="0"/>
      <w:marRight w:val="0"/>
      <w:marTop w:val="0"/>
      <w:marBottom w:val="0"/>
      <w:divBdr>
        <w:top w:val="none" w:sz="0" w:space="0" w:color="auto"/>
        <w:left w:val="none" w:sz="0" w:space="0" w:color="auto"/>
        <w:bottom w:val="none" w:sz="0" w:space="0" w:color="auto"/>
        <w:right w:val="none" w:sz="0" w:space="0" w:color="auto"/>
      </w:divBdr>
    </w:div>
    <w:div w:id="902762946">
      <w:bodyDiv w:val="1"/>
      <w:marLeft w:val="0"/>
      <w:marRight w:val="0"/>
      <w:marTop w:val="0"/>
      <w:marBottom w:val="0"/>
      <w:divBdr>
        <w:top w:val="none" w:sz="0" w:space="0" w:color="auto"/>
        <w:left w:val="none" w:sz="0" w:space="0" w:color="auto"/>
        <w:bottom w:val="none" w:sz="0" w:space="0" w:color="auto"/>
        <w:right w:val="none" w:sz="0" w:space="0" w:color="auto"/>
      </w:divBdr>
    </w:div>
    <w:div w:id="1158305240">
      <w:bodyDiv w:val="1"/>
      <w:marLeft w:val="0"/>
      <w:marRight w:val="0"/>
      <w:marTop w:val="0"/>
      <w:marBottom w:val="0"/>
      <w:divBdr>
        <w:top w:val="none" w:sz="0" w:space="0" w:color="auto"/>
        <w:left w:val="none" w:sz="0" w:space="0" w:color="auto"/>
        <w:bottom w:val="none" w:sz="0" w:space="0" w:color="auto"/>
        <w:right w:val="none" w:sz="0" w:space="0" w:color="auto"/>
      </w:divBdr>
    </w:div>
    <w:div w:id="1224022004">
      <w:bodyDiv w:val="1"/>
      <w:marLeft w:val="0"/>
      <w:marRight w:val="0"/>
      <w:marTop w:val="0"/>
      <w:marBottom w:val="0"/>
      <w:divBdr>
        <w:top w:val="none" w:sz="0" w:space="0" w:color="auto"/>
        <w:left w:val="none" w:sz="0" w:space="0" w:color="auto"/>
        <w:bottom w:val="none" w:sz="0" w:space="0" w:color="auto"/>
        <w:right w:val="none" w:sz="0" w:space="0" w:color="auto"/>
      </w:divBdr>
    </w:div>
    <w:div w:id="1253053710">
      <w:bodyDiv w:val="1"/>
      <w:marLeft w:val="0"/>
      <w:marRight w:val="0"/>
      <w:marTop w:val="0"/>
      <w:marBottom w:val="0"/>
      <w:divBdr>
        <w:top w:val="none" w:sz="0" w:space="0" w:color="auto"/>
        <w:left w:val="none" w:sz="0" w:space="0" w:color="auto"/>
        <w:bottom w:val="none" w:sz="0" w:space="0" w:color="auto"/>
        <w:right w:val="none" w:sz="0" w:space="0" w:color="auto"/>
      </w:divBdr>
    </w:div>
    <w:div w:id="1286230381">
      <w:bodyDiv w:val="1"/>
      <w:marLeft w:val="0"/>
      <w:marRight w:val="0"/>
      <w:marTop w:val="0"/>
      <w:marBottom w:val="0"/>
      <w:divBdr>
        <w:top w:val="none" w:sz="0" w:space="0" w:color="auto"/>
        <w:left w:val="none" w:sz="0" w:space="0" w:color="auto"/>
        <w:bottom w:val="none" w:sz="0" w:space="0" w:color="auto"/>
        <w:right w:val="none" w:sz="0" w:space="0" w:color="auto"/>
      </w:divBdr>
    </w:div>
    <w:div w:id="1304120376">
      <w:bodyDiv w:val="1"/>
      <w:marLeft w:val="0"/>
      <w:marRight w:val="0"/>
      <w:marTop w:val="0"/>
      <w:marBottom w:val="0"/>
      <w:divBdr>
        <w:top w:val="none" w:sz="0" w:space="0" w:color="auto"/>
        <w:left w:val="none" w:sz="0" w:space="0" w:color="auto"/>
        <w:bottom w:val="none" w:sz="0" w:space="0" w:color="auto"/>
        <w:right w:val="none" w:sz="0" w:space="0" w:color="auto"/>
      </w:divBdr>
    </w:div>
    <w:div w:id="1365598655">
      <w:bodyDiv w:val="1"/>
      <w:marLeft w:val="0"/>
      <w:marRight w:val="0"/>
      <w:marTop w:val="0"/>
      <w:marBottom w:val="0"/>
      <w:divBdr>
        <w:top w:val="none" w:sz="0" w:space="0" w:color="auto"/>
        <w:left w:val="none" w:sz="0" w:space="0" w:color="auto"/>
        <w:bottom w:val="none" w:sz="0" w:space="0" w:color="auto"/>
        <w:right w:val="none" w:sz="0" w:space="0" w:color="auto"/>
      </w:divBdr>
    </w:div>
    <w:div w:id="1458841655">
      <w:bodyDiv w:val="1"/>
      <w:marLeft w:val="0"/>
      <w:marRight w:val="0"/>
      <w:marTop w:val="0"/>
      <w:marBottom w:val="0"/>
      <w:divBdr>
        <w:top w:val="none" w:sz="0" w:space="0" w:color="auto"/>
        <w:left w:val="none" w:sz="0" w:space="0" w:color="auto"/>
        <w:bottom w:val="none" w:sz="0" w:space="0" w:color="auto"/>
        <w:right w:val="none" w:sz="0" w:space="0" w:color="auto"/>
      </w:divBdr>
    </w:div>
    <w:div w:id="1535192467">
      <w:bodyDiv w:val="1"/>
      <w:marLeft w:val="0"/>
      <w:marRight w:val="0"/>
      <w:marTop w:val="0"/>
      <w:marBottom w:val="0"/>
      <w:divBdr>
        <w:top w:val="none" w:sz="0" w:space="0" w:color="auto"/>
        <w:left w:val="none" w:sz="0" w:space="0" w:color="auto"/>
        <w:bottom w:val="none" w:sz="0" w:space="0" w:color="auto"/>
        <w:right w:val="none" w:sz="0" w:space="0" w:color="auto"/>
      </w:divBdr>
    </w:div>
    <w:div w:id="1546520952">
      <w:bodyDiv w:val="1"/>
      <w:marLeft w:val="0"/>
      <w:marRight w:val="0"/>
      <w:marTop w:val="0"/>
      <w:marBottom w:val="0"/>
      <w:divBdr>
        <w:top w:val="none" w:sz="0" w:space="0" w:color="auto"/>
        <w:left w:val="none" w:sz="0" w:space="0" w:color="auto"/>
        <w:bottom w:val="none" w:sz="0" w:space="0" w:color="auto"/>
        <w:right w:val="none" w:sz="0" w:space="0" w:color="auto"/>
      </w:divBdr>
    </w:div>
    <w:div w:id="1561205551">
      <w:bodyDiv w:val="1"/>
      <w:marLeft w:val="0"/>
      <w:marRight w:val="0"/>
      <w:marTop w:val="0"/>
      <w:marBottom w:val="0"/>
      <w:divBdr>
        <w:top w:val="none" w:sz="0" w:space="0" w:color="auto"/>
        <w:left w:val="none" w:sz="0" w:space="0" w:color="auto"/>
        <w:bottom w:val="none" w:sz="0" w:space="0" w:color="auto"/>
        <w:right w:val="none" w:sz="0" w:space="0" w:color="auto"/>
      </w:divBdr>
    </w:div>
    <w:div w:id="1564755842">
      <w:bodyDiv w:val="1"/>
      <w:marLeft w:val="0"/>
      <w:marRight w:val="0"/>
      <w:marTop w:val="0"/>
      <w:marBottom w:val="0"/>
      <w:divBdr>
        <w:top w:val="none" w:sz="0" w:space="0" w:color="auto"/>
        <w:left w:val="none" w:sz="0" w:space="0" w:color="auto"/>
        <w:bottom w:val="none" w:sz="0" w:space="0" w:color="auto"/>
        <w:right w:val="none" w:sz="0" w:space="0" w:color="auto"/>
      </w:divBdr>
    </w:div>
    <w:div w:id="1612005736">
      <w:bodyDiv w:val="1"/>
      <w:marLeft w:val="0"/>
      <w:marRight w:val="0"/>
      <w:marTop w:val="0"/>
      <w:marBottom w:val="0"/>
      <w:divBdr>
        <w:top w:val="none" w:sz="0" w:space="0" w:color="auto"/>
        <w:left w:val="none" w:sz="0" w:space="0" w:color="auto"/>
        <w:bottom w:val="none" w:sz="0" w:space="0" w:color="auto"/>
        <w:right w:val="none" w:sz="0" w:space="0" w:color="auto"/>
      </w:divBdr>
    </w:div>
    <w:div w:id="1722366631">
      <w:bodyDiv w:val="1"/>
      <w:marLeft w:val="0"/>
      <w:marRight w:val="0"/>
      <w:marTop w:val="0"/>
      <w:marBottom w:val="0"/>
      <w:divBdr>
        <w:top w:val="none" w:sz="0" w:space="0" w:color="auto"/>
        <w:left w:val="none" w:sz="0" w:space="0" w:color="auto"/>
        <w:bottom w:val="none" w:sz="0" w:space="0" w:color="auto"/>
        <w:right w:val="none" w:sz="0" w:space="0" w:color="auto"/>
      </w:divBdr>
    </w:div>
    <w:div w:id="1835875655">
      <w:bodyDiv w:val="1"/>
      <w:marLeft w:val="0"/>
      <w:marRight w:val="0"/>
      <w:marTop w:val="0"/>
      <w:marBottom w:val="0"/>
      <w:divBdr>
        <w:top w:val="none" w:sz="0" w:space="0" w:color="auto"/>
        <w:left w:val="none" w:sz="0" w:space="0" w:color="auto"/>
        <w:bottom w:val="none" w:sz="0" w:space="0" w:color="auto"/>
        <w:right w:val="none" w:sz="0" w:space="0" w:color="auto"/>
      </w:divBdr>
    </w:div>
    <w:div w:id="1926104700">
      <w:bodyDiv w:val="1"/>
      <w:marLeft w:val="0"/>
      <w:marRight w:val="0"/>
      <w:marTop w:val="0"/>
      <w:marBottom w:val="0"/>
      <w:divBdr>
        <w:top w:val="none" w:sz="0" w:space="0" w:color="auto"/>
        <w:left w:val="none" w:sz="0" w:space="0" w:color="auto"/>
        <w:bottom w:val="none" w:sz="0" w:space="0" w:color="auto"/>
        <w:right w:val="none" w:sz="0" w:space="0" w:color="auto"/>
      </w:divBdr>
    </w:div>
    <w:div w:id="2027096275">
      <w:bodyDiv w:val="1"/>
      <w:marLeft w:val="0"/>
      <w:marRight w:val="0"/>
      <w:marTop w:val="0"/>
      <w:marBottom w:val="0"/>
      <w:divBdr>
        <w:top w:val="none" w:sz="0" w:space="0" w:color="auto"/>
        <w:left w:val="none" w:sz="0" w:space="0" w:color="auto"/>
        <w:bottom w:val="none" w:sz="0" w:space="0" w:color="auto"/>
        <w:right w:val="none" w:sz="0" w:space="0" w:color="auto"/>
      </w:divBdr>
    </w:div>
    <w:div w:id="2028677711">
      <w:bodyDiv w:val="1"/>
      <w:marLeft w:val="0"/>
      <w:marRight w:val="0"/>
      <w:marTop w:val="0"/>
      <w:marBottom w:val="0"/>
      <w:divBdr>
        <w:top w:val="none" w:sz="0" w:space="0" w:color="auto"/>
        <w:left w:val="none" w:sz="0" w:space="0" w:color="auto"/>
        <w:bottom w:val="none" w:sz="0" w:space="0" w:color="auto"/>
        <w:right w:val="none" w:sz="0" w:space="0" w:color="auto"/>
      </w:divBdr>
    </w:div>
    <w:div w:id="2102480980">
      <w:bodyDiv w:val="1"/>
      <w:marLeft w:val="0"/>
      <w:marRight w:val="0"/>
      <w:marTop w:val="0"/>
      <w:marBottom w:val="0"/>
      <w:divBdr>
        <w:top w:val="none" w:sz="0" w:space="0" w:color="auto"/>
        <w:left w:val="none" w:sz="0" w:space="0" w:color="auto"/>
        <w:bottom w:val="none" w:sz="0" w:space="0" w:color="auto"/>
        <w:right w:val="none" w:sz="0" w:space="0" w:color="auto"/>
      </w:divBdr>
    </w:div>
    <w:div w:id="21302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Cham_t_2013_16x9">
  <a:themeElements>
    <a:clrScheme name="Chamber_colors">
      <a:dk1>
        <a:srgbClr val="1A2B59"/>
      </a:dk1>
      <a:lt1>
        <a:sysClr val="window" lastClr="FFFFFF"/>
      </a:lt1>
      <a:dk2>
        <a:srgbClr val="3D527E"/>
      </a:dk2>
      <a:lt2>
        <a:srgbClr val="F4F4F4"/>
      </a:lt2>
      <a:accent1>
        <a:srgbClr val="7D87B2"/>
      </a:accent1>
      <a:accent2>
        <a:srgbClr val="C90030"/>
      </a:accent2>
      <a:accent3>
        <a:srgbClr val="B5BED0"/>
      </a:accent3>
      <a:accent4>
        <a:srgbClr val="F19885"/>
      </a:accent4>
      <a:accent5>
        <a:srgbClr val="D7E1F7"/>
      </a:accent5>
      <a:accent6>
        <a:srgbClr val="F9C7BE"/>
      </a:accent6>
      <a:hlink>
        <a:srgbClr val="3F5DD4"/>
      </a:hlink>
      <a:folHlink>
        <a:srgbClr val="BD1B8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5B5EBFE339E449AEAA6D8AC1AD110" ma:contentTypeVersion="1" ma:contentTypeDescription="Create a new document." ma:contentTypeScope="" ma:versionID="1ba81feaff233e806a1b69c3b0602462">
  <xsd:schema xmlns:xsd="http://www.w3.org/2001/XMLSchema" xmlns:xs="http://www.w3.org/2001/XMLSchema" xmlns:p="http://schemas.microsoft.com/office/2006/metadata/properties" xmlns:ns2="533765e8-fc3d-49d5-8fa6-1eaf5adb3810" targetNamespace="http://schemas.microsoft.com/office/2006/metadata/properties" ma:root="true" ma:fieldsID="aac5a4198050c342ab04cac4b5917167" ns2:_="">
    <xsd:import namespace="533765e8-fc3d-49d5-8fa6-1eaf5adb38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9973-FB66-4551-A6D3-77D3AD14B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A6254-29D1-4198-AF4B-6C34B06F78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33765e8-fc3d-49d5-8fa6-1eaf5adb381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723AE44-43F2-4C49-A6FF-A23FF2EE2217}">
  <ds:schemaRefs>
    <ds:schemaRef ds:uri="http://schemas.microsoft.com/sharepoint/v3/contenttype/forms"/>
  </ds:schemaRefs>
</ds:datastoreItem>
</file>

<file path=customXml/itemProps4.xml><?xml version="1.0" encoding="utf-8"?>
<ds:datastoreItem xmlns:ds="http://schemas.openxmlformats.org/officeDocument/2006/customXml" ds:itemID="{96A6B9B7-CEC4-4942-B927-482371A1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1355</Words>
  <Characters>7729</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 Windows</cp:lastModifiedBy>
  <cp:revision>5</cp:revision>
  <cp:lastPrinted>2017-06-14T12:07:00Z</cp:lastPrinted>
  <dcterms:created xsi:type="dcterms:W3CDTF">2018-02-05T17:15:00Z</dcterms:created>
  <dcterms:modified xsi:type="dcterms:W3CDTF">2018-02-05T20:02:00Z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0x010100A9A5B5EBFE339E449AEAA6D8AC1AD110</vt:lpwstr>
  </property>
</Properties>
</file>