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99" w:rsidRPr="00696022" w:rsidRDefault="00D03AD6" w:rsidP="00D03AD6">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 xml:space="preserve">ПЕРЕЛІК </w:t>
      </w:r>
      <w:r w:rsidR="009B219F">
        <w:rPr>
          <w:rFonts w:ascii="Times New Roman" w:hAnsi="Times New Roman" w:cs="Times New Roman"/>
          <w:b/>
          <w:sz w:val="20"/>
          <w:szCs w:val="20"/>
          <w:lang w:val="uk-UA"/>
        </w:rPr>
        <w:t xml:space="preserve">АКТУАЛЬНИХ </w:t>
      </w:r>
      <w:r w:rsidRPr="00696022">
        <w:rPr>
          <w:rFonts w:ascii="Times New Roman" w:hAnsi="Times New Roman" w:cs="Times New Roman"/>
          <w:b/>
          <w:sz w:val="20"/>
          <w:szCs w:val="20"/>
          <w:lang w:val="uk-UA"/>
        </w:rPr>
        <w:t>ПРАВОВИХ ПОЗИЦІ</w:t>
      </w:r>
      <w:r w:rsidR="004F034D" w:rsidRPr="00696022">
        <w:rPr>
          <w:rFonts w:ascii="Times New Roman" w:hAnsi="Times New Roman" w:cs="Times New Roman"/>
          <w:b/>
          <w:sz w:val="20"/>
          <w:szCs w:val="20"/>
          <w:lang w:val="uk-UA"/>
        </w:rPr>
        <w:t>Й</w:t>
      </w:r>
      <w:r w:rsidRPr="00696022">
        <w:rPr>
          <w:rFonts w:ascii="Times New Roman" w:hAnsi="Times New Roman" w:cs="Times New Roman"/>
          <w:b/>
          <w:sz w:val="20"/>
          <w:szCs w:val="20"/>
          <w:lang w:val="uk-UA"/>
        </w:rPr>
        <w:t xml:space="preserve">, ЯКІ </w:t>
      </w:r>
      <w:r w:rsidR="00371B6D">
        <w:rPr>
          <w:rFonts w:ascii="Times New Roman" w:hAnsi="Times New Roman" w:cs="Times New Roman"/>
          <w:b/>
          <w:sz w:val="20"/>
          <w:szCs w:val="20"/>
          <w:lang w:val="uk-UA"/>
        </w:rPr>
        <w:t>ПОТРЕБУЮТЬ УВАГИ З БОКУ ВЕРХОВНОГО СУДУ</w:t>
      </w:r>
    </w:p>
    <w:tbl>
      <w:tblPr>
        <w:tblStyle w:val="TableGrid"/>
        <w:tblW w:w="15310" w:type="dxa"/>
        <w:tblInd w:w="-856" w:type="dxa"/>
        <w:tblLook w:val="04A0" w:firstRow="1" w:lastRow="0" w:firstColumn="1" w:lastColumn="0" w:noHBand="0" w:noVBand="1"/>
      </w:tblPr>
      <w:tblGrid>
        <w:gridCol w:w="562"/>
        <w:gridCol w:w="2416"/>
        <w:gridCol w:w="2268"/>
        <w:gridCol w:w="3543"/>
        <w:gridCol w:w="2694"/>
        <w:gridCol w:w="3827"/>
      </w:tblGrid>
      <w:tr w:rsidR="00D3107B" w:rsidRPr="00696022" w:rsidTr="00587C43">
        <w:tc>
          <w:tcPr>
            <w:tcW w:w="562" w:type="dxa"/>
            <w:vAlign w:val="center"/>
          </w:tcPr>
          <w:p w:rsidR="00D3107B" w:rsidRPr="00696022" w:rsidRDefault="00D3107B" w:rsidP="00D3107B">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w:t>
            </w:r>
          </w:p>
        </w:tc>
        <w:tc>
          <w:tcPr>
            <w:tcW w:w="2416" w:type="dxa"/>
            <w:vAlign w:val="center"/>
          </w:tcPr>
          <w:p w:rsidR="00D3107B" w:rsidRPr="00696022" w:rsidRDefault="00587C43" w:rsidP="00D3107B">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Вид судочинства</w:t>
            </w:r>
          </w:p>
        </w:tc>
        <w:tc>
          <w:tcPr>
            <w:tcW w:w="2268" w:type="dxa"/>
            <w:vAlign w:val="center"/>
          </w:tcPr>
          <w:p w:rsidR="00D3107B" w:rsidRPr="00696022" w:rsidRDefault="00D3107B" w:rsidP="00D3107B">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Категорія спорів</w:t>
            </w:r>
          </w:p>
        </w:tc>
        <w:tc>
          <w:tcPr>
            <w:tcW w:w="3543" w:type="dxa"/>
            <w:vAlign w:val="center"/>
          </w:tcPr>
          <w:p w:rsidR="00D3107B" w:rsidRPr="00696022" w:rsidRDefault="00D3107B" w:rsidP="004F034D">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 xml:space="preserve">Опис правової позиції </w:t>
            </w:r>
          </w:p>
        </w:tc>
        <w:tc>
          <w:tcPr>
            <w:tcW w:w="2694" w:type="dxa"/>
            <w:vAlign w:val="center"/>
          </w:tcPr>
          <w:p w:rsidR="00D3107B" w:rsidRPr="00696022" w:rsidRDefault="00D3107B" w:rsidP="00D3107B">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Рішення, в яких викладена позиція</w:t>
            </w:r>
          </w:p>
        </w:tc>
        <w:tc>
          <w:tcPr>
            <w:tcW w:w="3827" w:type="dxa"/>
            <w:vAlign w:val="center"/>
          </w:tcPr>
          <w:p w:rsidR="00D3107B" w:rsidRPr="00696022" w:rsidRDefault="00D3107B" w:rsidP="004F034D">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 xml:space="preserve">Коментарі </w:t>
            </w:r>
          </w:p>
        </w:tc>
      </w:tr>
      <w:tr w:rsidR="00D3107B" w:rsidRPr="007267AE" w:rsidTr="00587C43">
        <w:tc>
          <w:tcPr>
            <w:tcW w:w="562" w:type="dxa"/>
          </w:tcPr>
          <w:p w:rsidR="00D3107B" w:rsidRPr="00696022" w:rsidRDefault="00D3107B" w:rsidP="002E0CCE">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1</w:t>
            </w:r>
          </w:p>
        </w:tc>
        <w:tc>
          <w:tcPr>
            <w:tcW w:w="2416" w:type="dxa"/>
          </w:tcPr>
          <w:p w:rsidR="00D3107B" w:rsidRPr="00696022" w:rsidRDefault="007066E4" w:rsidP="00F4434D">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 xml:space="preserve">Адміністративне судочинство в комплексі з питаннями кримінального </w:t>
            </w:r>
            <w:r w:rsidR="00F4434D">
              <w:rPr>
                <w:rFonts w:ascii="Times New Roman" w:hAnsi="Times New Roman" w:cs="Times New Roman"/>
                <w:sz w:val="20"/>
                <w:szCs w:val="20"/>
                <w:lang w:val="uk-UA"/>
              </w:rPr>
              <w:t>провадження</w:t>
            </w:r>
          </w:p>
        </w:tc>
        <w:tc>
          <w:tcPr>
            <w:tcW w:w="2268" w:type="dxa"/>
          </w:tcPr>
          <w:p w:rsidR="00D3107B" w:rsidRPr="00696022" w:rsidRDefault="00D3107B" w:rsidP="00587C43">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Спори щодо податкових нарахува</w:t>
            </w:r>
            <w:r w:rsidR="00587C43" w:rsidRPr="00696022">
              <w:rPr>
                <w:rFonts w:ascii="Times New Roman" w:hAnsi="Times New Roman" w:cs="Times New Roman"/>
                <w:sz w:val="20"/>
                <w:szCs w:val="20"/>
                <w:lang w:val="uk-UA"/>
              </w:rPr>
              <w:t>нь, які здійсненні у зв’язку з так званою «фіктивністю» контрагента в ланцюгу постачання платника</w:t>
            </w:r>
            <w:r w:rsidRPr="00696022">
              <w:rPr>
                <w:rFonts w:ascii="Times New Roman" w:hAnsi="Times New Roman" w:cs="Times New Roman"/>
                <w:sz w:val="20"/>
                <w:szCs w:val="20"/>
                <w:lang w:val="uk-UA"/>
              </w:rPr>
              <w:t xml:space="preserve"> </w:t>
            </w:r>
          </w:p>
        </w:tc>
        <w:tc>
          <w:tcPr>
            <w:tcW w:w="3543" w:type="dxa"/>
          </w:tcPr>
          <w:p w:rsidR="00542754" w:rsidRDefault="00542754" w:rsidP="006342C1">
            <w:pPr>
              <w:jc w:val="both"/>
              <w:rPr>
                <w:rFonts w:ascii="Times New Roman" w:hAnsi="Times New Roman" w:cs="Times New Roman"/>
                <w:sz w:val="20"/>
                <w:szCs w:val="20"/>
                <w:lang w:val="uk-UA"/>
              </w:rPr>
            </w:pPr>
            <w:r>
              <w:rPr>
                <w:rFonts w:ascii="Times New Roman" w:hAnsi="Times New Roman" w:cs="Times New Roman"/>
                <w:sz w:val="20"/>
                <w:szCs w:val="20"/>
                <w:lang w:val="uk-UA"/>
              </w:rPr>
              <w:t>У справах про нарахування податків, у зв’язку з певними недоліками в юридичному статусі учасників ланцюга постачання товарів/послуг, Верховним Судом України сформована позиція, відповідно до якої:</w:t>
            </w:r>
          </w:p>
          <w:p w:rsidR="00542754" w:rsidRDefault="00542754" w:rsidP="006342C1">
            <w:pPr>
              <w:jc w:val="both"/>
              <w:rPr>
                <w:rFonts w:ascii="Times New Roman" w:hAnsi="Times New Roman" w:cs="Times New Roman"/>
                <w:sz w:val="20"/>
                <w:szCs w:val="20"/>
                <w:lang w:val="uk-UA"/>
              </w:rPr>
            </w:pPr>
          </w:p>
          <w:p w:rsidR="00D3107B" w:rsidRPr="00696022" w:rsidRDefault="0092586B" w:rsidP="006342C1">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w:t>
            </w:r>
            <w:r w:rsidRPr="00696022">
              <w:rPr>
                <w:rFonts w:ascii="Times New Roman" w:hAnsi="Times New Roman" w:cs="Times New Roman"/>
                <w:i/>
                <w:sz w:val="20"/>
                <w:szCs w:val="20"/>
                <w:lang w:val="uk-UA"/>
              </w:rPr>
              <w:t>С</w:t>
            </w:r>
            <w:r w:rsidR="00D3107B" w:rsidRPr="00696022">
              <w:rPr>
                <w:rFonts w:ascii="Times New Roman" w:hAnsi="Times New Roman" w:cs="Times New Roman"/>
                <w:i/>
                <w:sz w:val="20"/>
                <w:szCs w:val="20"/>
                <w:lang w:val="uk-UA"/>
              </w:rPr>
              <w:t>татус фіктивного, нелегального підприємства несумісний з легальною підприємницькою діяльністю. Господарські операції таких підприємств не можуть бути легалізовані навіть за формального підтвердження документами бухгалтерського обліку</w:t>
            </w:r>
            <w:r w:rsidR="00E13C25" w:rsidRPr="00696022">
              <w:rPr>
                <w:rFonts w:ascii="Times New Roman" w:hAnsi="Times New Roman" w:cs="Times New Roman"/>
                <w:sz w:val="20"/>
                <w:szCs w:val="20"/>
                <w:lang w:val="uk-UA"/>
              </w:rPr>
              <w:t>».</w:t>
            </w:r>
          </w:p>
          <w:p w:rsidR="00D3107B" w:rsidRDefault="00D3107B" w:rsidP="006342C1">
            <w:pPr>
              <w:jc w:val="both"/>
              <w:rPr>
                <w:rFonts w:ascii="Times New Roman" w:hAnsi="Times New Roman" w:cs="Times New Roman"/>
                <w:sz w:val="20"/>
                <w:szCs w:val="20"/>
                <w:lang w:val="uk-UA"/>
              </w:rPr>
            </w:pPr>
          </w:p>
          <w:p w:rsidR="009B2514" w:rsidRDefault="00542754" w:rsidP="006342C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 судовій практиці, така правова позиція </w:t>
            </w:r>
            <w:r w:rsidR="00AB7498">
              <w:rPr>
                <w:rFonts w:ascii="Times New Roman" w:hAnsi="Times New Roman" w:cs="Times New Roman"/>
                <w:sz w:val="20"/>
                <w:szCs w:val="20"/>
                <w:lang w:val="uk-UA"/>
              </w:rPr>
              <w:t>трактується</w:t>
            </w:r>
            <w:r>
              <w:rPr>
                <w:rFonts w:ascii="Times New Roman" w:hAnsi="Times New Roman" w:cs="Times New Roman"/>
                <w:sz w:val="20"/>
                <w:szCs w:val="20"/>
                <w:lang w:val="uk-UA"/>
              </w:rPr>
              <w:t xml:space="preserve"> таким чином, що наявність відомостей про «фіктивність» особи в певному ланцюгу постачання слід розглядати як</w:t>
            </w:r>
            <w:r w:rsidR="00DD3F05">
              <w:rPr>
                <w:rFonts w:ascii="Times New Roman" w:hAnsi="Times New Roman" w:cs="Times New Roman"/>
                <w:sz w:val="20"/>
                <w:szCs w:val="20"/>
                <w:lang w:val="uk-UA"/>
              </w:rPr>
              <w:t>, свого роду, «універсальний доказ» і автоматична підстава для податкових нарахувань іншим учасникам такого ланцюга постачання.</w:t>
            </w:r>
          </w:p>
          <w:p w:rsidR="009B2514" w:rsidRDefault="009B2514" w:rsidP="006342C1">
            <w:pPr>
              <w:jc w:val="both"/>
              <w:rPr>
                <w:rFonts w:ascii="Times New Roman" w:hAnsi="Times New Roman" w:cs="Times New Roman"/>
                <w:sz w:val="20"/>
                <w:szCs w:val="20"/>
                <w:lang w:val="uk-UA"/>
              </w:rPr>
            </w:pPr>
          </w:p>
          <w:p w:rsidR="00555420" w:rsidRDefault="001915F6" w:rsidP="006342C1">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При цьому д</w:t>
            </w:r>
            <w:r w:rsidR="00BE5EB3" w:rsidRPr="00696022">
              <w:rPr>
                <w:rFonts w:ascii="Times New Roman" w:hAnsi="Times New Roman" w:cs="Times New Roman"/>
                <w:sz w:val="20"/>
                <w:szCs w:val="20"/>
                <w:lang w:val="uk-UA"/>
              </w:rPr>
              <w:t xml:space="preserve">жерелом відомостей про фіктивний статус контрагента розглядаються </w:t>
            </w:r>
            <w:r w:rsidR="00DD3F05">
              <w:rPr>
                <w:rFonts w:ascii="Times New Roman" w:hAnsi="Times New Roman" w:cs="Times New Roman"/>
                <w:sz w:val="20"/>
                <w:szCs w:val="20"/>
                <w:lang w:val="uk-UA"/>
              </w:rPr>
              <w:t xml:space="preserve">як </w:t>
            </w:r>
            <w:r w:rsidR="00BE5EB3" w:rsidRPr="00696022">
              <w:rPr>
                <w:rFonts w:ascii="Times New Roman" w:hAnsi="Times New Roman" w:cs="Times New Roman"/>
                <w:sz w:val="20"/>
                <w:szCs w:val="20"/>
                <w:lang w:val="uk-UA"/>
              </w:rPr>
              <w:t>вироки щодо посадових осіб підприємств за статтею 20</w:t>
            </w:r>
            <w:r w:rsidR="00DD3F05">
              <w:rPr>
                <w:rFonts w:ascii="Times New Roman" w:hAnsi="Times New Roman" w:cs="Times New Roman"/>
                <w:sz w:val="20"/>
                <w:szCs w:val="20"/>
                <w:lang w:val="uk-UA"/>
              </w:rPr>
              <w:t xml:space="preserve">5 Кримінального кодексу України, так і лише </w:t>
            </w:r>
            <w:r w:rsidR="00BE5EB3" w:rsidRPr="00696022">
              <w:rPr>
                <w:rFonts w:ascii="Times New Roman" w:hAnsi="Times New Roman" w:cs="Times New Roman"/>
                <w:sz w:val="20"/>
                <w:szCs w:val="20"/>
                <w:lang w:val="uk-UA"/>
              </w:rPr>
              <w:t>протоколи допиту цих осіб в таких кримінальних провадженнях</w:t>
            </w:r>
            <w:r w:rsidR="00F4434D">
              <w:rPr>
                <w:rFonts w:ascii="Times New Roman" w:hAnsi="Times New Roman" w:cs="Times New Roman"/>
                <w:sz w:val="20"/>
                <w:szCs w:val="20"/>
                <w:lang w:val="uk-UA"/>
              </w:rPr>
              <w:t>.</w:t>
            </w:r>
          </w:p>
          <w:p w:rsidR="00D3107B" w:rsidRPr="00696022" w:rsidRDefault="00D3107B" w:rsidP="006342C1">
            <w:pPr>
              <w:jc w:val="both"/>
              <w:rPr>
                <w:rFonts w:ascii="Times New Roman" w:hAnsi="Times New Roman" w:cs="Times New Roman"/>
                <w:sz w:val="20"/>
                <w:szCs w:val="20"/>
                <w:lang w:val="uk-UA"/>
              </w:rPr>
            </w:pPr>
          </w:p>
        </w:tc>
        <w:tc>
          <w:tcPr>
            <w:tcW w:w="2694" w:type="dxa"/>
          </w:tcPr>
          <w:p w:rsidR="00D3107B" w:rsidRPr="00696022" w:rsidRDefault="00D3107B" w:rsidP="00B57DB6">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Постанови Верховного Суду України: від 22.09.2015 у справі № 810/5645/14; від 03.11.2015 у справі № 826/3477/13-а; від 01.12.2015 у справі № 826/15034/14; від 12.01.2016 у справі № 21-3706а15</w:t>
            </w:r>
          </w:p>
          <w:p w:rsidR="00D3107B" w:rsidRPr="00696022" w:rsidRDefault="00D3107B" w:rsidP="002E0CCE">
            <w:pPr>
              <w:jc w:val="both"/>
              <w:rPr>
                <w:rFonts w:ascii="Times New Roman" w:hAnsi="Times New Roman" w:cs="Times New Roman"/>
                <w:sz w:val="20"/>
                <w:szCs w:val="20"/>
                <w:lang w:val="uk-UA"/>
              </w:rPr>
            </w:pPr>
          </w:p>
        </w:tc>
        <w:tc>
          <w:tcPr>
            <w:tcW w:w="3827" w:type="dxa"/>
          </w:tcPr>
          <w:p w:rsidR="0051241A" w:rsidRDefault="0051241A" w:rsidP="0051241A">
            <w:pPr>
              <w:jc w:val="both"/>
              <w:rPr>
                <w:rFonts w:ascii="Times New Roman" w:hAnsi="Times New Roman" w:cs="Times New Roman"/>
                <w:color w:val="000000"/>
                <w:sz w:val="20"/>
                <w:szCs w:val="20"/>
                <w:shd w:val="clear" w:color="auto" w:fill="FFFFFF"/>
                <w:lang w:val="uk-UA"/>
              </w:rPr>
            </w:pPr>
            <w:r>
              <w:rPr>
                <w:rFonts w:ascii="Times New Roman" w:hAnsi="Times New Roman" w:cs="Times New Roman"/>
                <w:sz w:val="20"/>
                <w:szCs w:val="20"/>
                <w:lang w:val="uk-UA"/>
              </w:rPr>
              <w:t>Така правова п</w:t>
            </w:r>
            <w:r w:rsidR="00D3107B" w:rsidRPr="0051241A">
              <w:rPr>
                <w:rFonts w:ascii="Times New Roman" w:hAnsi="Times New Roman" w:cs="Times New Roman"/>
                <w:sz w:val="20"/>
                <w:szCs w:val="20"/>
                <w:lang w:val="uk-UA"/>
              </w:rPr>
              <w:t xml:space="preserve">озиція </w:t>
            </w:r>
            <w:r>
              <w:rPr>
                <w:rFonts w:ascii="Times New Roman" w:hAnsi="Times New Roman" w:cs="Times New Roman"/>
                <w:sz w:val="20"/>
                <w:szCs w:val="20"/>
                <w:lang w:val="uk-UA"/>
              </w:rPr>
              <w:t xml:space="preserve">не відповідає численній </w:t>
            </w:r>
            <w:r>
              <w:rPr>
                <w:rFonts w:ascii="Times New Roman" w:hAnsi="Times New Roman" w:cs="Times New Roman"/>
                <w:color w:val="000000"/>
                <w:sz w:val="20"/>
                <w:szCs w:val="20"/>
                <w:shd w:val="clear" w:color="auto" w:fill="FFFFFF"/>
                <w:lang w:val="uk-UA"/>
              </w:rPr>
              <w:t xml:space="preserve">практиці </w:t>
            </w:r>
            <w:r w:rsidRPr="0051241A">
              <w:rPr>
                <w:rFonts w:ascii="Times New Roman" w:hAnsi="Times New Roman" w:cs="Times New Roman"/>
                <w:color w:val="000000"/>
                <w:sz w:val="20"/>
                <w:szCs w:val="20"/>
                <w:shd w:val="clear" w:color="auto" w:fill="FFFFFF"/>
                <w:lang w:val="uk-UA"/>
              </w:rPr>
              <w:t xml:space="preserve">Вищого адміністративного суду України, відповідно до якої </w:t>
            </w:r>
            <w:r>
              <w:rPr>
                <w:rFonts w:ascii="Times New Roman" w:hAnsi="Times New Roman" w:cs="Times New Roman"/>
                <w:color w:val="000000"/>
                <w:sz w:val="20"/>
                <w:szCs w:val="20"/>
                <w:shd w:val="clear" w:color="auto" w:fill="FFFFFF"/>
                <w:lang w:val="uk-UA"/>
              </w:rPr>
              <w:t>фіктивний статус учасника ланцюга постачання не означає автоматичну фіктивність всіх операцій в межах такого ланцюга.</w:t>
            </w:r>
          </w:p>
          <w:p w:rsidR="0051241A" w:rsidRDefault="0051241A" w:rsidP="0051241A">
            <w:pPr>
              <w:jc w:val="both"/>
              <w:rPr>
                <w:rFonts w:ascii="Times New Roman" w:hAnsi="Times New Roman" w:cs="Times New Roman"/>
                <w:color w:val="000000"/>
                <w:sz w:val="20"/>
                <w:szCs w:val="20"/>
                <w:shd w:val="clear" w:color="auto" w:fill="FFFFFF"/>
                <w:lang w:val="uk-UA"/>
              </w:rPr>
            </w:pPr>
          </w:p>
          <w:p w:rsidR="0051241A" w:rsidRPr="000506A0" w:rsidRDefault="00BC2C25" w:rsidP="0051241A">
            <w:pPr>
              <w:jc w:val="both"/>
              <w:rPr>
                <w:rFonts w:ascii="Times New Roman" w:hAnsi="Times New Roman" w:cs="Times New Roman"/>
                <w:sz w:val="20"/>
                <w:szCs w:val="20"/>
                <w:lang w:val="uk-UA"/>
              </w:rPr>
            </w:pPr>
            <w:r>
              <w:rPr>
                <w:rFonts w:ascii="Times New Roman" w:hAnsi="Times New Roman" w:cs="Times New Roman"/>
                <w:color w:val="000000"/>
                <w:sz w:val="20"/>
                <w:szCs w:val="20"/>
                <w:shd w:val="clear" w:color="auto" w:fill="FFFFFF"/>
                <w:lang w:val="uk-UA"/>
              </w:rPr>
              <w:t xml:space="preserve">Така правова позиція </w:t>
            </w:r>
            <w:r w:rsidR="000506A0">
              <w:rPr>
                <w:rFonts w:ascii="Times New Roman" w:hAnsi="Times New Roman" w:cs="Times New Roman"/>
                <w:color w:val="000000"/>
                <w:sz w:val="20"/>
                <w:szCs w:val="20"/>
                <w:shd w:val="clear" w:color="auto" w:fill="FFFFFF"/>
                <w:lang w:val="uk-UA"/>
              </w:rPr>
              <w:t xml:space="preserve">та її практичне застосування </w:t>
            </w:r>
            <w:r w:rsidR="007948C8">
              <w:rPr>
                <w:rFonts w:ascii="Times New Roman" w:hAnsi="Times New Roman" w:cs="Times New Roman"/>
                <w:color w:val="000000"/>
                <w:sz w:val="20"/>
                <w:szCs w:val="20"/>
                <w:shd w:val="clear" w:color="auto" w:fill="FFFFFF"/>
                <w:lang w:val="uk-UA"/>
              </w:rPr>
              <w:t>може потребувати також оцінки на її відповідність</w:t>
            </w:r>
            <w:r w:rsidR="000506A0">
              <w:rPr>
                <w:rFonts w:ascii="Times New Roman" w:hAnsi="Times New Roman" w:cs="Times New Roman"/>
                <w:color w:val="000000"/>
                <w:sz w:val="20"/>
                <w:szCs w:val="20"/>
                <w:shd w:val="clear" w:color="auto" w:fill="FFFFFF"/>
                <w:lang w:val="uk-UA"/>
              </w:rPr>
              <w:t>:</w:t>
            </w:r>
          </w:p>
          <w:p w:rsidR="00D3107B" w:rsidRPr="00696022" w:rsidRDefault="00D3107B" w:rsidP="005A065C">
            <w:pPr>
              <w:jc w:val="both"/>
              <w:rPr>
                <w:rFonts w:ascii="Times New Roman" w:hAnsi="Times New Roman" w:cs="Times New Roman"/>
                <w:sz w:val="20"/>
                <w:szCs w:val="20"/>
                <w:lang w:val="uk-UA"/>
              </w:rPr>
            </w:pPr>
          </w:p>
          <w:p w:rsidR="00D3107B" w:rsidRPr="00696022" w:rsidRDefault="00D3107B" w:rsidP="005A065C">
            <w:pPr>
              <w:pStyle w:val="ListParagraph"/>
              <w:numPr>
                <w:ilvl w:val="0"/>
                <w:numId w:val="4"/>
              </w:numPr>
              <w:ind w:left="317" w:hanging="283"/>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конституційн</w:t>
            </w:r>
            <w:r w:rsidR="007948C8">
              <w:rPr>
                <w:rFonts w:ascii="Times New Roman" w:hAnsi="Times New Roman" w:cs="Times New Roman"/>
                <w:sz w:val="20"/>
                <w:szCs w:val="20"/>
                <w:lang w:val="uk-UA"/>
              </w:rPr>
              <w:t>ому</w:t>
            </w:r>
            <w:r w:rsidRPr="00696022">
              <w:rPr>
                <w:rFonts w:ascii="Times New Roman" w:hAnsi="Times New Roman" w:cs="Times New Roman"/>
                <w:sz w:val="20"/>
                <w:szCs w:val="20"/>
                <w:lang w:val="uk-UA"/>
              </w:rPr>
              <w:t xml:space="preserve"> принцип</w:t>
            </w:r>
            <w:r w:rsidR="007948C8">
              <w:rPr>
                <w:rFonts w:ascii="Times New Roman" w:hAnsi="Times New Roman" w:cs="Times New Roman"/>
                <w:sz w:val="20"/>
                <w:szCs w:val="20"/>
                <w:lang w:val="uk-UA"/>
              </w:rPr>
              <w:t>у</w:t>
            </w:r>
            <w:r w:rsidRPr="00696022">
              <w:rPr>
                <w:rFonts w:ascii="Times New Roman" w:hAnsi="Times New Roman" w:cs="Times New Roman"/>
                <w:sz w:val="20"/>
                <w:szCs w:val="20"/>
                <w:lang w:val="uk-UA"/>
              </w:rPr>
              <w:t xml:space="preserve"> індивідуального характеру юридичної відповідальності особи (стаття 61 Конституції України);</w:t>
            </w:r>
          </w:p>
          <w:p w:rsidR="00D3107B" w:rsidRPr="00696022" w:rsidRDefault="000506A0" w:rsidP="005A065C">
            <w:pPr>
              <w:pStyle w:val="ListParagraph"/>
              <w:numPr>
                <w:ilvl w:val="0"/>
                <w:numId w:val="4"/>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практиці</w:t>
            </w:r>
            <w:r w:rsidR="00D3107B" w:rsidRPr="00696022">
              <w:rPr>
                <w:rFonts w:ascii="Times New Roman" w:hAnsi="Times New Roman" w:cs="Times New Roman"/>
                <w:sz w:val="20"/>
                <w:szCs w:val="20"/>
                <w:lang w:val="uk-UA"/>
              </w:rPr>
              <w:t xml:space="preserve"> Європейського суду з прав людини у справах «Булвес АД проти Болгарії» та «Інтерсплав проти України»;</w:t>
            </w:r>
          </w:p>
          <w:p w:rsidR="00D3107B" w:rsidRPr="00696022" w:rsidRDefault="000506A0" w:rsidP="000506A0">
            <w:pPr>
              <w:pStyle w:val="ListParagraph"/>
              <w:numPr>
                <w:ilvl w:val="0"/>
                <w:numId w:val="4"/>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теорії доказування та статусу</w:t>
            </w:r>
            <w:r w:rsidR="001A762B">
              <w:rPr>
                <w:rFonts w:ascii="Times New Roman" w:hAnsi="Times New Roman" w:cs="Times New Roman"/>
                <w:sz w:val="20"/>
                <w:szCs w:val="20"/>
                <w:lang w:val="uk-UA"/>
              </w:rPr>
              <w:t xml:space="preserve"> і силі</w:t>
            </w:r>
            <w:r>
              <w:rPr>
                <w:rFonts w:ascii="Times New Roman" w:hAnsi="Times New Roman" w:cs="Times New Roman"/>
                <w:sz w:val="20"/>
                <w:szCs w:val="20"/>
                <w:lang w:val="uk-UA"/>
              </w:rPr>
              <w:t xml:space="preserve"> окремих доказів</w:t>
            </w:r>
            <w:r w:rsidR="001A762B">
              <w:rPr>
                <w:rFonts w:ascii="Times New Roman" w:hAnsi="Times New Roman" w:cs="Times New Roman"/>
                <w:sz w:val="20"/>
                <w:szCs w:val="20"/>
                <w:lang w:val="uk-UA"/>
              </w:rPr>
              <w:t xml:space="preserve"> в адміністративному процесі</w:t>
            </w:r>
            <w:r>
              <w:rPr>
                <w:rFonts w:ascii="Times New Roman" w:hAnsi="Times New Roman" w:cs="Times New Roman"/>
                <w:sz w:val="20"/>
                <w:szCs w:val="20"/>
                <w:lang w:val="uk-UA"/>
              </w:rPr>
              <w:t>.</w:t>
            </w:r>
          </w:p>
        </w:tc>
      </w:tr>
      <w:tr w:rsidR="00D3107B" w:rsidRPr="007267AE" w:rsidTr="00587C43">
        <w:tc>
          <w:tcPr>
            <w:tcW w:w="562" w:type="dxa"/>
          </w:tcPr>
          <w:p w:rsidR="00D3107B" w:rsidRPr="00696022" w:rsidRDefault="00D3107B" w:rsidP="002E0CCE">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2</w:t>
            </w:r>
          </w:p>
        </w:tc>
        <w:tc>
          <w:tcPr>
            <w:tcW w:w="2416" w:type="dxa"/>
          </w:tcPr>
          <w:p w:rsidR="00D3107B" w:rsidRPr="00696022" w:rsidRDefault="001220E1" w:rsidP="002E0CCE">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Адміністративне судочинство</w:t>
            </w:r>
          </w:p>
        </w:tc>
        <w:tc>
          <w:tcPr>
            <w:tcW w:w="2268" w:type="dxa"/>
          </w:tcPr>
          <w:p w:rsidR="00D3107B" w:rsidRPr="00696022" w:rsidRDefault="00D3107B" w:rsidP="002E0CCE">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 xml:space="preserve">Спори щодо стягнення  сум податку з бюджету </w:t>
            </w:r>
          </w:p>
        </w:tc>
        <w:tc>
          <w:tcPr>
            <w:tcW w:w="3543" w:type="dxa"/>
          </w:tcPr>
          <w:p w:rsidR="00EE1436" w:rsidRDefault="00485DAC"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На думку Верховного Суду України, в</w:t>
            </w:r>
            <w:r w:rsidR="00D3107B" w:rsidRPr="00696022">
              <w:rPr>
                <w:rFonts w:ascii="Times New Roman" w:hAnsi="Times New Roman" w:cs="Times New Roman"/>
                <w:sz w:val="20"/>
                <w:szCs w:val="20"/>
                <w:lang w:val="uk-UA"/>
              </w:rPr>
              <w:t>имоги платників про стягнення сум податку (</w:t>
            </w:r>
            <w:r>
              <w:rPr>
                <w:rFonts w:ascii="Times New Roman" w:hAnsi="Times New Roman" w:cs="Times New Roman"/>
                <w:sz w:val="20"/>
                <w:szCs w:val="20"/>
                <w:lang w:val="uk-UA"/>
              </w:rPr>
              <w:t>надмірної сплати</w:t>
            </w:r>
            <w:r w:rsidR="00D3107B" w:rsidRPr="00696022">
              <w:rPr>
                <w:rFonts w:ascii="Times New Roman" w:hAnsi="Times New Roman" w:cs="Times New Roman"/>
                <w:sz w:val="20"/>
                <w:szCs w:val="20"/>
                <w:lang w:val="uk-UA"/>
              </w:rPr>
              <w:t xml:space="preserve"> або бюджетного відшкодування) з Державного бюджету є неналежним способом захисту їх прав. </w:t>
            </w:r>
          </w:p>
          <w:p w:rsidR="00D3107B" w:rsidRDefault="00D3107B" w:rsidP="002E0CCE">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lastRenderedPageBreak/>
              <w:t>Повноваженнями щодо повернення бюджетних коштів наділені виключно фіскальні органи, а тому Суд не може перебирати їх на себе.</w:t>
            </w:r>
          </w:p>
          <w:p w:rsidR="00EE1436" w:rsidRPr="00696022" w:rsidRDefault="00EE1436" w:rsidP="002E0CCE">
            <w:pPr>
              <w:jc w:val="both"/>
              <w:rPr>
                <w:rFonts w:ascii="Times New Roman" w:hAnsi="Times New Roman" w:cs="Times New Roman"/>
                <w:sz w:val="20"/>
                <w:szCs w:val="20"/>
                <w:lang w:val="uk-UA"/>
              </w:rPr>
            </w:pPr>
          </w:p>
          <w:p w:rsidR="00D3107B" w:rsidRPr="00696022" w:rsidRDefault="00D3107B" w:rsidP="002E0CCE">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Податковий кодекс України передбачає спеціальну процедуру повернення коштів із бюджету. Тому належним способом захисту є зобов’язання фіскального органу надати органу казначейства висновок про суму, яка підлягає відшкодуванню (поверненню) з бюджету.</w:t>
            </w:r>
          </w:p>
        </w:tc>
        <w:tc>
          <w:tcPr>
            <w:tcW w:w="2694" w:type="dxa"/>
          </w:tcPr>
          <w:p w:rsidR="00D3107B" w:rsidRPr="00696022" w:rsidRDefault="00D3107B" w:rsidP="002E0CCE">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lastRenderedPageBreak/>
              <w:t xml:space="preserve">Постанови Верховного Суду України: від 02.12.2015 у справі № 826/17403/14; від 24.11.2015 у справі № 816/1229/14; від 17.11.2015 у справі № 2а-18442/11/2670; </w:t>
            </w:r>
            <w:r w:rsidRPr="00696022">
              <w:rPr>
                <w:rFonts w:ascii="Times New Roman" w:hAnsi="Times New Roman" w:cs="Times New Roman"/>
                <w:sz w:val="20"/>
                <w:szCs w:val="20"/>
                <w:lang w:val="uk-UA"/>
              </w:rPr>
              <w:lastRenderedPageBreak/>
              <w:t>від 16.09.2015 у справі № 2а/0570/17001/2012</w:t>
            </w:r>
          </w:p>
        </w:tc>
        <w:tc>
          <w:tcPr>
            <w:tcW w:w="3827" w:type="dxa"/>
          </w:tcPr>
          <w:p w:rsidR="00EE1436" w:rsidRPr="00655525" w:rsidRDefault="00EE1436"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Така правова п</w:t>
            </w:r>
            <w:r w:rsidRPr="0051241A">
              <w:rPr>
                <w:rFonts w:ascii="Times New Roman" w:hAnsi="Times New Roman" w:cs="Times New Roman"/>
                <w:sz w:val="20"/>
                <w:szCs w:val="20"/>
                <w:lang w:val="uk-UA"/>
              </w:rPr>
              <w:t xml:space="preserve">озиція </w:t>
            </w:r>
            <w:r w:rsidR="004427A2">
              <w:rPr>
                <w:rFonts w:ascii="Times New Roman" w:hAnsi="Times New Roman" w:cs="Times New Roman"/>
                <w:sz w:val="20"/>
                <w:szCs w:val="20"/>
                <w:lang w:val="uk-UA"/>
              </w:rPr>
              <w:t xml:space="preserve">ставить під сумнів ефективність судового захисту прав платника у спорах про повернення чи відшкодування податків з бюджету, а також </w:t>
            </w:r>
            <w:r>
              <w:rPr>
                <w:rFonts w:ascii="Times New Roman" w:hAnsi="Times New Roman" w:cs="Times New Roman"/>
                <w:sz w:val="20"/>
                <w:szCs w:val="20"/>
                <w:lang w:val="uk-UA"/>
              </w:rPr>
              <w:t xml:space="preserve">не відповідає правовій </w:t>
            </w:r>
            <w:r w:rsidRPr="00655525">
              <w:rPr>
                <w:rFonts w:ascii="Times New Roman" w:hAnsi="Times New Roman" w:cs="Times New Roman"/>
                <w:sz w:val="20"/>
                <w:szCs w:val="20"/>
                <w:lang w:val="uk-UA"/>
              </w:rPr>
              <w:t>позиції</w:t>
            </w:r>
            <w:r w:rsidR="00655525" w:rsidRPr="00655525">
              <w:rPr>
                <w:rFonts w:ascii="Times New Roman" w:hAnsi="Times New Roman" w:cs="Times New Roman"/>
                <w:sz w:val="20"/>
                <w:szCs w:val="20"/>
                <w:lang w:val="uk-UA"/>
              </w:rPr>
              <w:t xml:space="preserve"> того ж Верховного Суду України, яка була </w:t>
            </w:r>
            <w:r w:rsidR="00655525" w:rsidRPr="00655525">
              <w:rPr>
                <w:rFonts w:ascii="Times New Roman" w:hAnsi="Times New Roman" w:cs="Times New Roman"/>
                <w:color w:val="000000"/>
                <w:sz w:val="20"/>
                <w:szCs w:val="20"/>
                <w:lang w:val="uk-UA"/>
              </w:rPr>
              <w:lastRenderedPageBreak/>
              <w:t xml:space="preserve">викладена в його </w:t>
            </w:r>
            <w:r w:rsidR="003E3A8C">
              <w:rPr>
                <w:rFonts w:ascii="Times New Roman" w:hAnsi="Times New Roman" w:cs="Times New Roman"/>
                <w:color w:val="000000"/>
                <w:sz w:val="20"/>
                <w:szCs w:val="20"/>
                <w:lang w:val="uk-UA"/>
              </w:rPr>
              <w:t>П</w:t>
            </w:r>
            <w:r w:rsidR="00655525" w:rsidRPr="00655525">
              <w:rPr>
                <w:rFonts w:ascii="Times New Roman" w:hAnsi="Times New Roman" w:cs="Times New Roman"/>
                <w:color w:val="000000"/>
                <w:sz w:val="20"/>
                <w:szCs w:val="20"/>
                <w:lang w:val="uk-UA"/>
              </w:rPr>
              <w:t xml:space="preserve">остановах від 24.02.2009 р. </w:t>
            </w:r>
            <w:r w:rsidR="003E3A8C">
              <w:rPr>
                <w:rFonts w:ascii="Times New Roman" w:hAnsi="Times New Roman" w:cs="Times New Roman"/>
                <w:color w:val="000000"/>
                <w:sz w:val="20"/>
                <w:szCs w:val="20"/>
                <w:lang w:val="uk-UA"/>
              </w:rPr>
              <w:t xml:space="preserve">у </w:t>
            </w:r>
            <w:r w:rsidR="00655525" w:rsidRPr="00655525">
              <w:rPr>
                <w:rFonts w:ascii="Times New Roman" w:hAnsi="Times New Roman" w:cs="Times New Roman"/>
                <w:color w:val="000000"/>
                <w:sz w:val="20"/>
                <w:szCs w:val="20"/>
                <w:lang w:val="uk-UA"/>
              </w:rPr>
              <w:t>справ</w:t>
            </w:r>
            <w:r w:rsidR="003E3A8C">
              <w:rPr>
                <w:rFonts w:ascii="Times New Roman" w:hAnsi="Times New Roman" w:cs="Times New Roman"/>
                <w:color w:val="000000"/>
                <w:sz w:val="20"/>
                <w:szCs w:val="20"/>
                <w:lang w:val="uk-UA"/>
              </w:rPr>
              <w:t>і</w:t>
            </w:r>
            <w:r w:rsidR="00655525" w:rsidRPr="00655525">
              <w:rPr>
                <w:rFonts w:ascii="Times New Roman" w:hAnsi="Times New Roman" w:cs="Times New Roman"/>
                <w:color w:val="000000"/>
                <w:sz w:val="20"/>
                <w:szCs w:val="20"/>
                <w:lang w:val="uk-UA"/>
              </w:rPr>
              <w:t xml:space="preserve"> </w:t>
            </w:r>
            <w:r w:rsidR="003E3A8C">
              <w:rPr>
                <w:rFonts w:ascii="Times New Roman" w:hAnsi="Times New Roman" w:cs="Times New Roman"/>
                <w:color w:val="000000"/>
                <w:sz w:val="20"/>
                <w:szCs w:val="20"/>
                <w:lang w:val="uk-UA"/>
              </w:rPr>
              <w:t>№ </w:t>
            </w:r>
            <w:r w:rsidR="003E3A8C" w:rsidRPr="003E3A8C">
              <w:rPr>
                <w:rFonts w:ascii="Times New Roman" w:hAnsi="Times New Roman" w:cs="Times New Roman"/>
                <w:color w:val="000000"/>
                <w:sz w:val="20"/>
                <w:szCs w:val="20"/>
                <w:lang w:val="uk-UA"/>
              </w:rPr>
              <w:t>21-2141во08</w:t>
            </w:r>
            <w:r w:rsidR="00655525" w:rsidRPr="00655525">
              <w:rPr>
                <w:rFonts w:ascii="Times New Roman" w:hAnsi="Times New Roman" w:cs="Times New Roman"/>
                <w:color w:val="000000"/>
                <w:sz w:val="20"/>
                <w:szCs w:val="20"/>
                <w:lang w:val="uk-UA"/>
              </w:rPr>
              <w:t xml:space="preserve"> та від 17.06.2008 р.</w:t>
            </w:r>
            <w:r w:rsidR="003E3A8C">
              <w:rPr>
                <w:rFonts w:ascii="Times New Roman" w:hAnsi="Times New Roman" w:cs="Times New Roman"/>
                <w:color w:val="000000"/>
                <w:sz w:val="20"/>
                <w:szCs w:val="20"/>
                <w:lang w:val="uk-UA"/>
              </w:rPr>
              <w:t xml:space="preserve"> у </w:t>
            </w:r>
            <w:r w:rsidR="00655525" w:rsidRPr="00655525">
              <w:rPr>
                <w:rFonts w:ascii="Times New Roman" w:hAnsi="Times New Roman" w:cs="Times New Roman"/>
                <w:color w:val="000000"/>
                <w:sz w:val="20"/>
                <w:szCs w:val="20"/>
                <w:lang w:val="uk-UA"/>
              </w:rPr>
              <w:t>справ</w:t>
            </w:r>
            <w:r w:rsidR="003E3A8C">
              <w:rPr>
                <w:rFonts w:ascii="Times New Roman" w:hAnsi="Times New Roman" w:cs="Times New Roman"/>
                <w:color w:val="000000"/>
                <w:sz w:val="20"/>
                <w:szCs w:val="20"/>
                <w:lang w:val="uk-UA"/>
              </w:rPr>
              <w:t>і</w:t>
            </w:r>
            <w:r w:rsidR="00792FE6">
              <w:rPr>
                <w:rFonts w:ascii="Times New Roman" w:hAnsi="Times New Roman" w:cs="Times New Roman"/>
                <w:color w:val="000000"/>
                <w:sz w:val="20"/>
                <w:szCs w:val="20"/>
                <w:lang w:val="uk-UA"/>
              </w:rPr>
              <w:t xml:space="preserve"> № 21-587во08</w:t>
            </w:r>
            <w:r w:rsidR="003E3A8C">
              <w:rPr>
                <w:rFonts w:ascii="Times New Roman" w:hAnsi="Times New Roman" w:cs="Times New Roman"/>
                <w:color w:val="000000"/>
                <w:sz w:val="20"/>
                <w:szCs w:val="20"/>
                <w:lang w:val="uk-UA"/>
              </w:rPr>
              <w:t>.</w:t>
            </w:r>
          </w:p>
          <w:p w:rsidR="00EE1436" w:rsidRDefault="00EE1436" w:rsidP="002E0CCE">
            <w:pPr>
              <w:jc w:val="both"/>
              <w:rPr>
                <w:rFonts w:ascii="Times New Roman" w:hAnsi="Times New Roman" w:cs="Times New Roman"/>
                <w:sz w:val="20"/>
                <w:szCs w:val="20"/>
                <w:lang w:val="uk-UA"/>
              </w:rPr>
            </w:pPr>
          </w:p>
          <w:p w:rsidR="004427A2" w:rsidRDefault="00EE1436"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 Ухвалі від </w:t>
            </w:r>
            <w:r w:rsidR="003E3A8C">
              <w:rPr>
                <w:rFonts w:ascii="Times New Roman" w:hAnsi="Times New Roman" w:cs="Times New Roman"/>
                <w:sz w:val="20"/>
                <w:szCs w:val="20"/>
                <w:lang w:val="uk-UA"/>
              </w:rPr>
              <w:t>04.02.2016 у справі 806/2256/15</w:t>
            </w:r>
            <w:r>
              <w:rPr>
                <w:rFonts w:ascii="Times New Roman" w:hAnsi="Times New Roman" w:cs="Times New Roman"/>
                <w:sz w:val="20"/>
                <w:szCs w:val="20"/>
                <w:lang w:val="uk-UA"/>
              </w:rPr>
              <w:t xml:space="preserve"> </w:t>
            </w:r>
            <w:r>
              <w:rPr>
                <w:rFonts w:ascii="Times New Roman" w:hAnsi="Times New Roman" w:cs="Times New Roman"/>
                <w:color w:val="000000"/>
                <w:sz w:val="20"/>
                <w:szCs w:val="20"/>
                <w:shd w:val="clear" w:color="auto" w:fill="FFFFFF"/>
                <w:lang w:val="uk-UA"/>
              </w:rPr>
              <w:t>Вищий</w:t>
            </w:r>
            <w:r w:rsidRPr="0051241A">
              <w:rPr>
                <w:rFonts w:ascii="Times New Roman" w:hAnsi="Times New Roman" w:cs="Times New Roman"/>
                <w:color w:val="000000"/>
                <w:sz w:val="20"/>
                <w:szCs w:val="20"/>
                <w:shd w:val="clear" w:color="auto" w:fill="FFFFFF"/>
                <w:lang w:val="uk-UA"/>
              </w:rPr>
              <w:t xml:space="preserve"> адміністративн</w:t>
            </w:r>
            <w:r>
              <w:rPr>
                <w:rFonts w:ascii="Times New Roman" w:hAnsi="Times New Roman" w:cs="Times New Roman"/>
                <w:color w:val="000000"/>
                <w:sz w:val="20"/>
                <w:szCs w:val="20"/>
                <w:shd w:val="clear" w:color="auto" w:fill="FFFFFF"/>
                <w:lang w:val="uk-UA"/>
              </w:rPr>
              <w:t>ий суд</w:t>
            </w:r>
            <w:r w:rsidRPr="0051241A">
              <w:rPr>
                <w:rFonts w:ascii="Times New Roman" w:hAnsi="Times New Roman" w:cs="Times New Roman"/>
                <w:color w:val="000000"/>
                <w:sz w:val="20"/>
                <w:szCs w:val="20"/>
                <w:shd w:val="clear" w:color="auto" w:fill="FFFFFF"/>
                <w:lang w:val="uk-UA"/>
              </w:rPr>
              <w:t xml:space="preserve"> України</w:t>
            </w:r>
            <w:r>
              <w:rPr>
                <w:rFonts w:ascii="Times New Roman" w:hAnsi="Times New Roman" w:cs="Times New Roman"/>
                <w:color w:val="000000"/>
                <w:sz w:val="20"/>
                <w:szCs w:val="20"/>
                <w:shd w:val="clear" w:color="auto" w:fill="FFFFFF"/>
                <w:lang w:val="uk-UA"/>
              </w:rPr>
              <w:t xml:space="preserve"> також відійшов від такого висновку Верховного Суду України.</w:t>
            </w:r>
            <w:r w:rsidRPr="00696022">
              <w:rPr>
                <w:rFonts w:ascii="Times New Roman" w:hAnsi="Times New Roman" w:cs="Times New Roman"/>
                <w:sz w:val="20"/>
                <w:szCs w:val="20"/>
                <w:lang w:val="uk-UA"/>
              </w:rPr>
              <w:t xml:space="preserve"> </w:t>
            </w:r>
          </w:p>
          <w:p w:rsidR="004427A2" w:rsidRDefault="004427A2" w:rsidP="002E0CCE">
            <w:pPr>
              <w:jc w:val="both"/>
              <w:rPr>
                <w:rFonts w:ascii="Times New Roman" w:hAnsi="Times New Roman" w:cs="Times New Roman"/>
                <w:sz w:val="20"/>
                <w:szCs w:val="20"/>
                <w:lang w:val="uk-UA"/>
              </w:rPr>
            </w:pPr>
          </w:p>
          <w:p w:rsidR="00D8763A" w:rsidRDefault="00B33C0B" w:rsidP="00B33C0B">
            <w:pPr>
              <w:jc w:val="both"/>
              <w:rPr>
                <w:rFonts w:ascii="Times New Roman" w:hAnsi="Times New Roman" w:cs="Times New Roman"/>
                <w:color w:val="000000"/>
                <w:sz w:val="20"/>
                <w:szCs w:val="20"/>
                <w:shd w:val="clear" w:color="auto" w:fill="FFFFFF"/>
                <w:lang w:val="uk-UA"/>
              </w:rPr>
            </w:pPr>
            <w:r>
              <w:rPr>
                <w:rFonts w:ascii="Times New Roman" w:hAnsi="Times New Roman" w:cs="Times New Roman"/>
                <w:color w:val="000000"/>
                <w:sz w:val="20"/>
                <w:szCs w:val="20"/>
                <w:shd w:val="clear" w:color="auto" w:fill="FFFFFF"/>
                <w:lang w:val="uk-UA"/>
              </w:rPr>
              <w:t xml:space="preserve">Така правова позиція </w:t>
            </w:r>
            <w:r w:rsidRPr="00B33C0B">
              <w:rPr>
                <w:rFonts w:ascii="Times New Roman" w:hAnsi="Times New Roman" w:cs="Times New Roman"/>
                <w:color w:val="000000"/>
                <w:sz w:val="20"/>
                <w:szCs w:val="20"/>
                <w:shd w:val="clear" w:color="auto" w:fill="FFFFFF"/>
                <w:lang w:val="uk-UA"/>
              </w:rPr>
              <w:t>може потребувати також оцінки на її відповідність</w:t>
            </w:r>
            <w:r w:rsidR="00D8763A">
              <w:rPr>
                <w:rFonts w:ascii="Times New Roman" w:hAnsi="Times New Roman" w:cs="Times New Roman"/>
                <w:color w:val="000000"/>
                <w:sz w:val="20"/>
                <w:szCs w:val="20"/>
                <w:shd w:val="clear" w:color="auto" w:fill="FFFFFF"/>
                <w:lang w:val="uk-UA"/>
              </w:rPr>
              <w:t>:</w:t>
            </w:r>
          </w:p>
          <w:p w:rsidR="00D8763A" w:rsidRDefault="00D8763A" w:rsidP="00B33C0B">
            <w:pPr>
              <w:jc w:val="both"/>
              <w:rPr>
                <w:rFonts w:ascii="Times New Roman" w:hAnsi="Times New Roman" w:cs="Times New Roman"/>
                <w:color w:val="000000"/>
                <w:sz w:val="20"/>
                <w:szCs w:val="20"/>
                <w:shd w:val="clear" w:color="auto" w:fill="FFFFFF"/>
                <w:lang w:val="uk-UA"/>
              </w:rPr>
            </w:pPr>
          </w:p>
          <w:p w:rsidR="00D3107B" w:rsidRPr="00B33C0B" w:rsidRDefault="00D3107B" w:rsidP="00D8763A">
            <w:pPr>
              <w:pStyle w:val="ListParagraph"/>
              <w:numPr>
                <w:ilvl w:val="0"/>
                <w:numId w:val="6"/>
              </w:numPr>
              <w:ind w:left="317" w:hanging="283"/>
              <w:jc w:val="both"/>
              <w:rPr>
                <w:rFonts w:ascii="Times New Roman" w:hAnsi="Times New Roman" w:cs="Times New Roman"/>
                <w:sz w:val="20"/>
                <w:szCs w:val="20"/>
                <w:lang w:val="uk-UA"/>
              </w:rPr>
            </w:pPr>
            <w:r w:rsidRPr="00B33C0B">
              <w:rPr>
                <w:rFonts w:ascii="Times New Roman" w:hAnsi="Times New Roman" w:cs="Times New Roman"/>
                <w:sz w:val="20"/>
                <w:szCs w:val="20"/>
                <w:lang w:val="uk-UA"/>
              </w:rPr>
              <w:t>мет</w:t>
            </w:r>
            <w:r w:rsidR="00D8763A">
              <w:rPr>
                <w:rFonts w:ascii="Times New Roman" w:hAnsi="Times New Roman" w:cs="Times New Roman"/>
                <w:sz w:val="20"/>
                <w:szCs w:val="20"/>
                <w:lang w:val="uk-UA"/>
              </w:rPr>
              <w:t xml:space="preserve">і адміністративного судочинства, якою є </w:t>
            </w:r>
            <w:r w:rsidRPr="00B33C0B">
              <w:rPr>
                <w:rFonts w:ascii="Times New Roman" w:hAnsi="Times New Roman" w:cs="Times New Roman"/>
                <w:sz w:val="20"/>
                <w:szCs w:val="20"/>
                <w:lang w:val="uk-UA"/>
              </w:rPr>
              <w:t>захист прав, свобод та інтересів осіб;</w:t>
            </w:r>
          </w:p>
          <w:p w:rsidR="00D3107B" w:rsidRPr="00696022" w:rsidRDefault="00D3107B" w:rsidP="006807F9">
            <w:pPr>
              <w:pStyle w:val="ListParagraph"/>
              <w:numPr>
                <w:ilvl w:val="0"/>
                <w:numId w:val="6"/>
              </w:numPr>
              <w:ind w:left="317" w:hanging="283"/>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статт</w:t>
            </w:r>
            <w:r w:rsidR="00D8763A">
              <w:rPr>
                <w:rFonts w:ascii="Times New Roman" w:hAnsi="Times New Roman" w:cs="Times New Roman"/>
                <w:sz w:val="20"/>
                <w:szCs w:val="20"/>
                <w:lang w:val="uk-UA"/>
              </w:rPr>
              <w:t>і</w:t>
            </w:r>
            <w:r w:rsidRPr="00696022">
              <w:rPr>
                <w:rFonts w:ascii="Times New Roman" w:hAnsi="Times New Roman" w:cs="Times New Roman"/>
                <w:sz w:val="20"/>
                <w:szCs w:val="20"/>
                <w:lang w:val="uk-UA"/>
              </w:rPr>
              <w:t xml:space="preserve"> 13 Конвенції про захист прав людини і основоположних свобод, яка гарантує право особи на </w:t>
            </w:r>
            <w:r w:rsidRPr="008F2265">
              <w:rPr>
                <w:rFonts w:ascii="Times New Roman" w:hAnsi="Times New Roman" w:cs="Times New Roman"/>
                <w:sz w:val="20"/>
                <w:szCs w:val="20"/>
                <w:lang w:val="uk-UA"/>
              </w:rPr>
              <w:t xml:space="preserve">ефективний </w:t>
            </w:r>
            <w:r w:rsidRPr="00696022">
              <w:rPr>
                <w:rFonts w:ascii="Times New Roman" w:hAnsi="Times New Roman" w:cs="Times New Roman"/>
                <w:sz w:val="20"/>
                <w:szCs w:val="20"/>
                <w:lang w:val="uk-UA"/>
              </w:rPr>
              <w:t>засіб юридичного захисту;</w:t>
            </w:r>
          </w:p>
          <w:p w:rsidR="00D3107B" w:rsidRDefault="00D8763A" w:rsidP="00D8763A">
            <w:pPr>
              <w:pStyle w:val="ListParagraph"/>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межам судового контролю, гарантованих Конституцією України</w:t>
            </w:r>
            <w:r w:rsidR="00D3107B" w:rsidRPr="00696022">
              <w:rPr>
                <w:rFonts w:ascii="Times New Roman" w:hAnsi="Times New Roman" w:cs="Times New Roman"/>
                <w:sz w:val="20"/>
                <w:szCs w:val="20"/>
                <w:lang w:val="uk-UA"/>
              </w:rPr>
              <w:t>;</w:t>
            </w:r>
          </w:p>
          <w:p w:rsidR="00D8763A" w:rsidRPr="00D8763A" w:rsidRDefault="00D8763A" w:rsidP="00D8763A">
            <w:pPr>
              <w:pStyle w:val="ListParagraph"/>
              <w:ind w:left="317"/>
              <w:jc w:val="both"/>
              <w:rPr>
                <w:rFonts w:ascii="Times New Roman" w:hAnsi="Times New Roman" w:cs="Times New Roman"/>
                <w:sz w:val="20"/>
                <w:szCs w:val="20"/>
                <w:lang w:val="uk-UA"/>
              </w:rPr>
            </w:pPr>
          </w:p>
        </w:tc>
      </w:tr>
      <w:tr w:rsidR="00D3107B" w:rsidRPr="007267AE" w:rsidTr="00587C43">
        <w:tc>
          <w:tcPr>
            <w:tcW w:w="562" w:type="dxa"/>
          </w:tcPr>
          <w:p w:rsidR="00D3107B" w:rsidRPr="00696022" w:rsidRDefault="00D3107B" w:rsidP="002E0CCE">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lastRenderedPageBreak/>
              <w:t>3</w:t>
            </w:r>
          </w:p>
        </w:tc>
        <w:tc>
          <w:tcPr>
            <w:tcW w:w="2416" w:type="dxa"/>
          </w:tcPr>
          <w:p w:rsidR="00D3107B" w:rsidRPr="00CB3B73" w:rsidRDefault="001220E1" w:rsidP="002E0CCE">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Адміністративне судочинство</w:t>
            </w:r>
            <w:r w:rsidR="00CB3B73" w:rsidRPr="00CB3B73">
              <w:rPr>
                <w:rFonts w:ascii="Times New Roman" w:hAnsi="Times New Roman" w:cs="Times New Roman"/>
                <w:sz w:val="20"/>
                <w:szCs w:val="20"/>
                <w:lang w:val="ru-RU"/>
              </w:rPr>
              <w:t xml:space="preserve"> </w:t>
            </w:r>
            <w:r w:rsidR="00CB3B73">
              <w:rPr>
                <w:rFonts w:ascii="Times New Roman" w:hAnsi="Times New Roman" w:cs="Times New Roman"/>
                <w:sz w:val="20"/>
                <w:szCs w:val="20"/>
                <w:lang w:val="ru-RU"/>
              </w:rPr>
              <w:t>в комплек</w:t>
            </w:r>
            <w:r w:rsidR="00CB3B73">
              <w:rPr>
                <w:rFonts w:ascii="Times New Roman" w:hAnsi="Times New Roman" w:cs="Times New Roman"/>
                <w:sz w:val="20"/>
                <w:szCs w:val="20"/>
                <w:lang w:val="uk-UA"/>
              </w:rPr>
              <w:t>сі з питаннями приватного права</w:t>
            </w:r>
          </w:p>
        </w:tc>
        <w:tc>
          <w:tcPr>
            <w:tcW w:w="2268" w:type="dxa"/>
          </w:tcPr>
          <w:p w:rsidR="00D3107B" w:rsidRPr="00696022" w:rsidRDefault="007F458D" w:rsidP="002E0CCE">
            <w:p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 xml:space="preserve">Спори щодо </w:t>
            </w:r>
            <w:r w:rsidR="00F86286" w:rsidRPr="00696022">
              <w:rPr>
                <w:rFonts w:ascii="Times New Roman" w:hAnsi="Times New Roman" w:cs="Times New Roman"/>
                <w:sz w:val="20"/>
                <w:szCs w:val="20"/>
                <w:lang w:val="uk-UA"/>
              </w:rPr>
              <w:t xml:space="preserve">донарахування суми орендної плати за земельні ділянки </w:t>
            </w:r>
            <w:r w:rsidR="0004372B" w:rsidRPr="00696022">
              <w:rPr>
                <w:rFonts w:ascii="Times New Roman" w:hAnsi="Times New Roman" w:cs="Times New Roman"/>
                <w:sz w:val="20"/>
                <w:szCs w:val="20"/>
                <w:lang w:val="uk-UA"/>
              </w:rPr>
              <w:t>державної та комунальної власності</w:t>
            </w:r>
          </w:p>
        </w:tc>
        <w:tc>
          <w:tcPr>
            <w:tcW w:w="3543" w:type="dxa"/>
          </w:tcPr>
          <w:p w:rsidR="00D3107B" w:rsidRPr="00696022" w:rsidRDefault="00585DAD" w:rsidP="00585DAD">
            <w:pPr>
              <w:jc w:val="both"/>
              <w:rPr>
                <w:rFonts w:ascii="Times New Roman" w:hAnsi="Times New Roman" w:cs="Times New Roman"/>
                <w:sz w:val="20"/>
                <w:szCs w:val="20"/>
                <w:lang w:val="uk-UA"/>
              </w:rPr>
            </w:pPr>
            <w:r>
              <w:rPr>
                <w:rFonts w:ascii="Times New Roman" w:eastAsia="Times New Roman" w:hAnsi="Times New Roman" w:cs="Times New Roman"/>
                <w:bCs/>
                <w:sz w:val="20"/>
                <w:szCs w:val="20"/>
                <w:lang w:val="uk-UA" w:eastAsia="uk-UA"/>
              </w:rPr>
              <w:t>На думку Верховного Суду України  н</w:t>
            </w:r>
            <w:r w:rsidR="00696022">
              <w:rPr>
                <w:rFonts w:ascii="Times New Roman" w:eastAsia="Times New Roman" w:hAnsi="Times New Roman" w:cs="Times New Roman"/>
                <w:bCs/>
                <w:sz w:val="20"/>
                <w:szCs w:val="20"/>
                <w:lang w:val="uk-UA" w:eastAsia="uk-UA"/>
              </w:rPr>
              <w:t xml:space="preserve">езалежно від </w:t>
            </w:r>
            <w:r w:rsidR="00F71D23">
              <w:rPr>
                <w:rFonts w:ascii="Times New Roman" w:eastAsia="Times New Roman" w:hAnsi="Times New Roman" w:cs="Times New Roman"/>
                <w:bCs/>
                <w:sz w:val="20"/>
                <w:szCs w:val="20"/>
                <w:lang w:val="uk-UA" w:eastAsia="uk-UA"/>
              </w:rPr>
              <w:t>визначеного в договорі розміру</w:t>
            </w:r>
            <w:r w:rsidR="00696022" w:rsidRPr="00696022">
              <w:rPr>
                <w:rFonts w:ascii="Times New Roman" w:eastAsia="Times New Roman" w:hAnsi="Times New Roman" w:cs="Times New Roman"/>
                <w:bCs/>
                <w:sz w:val="20"/>
                <w:szCs w:val="20"/>
                <w:lang w:val="uk-UA" w:eastAsia="uk-UA"/>
              </w:rPr>
              <w:t xml:space="preserve"> орендної плати, сплачувати до бюджету потрібно </w:t>
            </w:r>
            <w:r w:rsidR="00F71D23">
              <w:rPr>
                <w:rFonts w:ascii="Times New Roman" w:eastAsia="Times New Roman" w:hAnsi="Times New Roman" w:cs="Times New Roman"/>
                <w:bCs/>
                <w:sz w:val="20"/>
                <w:szCs w:val="20"/>
                <w:lang w:val="uk-UA" w:eastAsia="uk-UA"/>
              </w:rPr>
              <w:t xml:space="preserve">суму </w:t>
            </w:r>
            <w:r w:rsidR="00696022" w:rsidRPr="00696022">
              <w:rPr>
                <w:rFonts w:ascii="Times New Roman" w:eastAsia="Times New Roman" w:hAnsi="Times New Roman" w:cs="Times New Roman"/>
                <w:bCs/>
                <w:sz w:val="20"/>
                <w:szCs w:val="20"/>
                <w:lang w:val="uk-UA" w:eastAsia="uk-UA"/>
              </w:rPr>
              <w:t>не менш</w:t>
            </w:r>
            <w:r w:rsidR="00F71D23">
              <w:rPr>
                <w:rFonts w:ascii="Times New Roman" w:eastAsia="Times New Roman" w:hAnsi="Times New Roman" w:cs="Times New Roman"/>
                <w:bCs/>
                <w:sz w:val="20"/>
                <w:szCs w:val="20"/>
                <w:lang w:val="uk-UA" w:eastAsia="uk-UA"/>
              </w:rPr>
              <w:t>у</w:t>
            </w:r>
            <w:r w:rsidR="00696022" w:rsidRPr="00696022">
              <w:rPr>
                <w:rFonts w:ascii="Times New Roman" w:eastAsia="Times New Roman" w:hAnsi="Times New Roman" w:cs="Times New Roman"/>
                <w:bCs/>
                <w:sz w:val="20"/>
                <w:szCs w:val="20"/>
                <w:lang w:val="uk-UA" w:eastAsia="uk-UA"/>
              </w:rPr>
              <w:t xml:space="preserve"> </w:t>
            </w:r>
            <w:r w:rsidR="00F71D23">
              <w:rPr>
                <w:rFonts w:ascii="Times New Roman" w:eastAsia="Times New Roman" w:hAnsi="Times New Roman" w:cs="Times New Roman"/>
                <w:bCs/>
                <w:sz w:val="20"/>
                <w:szCs w:val="20"/>
                <w:lang w:val="uk-UA" w:eastAsia="uk-UA"/>
              </w:rPr>
              <w:t>за ту, що розрахована, виходячи зі ставки, закріпленої в Податковому кодексі України</w:t>
            </w:r>
            <w:r w:rsidR="00475EB1">
              <w:rPr>
                <w:rFonts w:ascii="Times New Roman" w:eastAsia="Times New Roman" w:hAnsi="Times New Roman" w:cs="Times New Roman"/>
                <w:bCs/>
                <w:sz w:val="20"/>
                <w:szCs w:val="20"/>
                <w:lang w:val="uk-UA" w:eastAsia="uk-UA"/>
              </w:rPr>
              <w:t>.</w:t>
            </w:r>
          </w:p>
        </w:tc>
        <w:tc>
          <w:tcPr>
            <w:tcW w:w="2694" w:type="dxa"/>
          </w:tcPr>
          <w:p w:rsidR="00D3107B" w:rsidRPr="00696022" w:rsidRDefault="003D79B9" w:rsidP="003D79B9">
            <w:pPr>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00F120E1">
              <w:rPr>
                <w:rFonts w:ascii="Times New Roman" w:hAnsi="Times New Roman" w:cs="Times New Roman"/>
                <w:sz w:val="20"/>
                <w:szCs w:val="20"/>
                <w:lang w:val="uk-UA"/>
              </w:rPr>
              <w:t>останов</w:t>
            </w:r>
            <w:r w:rsidR="001B719A">
              <w:rPr>
                <w:rFonts w:ascii="Times New Roman" w:hAnsi="Times New Roman" w:cs="Times New Roman"/>
                <w:sz w:val="20"/>
                <w:szCs w:val="20"/>
                <w:lang w:val="uk-UA"/>
              </w:rPr>
              <w:t>и</w:t>
            </w:r>
            <w:r w:rsidR="00F120E1">
              <w:rPr>
                <w:rFonts w:ascii="Times New Roman" w:hAnsi="Times New Roman" w:cs="Times New Roman"/>
                <w:sz w:val="20"/>
                <w:szCs w:val="20"/>
                <w:lang w:val="uk-UA"/>
              </w:rPr>
              <w:t xml:space="preserve"> Верховного Суду України</w:t>
            </w:r>
            <w:r w:rsidR="00514BA8">
              <w:rPr>
                <w:rFonts w:ascii="Times New Roman" w:hAnsi="Times New Roman" w:cs="Times New Roman"/>
                <w:sz w:val="20"/>
                <w:szCs w:val="20"/>
                <w:lang w:val="uk-UA"/>
              </w:rPr>
              <w:t>:</w:t>
            </w:r>
            <w:r w:rsidR="001B719A">
              <w:rPr>
                <w:rFonts w:ascii="Times New Roman" w:hAnsi="Times New Roman" w:cs="Times New Roman"/>
                <w:sz w:val="20"/>
                <w:szCs w:val="20"/>
                <w:lang w:val="uk-UA"/>
              </w:rPr>
              <w:t xml:space="preserve"> від </w:t>
            </w:r>
            <w:r w:rsidR="00B179C9">
              <w:rPr>
                <w:rFonts w:ascii="Times New Roman" w:hAnsi="Times New Roman" w:cs="Times New Roman"/>
                <w:sz w:val="20"/>
                <w:szCs w:val="20"/>
                <w:lang w:val="uk-UA"/>
              </w:rPr>
              <w:t>0</w:t>
            </w:r>
            <w:r w:rsidR="001B719A">
              <w:rPr>
                <w:rFonts w:ascii="Times New Roman" w:hAnsi="Times New Roman" w:cs="Times New Roman"/>
                <w:sz w:val="20"/>
                <w:szCs w:val="20"/>
                <w:lang w:val="uk-UA"/>
              </w:rPr>
              <w:t>2.12.2014 у справі № 21-274а14;</w:t>
            </w:r>
            <w:r w:rsidR="00F120E1">
              <w:rPr>
                <w:rFonts w:ascii="Times New Roman" w:hAnsi="Times New Roman" w:cs="Times New Roman"/>
                <w:sz w:val="20"/>
                <w:szCs w:val="20"/>
                <w:lang w:val="uk-UA"/>
              </w:rPr>
              <w:t xml:space="preserve"> від 14</w:t>
            </w:r>
            <w:r w:rsidR="001B719A">
              <w:rPr>
                <w:rFonts w:ascii="Times New Roman" w:hAnsi="Times New Roman" w:cs="Times New Roman"/>
                <w:sz w:val="20"/>
                <w:szCs w:val="20"/>
                <w:lang w:val="uk-UA"/>
              </w:rPr>
              <w:t>.</w:t>
            </w:r>
            <w:r w:rsidR="005B5C2F">
              <w:rPr>
                <w:rFonts w:ascii="Times New Roman" w:hAnsi="Times New Roman" w:cs="Times New Roman"/>
                <w:sz w:val="20"/>
                <w:szCs w:val="20"/>
                <w:lang w:val="uk-UA"/>
              </w:rPr>
              <w:t>07.2015 у справі № </w:t>
            </w:r>
            <w:r w:rsidR="00B179C9">
              <w:rPr>
                <w:rFonts w:ascii="Times New Roman" w:hAnsi="Times New Roman" w:cs="Times New Roman"/>
                <w:sz w:val="20"/>
                <w:szCs w:val="20"/>
                <w:lang w:val="uk-UA"/>
              </w:rPr>
              <w:t>826/5560/14</w:t>
            </w:r>
            <w:r>
              <w:rPr>
                <w:rFonts w:ascii="Times New Roman" w:hAnsi="Times New Roman" w:cs="Times New Roman"/>
                <w:sz w:val="20"/>
                <w:szCs w:val="20"/>
                <w:lang w:val="uk-UA"/>
              </w:rPr>
              <w:t>; від 14.03.2017 у справі № 804/16943/13</w:t>
            </w:r>
          </w:p>
        </w:tc>
        <w:tc>
          <w:tcPr>
            <w:tcW w:w="3827" w:type="dxa"/>
          </w:tcPr>
          <w:p w:rsidR="00E066F5" w:rsidRDefault="00F829C5" w:rsidP="00B63F19">
            <w:pPr>
              <w:jc w:val="both"/>
              <w:rPr>
                <w:rFonts w:ascii="Times New Roman" w:hAnsi="Times New Roman" w:cs="Times New Roman"/>
                <w:sz w:val="20"/>
                <w:szCs w:val="20"/>
                <w:lang w:val="uk-UA"/>
              </w:rPr>
            </w:pPr>
            <w:r>
              <w:rPr>
                <w:rFonts w:ascii="Times New Roman" w:hAnsi="Times New Roman" w:cs="Times New Roman"/>
                <w:sz w:val="20"/>
                <w:szCs w:val="20"/>
                <w:lang w:val="uk-UA"/>
              </w:rPr>
              <w:t>Раніше</w:t>
            </w:r>
            <w:r w:rsidR="00A035A2">
              <w:rPr>
                <w:rFonts w:ascii="Times New Roman" w:hAnsi="Times New Roman" w:cs="Times New Roman"/>
                <w:sz w:val="20"/>
                <w:szCs w:val="20"/>
                <w:lang w:val="uk-UA"/>
              </w:rPr>
              <w:t>,</w:t>
            </w:r>
            <w:r>
              <w:rPr>
                <w:rFonts w:ascii="Times New Roman" w:hAnsi="Times New Roman" w:cs="Times New Roman"/>
                <w:sz w:val="20"/>
                <w:szCs w:val="20"/>
                <w:lang w:val="uk-UA"/>
              </w:rPr>
              <w:t xml:space="preserve"> усталеною була</w:t>
            </w:r>
            <w:r w:rsidR="000A36E4">
              <w:rPr>
                <w:rFonts w:ascii="Times New Roman" w:hAnsi="Times New Roman" w:cs="Times New Roman"/>
                <w:sz w:val="20"/>
                <w:szCs w:val="20"/>
                <w:lang w:val="uk-UA"/>
              </w:rPr>
              <w:t xml:space="preserve"> протилежна</w:t>
            </w:r>
            <w:r>
              <w:rPr>
                <w:rFonts w:ascii="Times New Roman" w:hAnsi="Times New Roman" w:cs="Times New Roman"/>
                <w:sz w:val="20"/>
                <w:szCs w:val="20"/>
                <w:lang w:val="uk-UA"/>
              </w:rPr>
              <w:t xml:space="preserve"> </w:t>
            </w:r>
            <w:r w:rsidR="000A36E4">
              <w:rPr>
                <w:rFonts w:ascii="Times New Roman" w:hAnsi="Times New Roman" w:cs="Times New Roman"/>
                <w:sz w:val="20"/>
                <w:szCs w:val="20"/>
                <w:lang w:val="uk-UA"/>
              </w:rPr>
              <w:t>практика того ж</w:t>
            </w:r>
            <w:r w:rsidR="00475A08">
              <w:rPr>
                <w:rFonts w:ascii="Times New Roman" w:hAnsi="Times New Roman" w:cs="Times New Roman"/>
                <w:sz w:val="20"/>
                <w:szCs w:val="20"/>
                <w:lang w:val="uk-UA"/>
              </w:rPr>
              <w:t xml:space="preserve"> Верховн</w:t>
            </w:r>
            <w:r w:rsidR="000A36E4">
              <w:rPr>
                <w:rFonts w:ascii="Times New Roman" w:hAnsi="Times New Roman" w:cs="Times New Roman"/>
                <w:sz w:val="20"/>
                <w:szCs w:val="20"/>
                <w:lang w:val="uk-UA"/>
              </w:rPr>
              <w:t>ого</w:t>
            </w:r>
            <w:r>
              <w:rPr>
                <w:rFonts w:ascii="Times New Roman" w:hAnsi="Times New Roman" w:cs="Times New Roman"/>
                <w:sz w:val="20"/>
                <w:szCs w:val="20"/>
                <w:lang w:val="uk-UA"/>
              </w:rPr>
              <w:t xml:space="preserve"> Суд</w:t>
            </w:r>
            <w:r w:rsidR="000A36E4">
              <w:rPr>
                <w:rFonts w:ascii="Times New Roman" w:hAnsi="Times New Roman" w:cs="Times New Roman"/>
                <w:sz w:val="20"/>
                <w:szCs w:val="20"/>
                <w:lang w:val="uk-UA"/>
              </w:rPr>
              <w:t xml:space="preserve">у України, </w:t>
            </w:r>
            <w:r w:rsidR="00590200">
              <w:rPr>
                <w:rFonts w:ascii="Times New Roman" w:hAnsi="Times New Roman" w:cs="Times New Roman"/>
                <w:sz w:val="20"/>
                <w:szCs w:val="20"/>
                <w:lang w:val="uk-UA"/>
              </w:rPr>
              <w:t>викладена, д</w:t>
            </w:r>
            <w:r w:rsidR="003152C6">
              <w:rPr>
                <w:rFonts w:ascii="Times New Roman" w:hAnsi="Times New Roman" w:cs="Times New Roman"/>
                <w:sz w:val="20"/>
                <w:szCs w:val="20"/>
                <w:lang w:val="uk-UA"/>
              </w:rPr>
              <w:t xml:space="preserve">ля прикладу, в </w:t>
            </w:r>
            <w:r w:rsidR="00590200">
              <w:rPr>
                <w:rFonts w:ascii="Times New Roman" w:hAnsi="Times New Roman" w:cs="Times New Roman"/>
                <w:sz w:val="20"/>
                <w:szCs w:val="20"/>
                <w:lang w:val="uk-UA"/>
              </w:rPr>
              <w:t xml:space="preserve">його </w:t>
            </w:r>
            <w:r w:rsidR="003152C6">
              <w:rPr>
                <w:rFonts w:ascii="Times New Roman" w:hAnsi="Times New Roman" w:cs="Times New Roman"/>
                <w:sz w:val="20"/>
                <w:szCs w:val="20"/>
                <w:lang w:val="uk-UA"/>
              </w:rPr>
              <w:t>Постанові від 11.06.2013 у справі № 21-166а13.</w:t>
            </w:r>
          </w:p>
          <w:p w:rsidR="00590200" w:rsidRDefault="00590200" w:rsidP="00B63F19">
            <w:pPr>
              <w:jc w:val="both"/>
              <w:rPr>
                <w:rFonts w:ascii="Times New Roman" w:hAnsi="Times New Roman" w:cs="Times New Roman"/>
                <w:sz w:val="20"/>
                <w:szCs w:val="20"/>
                <w:lang w:val="uk-UA"/>
              </w:rPr>
            </w:pPr>
          </w:p>
          <w:p w:rsidR="00CC3E1C" w:rsidRDefault="00590200" w:rsidP="0059020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Підстав для </w:t>
            </w:r>
            <w:r w:rsidR="0041535F" w:rsidRPr="00590200">
              <w:rPr>
                <w:rFonts w:ascii="Times New Roman" w:hAnsi="Times New Roman" w:cs="Times New Roman"/>
                <w:sz w:val="20"/>
                <w:szCs w:val="20"/>
                <w:lang w:val="uk-UA"/>
              </w:rPr>
              <w:t>зміни</w:t>
            </w:r>
            <w:r>
              <w:rPr>
                <w:rFonts w:ascii="Times New Roman" w:hAnsi="Times New Roman" w:cs="Times New Roman"/>
                <w:sz w:val="20"/>
                <w:szCs w:val="20"/>
                <w:lang w:val="uk-UA"/>
              </w:rPr>
              <w:t xml:space="preserve"> цієї </w:t>
            </w:r>
            <w:r w:rsidR="004C78E6">
              <w:rPr>
                <w:rFonts w:ascii="Times New Roman" w:hAnsi="Times New Roman" w:cs="Times New Roman"/>
                <w:sz w:val="20"/>
                <w:szCs w:val="20"/>
                <w:lang w:val="uk-UA"/>
              </w:rPr>
              <w:t xml:space="preserve">позиції </w:t>
            </w:r>
            <w:r w:rsidR="00991B78" w:rsidRPr="00590200">
              <w:rPr>
                <w:rFonts w:ascii="Times New Roman" w:hAnsi="Times New Roman" w:cs="Times New Roman"/>
                <w:sz w:val="20"/>
                <w:szCs w:val="20"/>
                <w:lang w:val="uk-UA"/>
              </w:rPr>
              <w:t xml:space="preserve">не </w:t>
            </w:r>
            <w:r w:rsidR="004C78E6">
              <w:rPr>
                <w:rFonts w:ascii="Times New Roman" w:hAnsi="Times New Roman" w:cs="Times New Roman"/>
                <w:sz w:val="20"/>
                <w:szCs w:val="20"/>
                <w:lang w:val="uk-UA"/>
              </w:rPr>
              <w:t>вбачалось</w:t>
            </w:r>
            <w:r w:rsidR="00991B78" w:rsidRPr="00590200">
              <w:rPr>
                <w:rFonts w:ascii="Times New Roman" w:hAnsi="Times New Roman" w:cs="Times New Roman"/>
                <w:sz w:val="20"/>
                <w:szCs w:val="20"/>
                <w:lang w:val="uk-UA"/>
              </w:rPr>
              <w:t xml:space="preserve">, </w:t>
            </w:r>
            <w:r w:rsidR="004C78E6">
              <w:rPr>
                <w:rFonts w:ascii="Times New Roman" w:hAnsi="Times New Roman" w:cs="Times New Roman"/>
                <w:sz w:val="20"/>
                <w:szCs w:val="20"/>
                <w:lang w:val="uk-UA"/>
              </w:rPr>
              <w:t>оскільки</w:t>
            </w:r>
            <w:r w:rsidR="00CB3B73">
              <w:rPr>
                <w:rFonts w:ascii="Times New Roman" w:hAnsi="Times New Roman" w:cs="Times New Roman"/>
                <w:sz w:val="20"/>
                <w:szCs w:val="20"/>
                <w:lang w:val="uk-UA"/>
              </w:rPr>
              <w:t xml:space="preserve">, за своєю суттю, </w:t>
            </w:r>
            <w:r w:rsidR="00991B78" w:rsidRPr="00590200">
              <w:rPr>
                <w:rFonts w:ascii="Times New Roman" w:hAnsi="Times New Roman" w:cs="Times New Roman"/>
                <w:sz w:val="20"/>
                <w:szCs w:val="20"/>
                <w:lang w:val="uk-UA"/>
              </w:rPr>
              <w:t xml:space="preserve">норми законодавства </w:t>
            </w:r>
            <w:r w:rsidR="00FE0727" w:rsidRPr="00590200">
              <w:rPr>
                <w:rFonts w:ascii="Times New Roman" w:hAnsi="Times New Roman" w:cs="Times New Roman"/>
                <w:sz w:val="20"/>
                <w:szCs w:val="20"/>
                <w:lang w:val="uk-UA"/>
              </w:rPr>
              <w:t xml:space="preserve">щодо цих правовідносин </w:t>
            </w:r>
            <w:r w:rsidR="004C78E6">
              <w:rPr>
                <w:rFonts w:ascii="Times New Roman" w:hAnsi="Times New Roman" w:cs="Times New Roman"/>
                <w:sz w:val="20"/>
                <w:szCs w:val="20"/>
                <w:lang w:val="uk-UA"/>
              </w:rPr>
              <w:t>залишились без змін.</w:t>
            </w:r>
          </w:p>
          <w:p w:rsidR="004C78E6" w:rsidRDefault="004C78E6" w:rsidP="00590200">
            <w:pPr>
              <w:jc w:val="both"/>
              <w:rPr>
                <w:rFonts w:ascii="Times New Roman" w:hAnsi="Times New Roman" w:cs="Times New Roman"/>
                <w:sz w:val="20"/>
                <w:szCs w:val="20"/>
                <w:lang w:val="uk-UA"/>
              </w:rPr>
            </w:pPr>
          </w:p>
          <w:p w:rsidR="00991B78" w:rsidRPr="00B63F19" w:rsidRDefault="00C973A5" w:rsidP="00C973A5">
            <w:pPr>
              <w:jc w:val="both"/>
              <w:rPr>
                <w:rFonts w:ascii="Times New Roman" w:hAnsi="Times New Roman" w:cs="Times New Roman"/>
                <w:sz w:val="20"/>
                <w:szCs w:val="20"/>
                <w:lang w:val="uk-UA"/>
              </w:rPr>
            </w:pPr>
            <w:r>
              <w:rPr>
                <w:rFonts w:ascii="Times New Roman" w:hAnsi="Times New Roman" w:cs="Times New Roman"/>
                <w:sz w:val="20"/>
                <w:szCs w:val="20"/>
                <w:lang w:val="uk-UA"/>
              </w:rPr>
              <w:t>Також</w:t>
            </w:r>
            <w:r w:rsidR="00004C76">
              <w:rPr>
                <w:rFonts w:ascii="Times New Roman" w:hAnsi="Times New Roman" w:cs="Times New Roman"/>
                <w:sz w:val="20"/>
                <w:szCs w:val="20"/>
                <w:lang w:val="uk-UA"/>
              </w:rPr>
              <w:t>, висловлена Верховним Судом України позиція</w:t>
            </w:r>
            <w:r w:rsidR="00FE0727">
              <w:rPr>
                <w:rFonts w:ascii="Times New Roman" w:hAnsi="Times New Roman" w:cs="Times New Roman"/>
                <w:sz w:val="20"/>
                <w:szCs w:val="20"/>
                <w:lang w:val="uk-UA"/>
              </w:rPr>
              <w:t xml:space="preserve"> </w:t>
            </w:r>
            <w:r w:rsidR="00453A34">
              <w:rPr>
                <w:rFonts w:ascii="Times New Roman" w:hAnsi="Times New Roman" w:cs="Times New Roman"/>
                <w:sz w:val="20"/>
                <w:szCs w:val="20"/>
                <w:lang w:val="uk-UA"/>
              </w:rPr>
              <w:t>потребує дослідження</w:t>
            </w:r>
            <w:r w:rsidR="00FE0727">
              <w:rPr>
                <w:rFonts w:ascii="Times New Roman" w:hAnsi="Times New Roman" w:cs="Times New Roman"/>
                <w:sz w:val="20"/>
                <w:szCs w:val="20"/>
                <w:lang w:val="uk-UA"/>
              </w:rPr>
              <w:t xml:space="preserve"> з</w:t>
            </w:r>
            <w:r w:rsidR="00453A34">
              <w:rPr>
                <w:rFonts w:ascii="Times New Roman" w:hAnsi="Times New Roman" w:cs="Times New Roman"/>
                <w:sz w:val="20"/>
                <w:szCs w:val="20"/>
                <w:lang w:val="uk-UA"/>
              </w:rPr>
              <w:t xml:space="preserve"> урахуванням</w:t>
            </w:r>
            <w:r w:rsidR="00FE0727">
              <w:rPr>
                <w:rFonts w:ascii="Times New Roman" w:hAnsi="Times New Roman" w:cs="Times New Roman"/>
                <w:sz w:val="20"/>
                <w:szCs w:val="20"/>
                <w:lang w:val="uk-UA"/>
              </w:rPr>
              <w:t xml:space="preserve"> положен</w:t>
            </w:r>
            <w:r w:rsidR="00453A34">
              <w:rPr>
                <w:rFonts w:ascii="Times New Roman" w:hAnsi="Times New Roman" w:cs="Times New Roman"/>
                <w:sz w:val="20"/>
                <w:szCs w:val="20"/>
                <w:lang w:val="uk-UA"/>
              </w:rPr>
              <w:t>ь</w:t>
            </w:r>
            <w:r w:rsidR="00FE0727">
              <w:rPr>
                <w:rFonts w:ascii="Times New Roman" w:hAnsi="Times New Roman" w:cs="Times New Roman"/>
                <w:sz w:val="20"/>
                <w:szCs w:val="20"/>
                <w:lang w:val="uk-UA"/>
              </w:rPr>
              <w:t xml:space="preserve"> цивільн</w:t>
            </w:r>
            <w:r w:rsidR="00453A34">
              <w:rPr>
                <w:rFonts w:ascii="Times New Roman" w:hAnsi="Times New Roman" w:cs="Times New Roman"/>
                <w:sz w:val="20"/>
                <w:szCs w:val="20"/>
                <w:lang w:val="uk-UA"/>
              </w:rPr>
              <w:t>ого законодавства</w:t>
            </w:r>
            <w:r>
              <w:rPr>
                <w:rFonts w:ascii="Times New Roman" w:hAnsi="Times New Roman" w:cs="Times New Roman"/>
                <w:sz w:val="20"/>
                <w:szCs w:val="20"/>
                <w:lang w:val="uk-UA"/>
              </w:rPr>
              <w:t xml:space="preserve"> щодо</w:t>
            </w:r>
            <w:r w:rsidR="00453A34">
              <w:rPr>
                <w:rFonts w:ascii="Times New Roman" w:hAnsi="Times New Roman" w:cs="Times New Roman"/>
                <w:sz w:val="20"/>
                <w:szCs w:val="20"/>
                <w:lang w:val="uk-UA"/>
              </w:rPr>
              <w:t xml:space="preserve"> регулю</w:t>
            </w:r>
            <w:r>
              <w:rPr>
                <w:rFonts w:ascii="Times New Roman" w:hAnsi="Times New Roman" w:cs="Times New Roman"/>
                <w:sz w:val="20"/>
                <w:szCs w:val="20"/>
                <w:lang w:val="uk-UA"/>
              </w:rPr>
              <w:t xml:space="preserve">вання </w:t>
            </w:r>
            <w:r w:rsidR="00453A34">
              <w:rPr>
                <w:rFonts w:ascii="Times New Roman" w:hAnsi="Times New Roman" w:cs="Times New Roman"/>
                <w:sz w:val="20"/>
                <w:szCs w:val="20"/>
                <w:lang w:val="uk-UA"/>
              </w:rPr>
              <w:t>договірн</w:t>
            </w:r>
            <w:r>
              <w:rPr>
                <w:rFonts w:ascii="Times New Roman" w:hAnsi="Times New Roman" w:cs="Times New Roman"/>
                <w:sz w:val="20"/>
                <w:szCs w:val="20"/>
                <w:lang w:val="uk-UA"/>
              </w:rPr>
              <w:t>их</w:t>
            </w:r>
            <w:r w:rsidR="00453A34">
              <w:rPr>
                <w:rFonts w:ascii="Times New Roman" w:hAnsi="Times New Roman" w:cs="Times New Roman"/>
                <w:sz w:val="20"/>
                <w:szCs w:val="20"/>
                <w:lang w:val="uk-UA"/>
              </w:rPr>
              <w:t xml:space="preserve"> правовідносин</w:t>
            </w:r>
            <w:r w:rsidR="00FE0727">
              <w:rPr>
                <w:rFonts w:ascii="Times New Roman" w:hAnsi="Times New Roman" w:cs="Times New Roman"/>
                <w:sz w:val="20"/>
                <w:szCs w:val="20"/>
                <w:lang w:val="uk-UA"/>
              </w:rPr>
              <w:t>.</w:t>
            </w:r>
          </w:p>
        </w:tc>
      </w:tr>
      <w:tr w:rsidR="00D3107B" w:rsidRPr="007267AE" w:rsidTr="00587C43">
        <w:tc>
          <w:tcPr>
            <w:tcW w:w="562" w:type="dxa"/>
          </w:tcPr>
          <w:p w:rsidR="00D3107B" w:rsidRPr="00696022" w:rsidRDefault="00D3107B" w:rsidP="002E0CCE">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t>4</w:t>
            </w:r>
          </w:p>
        </w:tc>
        <w:tc>
          <w:tcPr>
            <w:tcW w:w="2416" w:type="dxa"/>
          </w:tcPr>
          <w:p w:rsidR="00D3107B" w:rsidRPr="00696022" w:rsidRDefault="00DA1895"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Адміністративне судочинство</w:t>
            </w:r>
          </w:p>
        </w:tc>
        <w:tc>
          <w:tcPr>
            <w:tcW w:w="2268" w:type="dxa"/>
          </w:tcPr>
          <w:p w:rsidR="00D3107B" w:rsidRPr="00696022" w:rsidRDefault="00DA1895" w:rsidP="00D072F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Спори щодо </w:t>
            </w:r>
            <w:r w:rsidR="00642F31">
              <w:rPr>
                <w:rFonts w:ascii="Times New Roman" w:hAnsi="Times New Roman" w:cs="Times New Roman"/>
                <w:sz w:val="20"/>
                <w:szCs w:val="20"/>
                <w:lang w:val="uk-UA"/>
              </w:rPr>
              <w:t xml:space="preserve">рішень митних органів про коригування заявленої платником </w:t>
            </w:r>
            <w:r w:rsidR="00D072F0">
              <w:rPr>
                <w:rFonts w:ascii="Times New Roman" w:hAnsi="Times New Roman" w:cs="Times New Roman"/>
                <w:sz w:val="20"/>
                <w:szCs w:val="20"/>
                <w:lang w:val="uk-UA"/>
              </w:rPr>
              <w:t xml:space="preserve">митної вартості   </w:t>
            </w:r>
          </w:p>
        </w:tc>
        <w:tc>
          <w:tcPr>
            <w:tcW w:w="3543" w:type="dxa"/>
          </w:tcPr>
          <w:p w:rsidR="00D3107B" w:rsidRDefault="00D072F0" w:rsidP="003A3249">
            <w:pPr>
              <w:jc w:val="both"/>
              <w:rPr>
                <w:rFonts w:ascii="Times New Roman" w:hAnsi="Times New Roman" w:cs="Times New Roman"/>
                <w:color w:val="000000"/>
                <w:sz w:val="20"/>
                <w:szCs w:val="20"/>
                <w:shd w:val="clear" w:color="auto" w:fill="FFFFFF"/>
                <w:lang w:val="uk-UA"/>
              </w:rPr>
            </w:pPr>
            <w:r w:rsidRPr="003A3249">
              <w:rPr>
                <w:rFonts w:ascii="Times New Roman" w:hAnsi="Times New Roman" w:cs="Times New Roman"/>
                <w:sz w:val="20"/>
                <w:szCs w:val="20"/>
                <w:lang w:val="uk-UA"/>
              </w:rPr>
              <w:t xml:space="preserve">Верховний Суд України </w:t>
            </w:r>
            <w:r w:rsidR="003A3249">
              <w:rPr>
                <w:rFonts w:ascii="Times New Roman" w:hAnsi="Times New Roman" w:cs="Times New Roman"/>
                <w:sz w:val="20"/>
                <w:szCs w:val="20"/>
                <w:lang w:val="uk-UA"/>
              </w:rPr>
              <w:t>висловив</w:t>
            </w:r>
            <w:r w:rsidRPr="003A3249">
              <w:rPr>
                <w:rFonts w:ascii="Times New Roman" w:hAnsi="Times New Roman" w:cs="Times New Roman"/>
                <w:sz w:val="20"/>
                <w:szCs w:val="20"/>
                <w:lang w:val="uk-UA"/>
              </w:rPr>
              <w:t xml:space="preserve"> позицію, відповідно до якої </w:t>
            </w:r>
            <w:r w:rsidR="003A3249">
              <w:rPr>
                <w:rFonts w:ascii="Times New Roman" w:hAnsi="Times New Roman" w:cs="Times New Roman"/>
                <w:sz w:val="20"/>
                <w:szCs w:val="20"/>
                <w:lang w:val="uk-UA"/>
              </w:rPr>
              <w:t xml:space="preserve">платник не може </w:t>
            </w:r>
            <w:r w:rsidR="00575C55">
              <w:rPr>
                <w:rFonts w:ascii="Times New Roman" w:hAnsi="Times New Roman" w:cs="Times New Roman"/>
                <w:color w:val="000000"/>
                <w:sz w:val="20"/>
                <w:szCs w:val="20"/>
                <w:shd w:val="clear" w:color="auto" w:fill="FFFFFF"/>
                <w:lang w:val="uk-UA"/>
              </w:rPr>
              <w:t>разом з вимогою</w:t>
            </w:r>
            <w:r w:rsidRPr="003A3249">
              <w:rPr>
                <w:rFonts w:ascii="Times New Roman" w:hAnsi="Times New Roman" w:cs="Times New Roman"/>
                <w:color w:val="000000"/>
                <w:sz w:val="20"/>
                <w:szCs w:val="20"/>
                <w:shd w:val="clear" w:color="auto" w:fill="FFFFFF"/>
                <w:lang w:val="uk-UA"/>
              </w:rPr>
              <w:t xml:space="preserve"> про скасування рішен</w:t>
            </w:r>
            <w:r w:rsidR="00575C55">
              <w:rPr>
                <w:rFonts w:ascii="Times New Roman" w:hAnsi="Times New Roman" w:cs="Times New Roman"/>
                <w:color w:val="000000"/>
                <w:sz w:val="20"/>
                <w:szCs w:val="20"/>
                <w:shd w:val="clear" w:color="auto" w:fill="FFFFFF"/>
                <w:lang w:val="uk-UA"/>
              </w:rPr>
              <w:t>ня</w:t>
            </w:r>
            <w:r w:rsidRPr="003A3249">
              <w:rPr>
                <w:rFonts w:ascii="Times New Roman" w:hAnsi="Times New Roman" w:cs="Times New Roman"/>
                <w:color w:val="000000"/>
                <w:sz w:val="20"/>
                <w:szCs w:val="20"/>
                <w:shd w:val="clear" w:color="auto" w:fill="FFFFFF"/>
                <w:lang w:val="uk-UA"/>
              </w:rPr>
              <w:t xml:space="preserve"> про коригування митної вартості одразу </w:t>
            </w:r>
            <w:r w:rsidR="003A3249">
              <w:rPr>
                <w:rFonts w:ascii="Times New Roman" w:hAnsi="Times New Roman" w:cs="Times New Roman"/>
                <w:color w:val="000000"/>
                <w:sz w:val="20"/>
                <w:szCs w:val="20"/>
                <w:shd w:val="clear" w:color="auto" w:fill="FFFFFF"/>
                <w:lang w:val="uk-UA"/>
              </w:rPr>
              <w:t>заяв</w:t>
            </w:r>
            <w:r w:rsidR="00575C55">
              <w:rPr>
                <w:rFonts w:ascii="Times New Roman" w:hAnsi="Times New Roman" w:cs="Times New Roman"/>
                <w:color w:val="000000"/>
                <w:sz w:val="20"/>
                <w:szCs w:val="20"/>
                <w:shd w:val="clear" w:color="auto" w:fill="FFFFFF"/>
                <w:lang w:val="uk-UA"/>
              </w:rPr>
              <w:t>ити</w:t>
            </w:r>
            <w:r w:rsidRPr="003A3249">
              <w:rPr>
                <w:rFonts w:ascii="Times New Roman" w:hAnsi="Times New Roman" w:cs="Times New Roman"/>
                <w:color w:val="000000"/>
                <w:sz w:val="20"/>
                <w:szCs w:val="20"/>
                <w:shd w:val="clear" w:color="auto" w:fill="FFFFFF"/>
                <w:lang w:val="uk-UA"/>
              </w:rPr>
              <w:t xml:space="preserve"> вимог</w:t>
            </w:r>
            <w:r w:rsidR="00575C55">
              <w:rPr>
                <w:rFonts w:ascii="Times New Roman" w:hAnsi="Times New Roman" w:cs="Times New Roman"/>
                <w:color w:val="000000"/>
                <w:sz w:val="20"/>
                <w:szCs w:val="20"/>
                <w:shd w:val="clear" w:color="auto" w:fill="FFFFFF"/>
                <w:lang w:val="uk-UA"/>
              </w:rPr>
              <w:t>у</w:t>
            </w:r>
            <w:r w:rsidRPr="003A3249">
              <w:rPr>
                <w:rFonts w:ascii="Times New Roman" w:hAnsi="Times New Roman" w:cs="Times New Roman"/>
                <w:color w:val="000000"/>
                <w:sz w:val="20"/>
                <w:szCs w:val="20"/>
                <w:shd w:val="clear" w:color="auto" w:fill="FFFFFF"/>
                <w:lang w:val="uk-UA"/>
              </w:rPr>
              <w:t xml:space="preserve"> щодо стягнення </w:t>
            </w:r>
            <w:r w:rsidR="003A3249">
              <w:rPr>
                <w:rFonts w:ascii="Times New Roman" w:hAnsi="Times New Roman" w:cs="Times New Roman"/>
                <w:color w:val="000000"/>
                <w:sz w:val="20"/>
                <w:szCs w:val="20"/>
                <w:shd w:val="clear" w:color="auto" w:fill="FFFFFF"/>
                <w:lang w:val="uk-UA"/>
              </w:rPr>
              <w:t xml:space="preserve">з бюджету </w:t>
            </w:r>
            <w:r w:rsidRPr="003A3249">
              <w:rPr>
                <w:rFonts w:ascii="Times New Roman" w:hAnsi="Times New Roman" w:cs="Times New Roman"/>
                <w:color w:val="000000"/>
                <w:sz w:val="20"/>
                <w:szCs w:val="20"/>
                <w:shd w:val="clear" w:color="auto" w:fill="FFFFFF"/>
                <w:lang w:val="uk-UA"/>
              </w:rPr>
              <w:t>митних платежів, переплачених внаслідок такого коригування</w:t>
            </w:r>
            <w:r w:rsidR="003A3249">
              <w:rPr>
                <w:rFonts w:ascii="Times New Roman" w:hAnsi="Times New Roman" w:cs="Times New Roman"/>
                <w:color w:val="000000"/>
                <w:sz w:val="20"/>
                <w:szCs w:val="20"/>
                <w:shd w:val="clear" w:color="auto" w:fill="FFFFFF"/>
                <w:lang w:val="uk-UA"/>
              </w:rPr>
              <w:t>.</w:t>
            </w:r>
          </w:p>
          <w:p w:rsidR="003A3249" w:rsidRDefault="003A3249" w:rsidP="003A3249">
            <w:pPr>
              <w:jc w:val="both"/>
              <w:rPr>
                <w:rFonts w:ascii="Times New Roman" w:hAnsi="Times New Roman" w:cs="Times New Roman"/>
                <w:color w:val="000000"/>
                <w:sz w:val="20"/>
                <w:szCs w:val="20"/>
                <w:shd w:val="clear" w:color="auto" w:fill="FFFFFF"/>
                <w:lang w:val="uk-UA"/>
              </w:rPr>
            </w:pPr>
          </w:p>
          <w:p w:rsidR="003A3249" w:rsidRPr="003A3249" w:rsidRDefault="003A3249" w:rsidP="003A3249">
            <w:pPr>
              <w:jc w:val="both"/>
              <w:rPr>
                <w:rFonts w:ascii="Times New Roman" w:hAnsi="Times New Roman" w:cs="Times New Roman"/>
                <w:sz w:val="20"/>
                <w:szCs w:val="20"/>
                <w:lang w:val="uk-UA"/>
              </w:rPr>
            </w:pPr>
          </w:p>
        </w:tc>
        <w:tc>
          <w:tcPr>
            <w:tcW w:w="2694" w:type="dxa"/>
          </w:tcPr>
          <w:p w:rsidR="00D3107B" w:rsidRPr="00696022" w:rsidRDefault="00514BA8" w:rsidP="00514BA8">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Постанови Верховного Суду України: від </w:t>
            </w:r>
            <w:r w:rsidRPr="00514BA8">
              <w:rPr>
                <w:rFonts w:ascii="Times New Roman" w:hAnsi="Times New Roman" w:cs="Times New Roman"/>
                <w:sz w:val="20"/>
                <w:szCs w:val="20"/>
                <w:lang w:val="uk-UA"/>
              </w:rPr>
              <w:t>15.04.2014 у справі №</w:t>
            </w:r>
            <w:r w:rsidR="00770AD4">
              <w:rPr>
                <w:rFonts w:ascii="Times New Roman" w:hAnsi="Times New Roman" w:cs="Times New Roman"/>
                <w:sz w:val="20"/>
                <w:szCs w:val="20"/>
                <w:lang w:val="uk-UA"/>
              </w:rPr>
              <w:t xml:space="preserve"> </w:t>
            </w:r>
            <w:r w:rsidRPr="00514BA8">
              <w:rPr>
                <w:rFonts w:ascii="Times New Roman" w:hAnsi="Times New Roman" w:cs="Times New Roman"/>
                <w:sz w:val="20"/>
                <w:szCs w:val="20"/>
                <w:lang w:val="uk-UA"/>
              </w:rPr>
              <w:t>21-21а14, від 12.11.2014 у справі №</w:t>
            </w:r>
            <w:r w:rsidR="00770AD4">
              <w:rPr>
                <w:rFonts w:ascii="Times New Roman" w:hAnsi="Times New Roman" w:cs="Times New Roman"/>
                <w:sz w:val="20"/>
                <w:szCs w:val="20"/>
                <w:lang w:val="uk-UA"/>
              </w:rPr>
              <w:t xml:space="preserve"> </w:t>
            </w:r>
            <w:r w:rsidRPr="00514BA8">
              <w:rPr>
                <w:rFonts w:ascii="Times New Roman" w:hAnsi="Times New Roman" w:cs="Times New Roman"/>
                <w:sz w:val="20"/>
                <w:szCs w:val="20"/>
                <w:lang w:val="uk-UA"/>
              </w:rPr>
              <w:t>21-20</w:t>
            </w:r>
            <w:r w:rsidR="00770AD4">
              <w:rPr>
                <w:rFonts w:ascii="Times New Roman" w:hAnsi="Times New Roman" w:cs="Times New Roman"/>
                <w:sz w:val="20"/>
                <w:szCs w:val="20"/>
                <w:lang w:val="uk-UA"/>
              </w:rPr>
              <w:t xml:space="preserve">1а14, від 12.11.2014 у справі № </w:t>
            </w:r>
            <w:r w:rsidRPr="00514BA8">
              <w:rPr>
                <w:rFonts w:ascii="Times New Roman" w:hAnsi="Times New Roman" w:cs="Times New Roman"/>
                <w:sz w:val="20"/>
                <w:szCs w:val="20"/>
                <w:lang w:val="uk-UA"/>
              </w:rPr>
              <w:t>21-202а14</w:t>
            </w:r>
          </w:p>
        </w:tc>
        <w:tc>
          <w:tcPr>
            <w:tcW w:w="3827" w:type="dxa"/>
          </w:tcPr>
          <w:p w:rsidR="004427A2" w:rsidRDefault="004427A2"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Така правова п</w:t>
            </w:r>
            <w:r w:rsidRPr="0051241A">
              <w:rPr>
                <w:rFonts w:ascii="Times New Roman" w:hAnsi="Times New Roman" w:cs="Times New Roman"/>
                <w:sz w:val="20"/>
                <w:szCs w:val="20"/>
                <w:lang w:val="uk-UA"/>
              </w:rPr>
              <w:t xml:space="preserve">озиція </w:t>
            </w:r>
            <w:r>
              <w:rPr>
                <w:rFonts w:ascii="Times New Roman" w:hAnsi="Times New Roman" w:cs="Times New Roman"/>
                <w:sz w:val="20"/>
                <w:szCs w:val="20"/>
                <w:lang w:val="uk-UA"/>
              </w:rPr>
              <w:t xml:space="preserve">ставить під сумнів ефективність судового захисту прав платника у спорах проти митних органів. </w:t>
            </w:r>
          </w:p>
          <w:p w:rsidR="004427A2" w:rsidRDefault="004427A2" w:rsidP="002E0CCE">
            <w:pPr>
              <w:jc w:val="both"/>
              <w:rPr>
                <w:rFonts w:ascii="Times New Roman" w:hAnsi="Times New Roman" w:cs="Times New Roman"/>
                <w:sz w:val="20"/>
                <w:szCs w:val="20"/>
                <w:lang w:val="uk-UA"/>
              </w:rPr>
            </w:pPr>
          </w:p>
          <w:p w:rsidR="00453A34" w:rsidRDefault="00CB3B73"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00C973A5">
              <w:rPr>
                <w:rFonts w:ascii="Times New Roman" w:hAnsi="Times New Roman" w:cs="Times New Roman"/>
                <w:sz w:val="20"/>
                <w:szCs w:val="20"/>
                <w:lang w:val="uk-UA"/>
              </w:rPr>
              <w:t>риведені висновки Верховного Суду України потребують їх вивчення</w:t>
            </w:r>
            <w:r w:rsidR="00B67631">
              <w:rPr>
                <w:rFonts w:ascii="Times New Roman" w:hAnsi="Times New Roman" w:cs="Times New Roman"/>
                <w:sz w:val="20"/>
                <w:szCs w:val="20"/>
                <w:lang w:val="uk-UA"/>
              </w:rPr>
              <w:t xml:space="preserve"> з урахуванням:</w:t>
            </w:r>
          </w:p>
          <w:p w:rsidR="00550F19" w:rsidRDefault="00550F19" w:rsidP="002E0CCE">
            <w:pPr>
              <w:jc w:val="both"/>
              <w:rPr>
                <w:rFonts w:ascii="Times New Roman" w:hAnsi="Times New Roman" w:cs="Times New Roman"/>
                <w:sz w:val="20"/>
                <w:szCs w:val="20"/>
                <w:lang w:val="uk-UA"/>
              </w:rPr>
            </w:pPr>
          </w:p>
          <w:p w:rsidR="00B67631" w:rsidRDefault="00B67631" w:rsidP="00B67631">
            <w:pPr>
              <w:pStyle w:val="ListParagraph"/>
              <w:numPr>
                <w:ilvl w:val="0"/>
                <w:numId w:val="9"/>
              </w:num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мети адміністративного судочинства, якою є </w:t>
            </w:r>
            <w:r w:rsidRPr="00B33C0B">
              <w:rPr>
                <w:rFonts w:ascii="Times New Roman" w:hAnsi="Times New Roman" w:cs="Times New Roman"/>
                <w:sz w:val="20"/>
                <w:szCs w:val="20"/>
                <w:lang w:val="uk-UA"/>
              </w:rPr>
              <w:t>захист прав, свобод та інтересів осіб</w:t>
            </w:r>
            <w:r>
              <w:rPr>
                <w:rFonts w:ascii="Times New Roman" w:hAnsi="Times New Roman" w:cs="Times New Roman"/>
                <w:sz w:val="20"/>
                <w:szCs w:val="20"/>
                <w:lang w:val="uk-UA"/>
              </w:rPr>
              <w:t>;</w:t>
            </w:r>
          </w:p>
          <w:p w:rsidR="00B67631" w:rsidRDefault="00B67631" w:rsidP="00B67631">
            <w:pPr>
              <w:pStyle w:val="ListParagraph"/>
              <w:numPr>
                <w:ilvl w:val="0"/>
                <w:numId w:val="9"/>
              </w:numPr>
              <w:jc w:val="both"/>
              <w:rPr>
                <w:rFonts w:ascii="Times New Roman" w:hAnsi="Times New Roman" w:cs="Times New Roman"/>
                <w:sz w:val="20"/>
                <w:szCs w:val="20"/>
                <w:lang w:val="uk-UA"/>
              </w:rPr>
            </w:pPr>
            <w:r w:rsidRPr="00696022">
              <w:rPr>
                <w:rFonts w:ascii="Times New Roman" w:hAnsi="Times New Roman" w:cs="Times New Roman"/>
                <w:sz w:val="20"/>
                <w:szCs w:val="20"/>
                <w:lang w:val="uk-UA"/>
              </w:rPr>
              <w:t>статт</w:t>
            </w:r>
            <w:r>
              <w:rPr>
                <w:rFonts w:ascii="Times New Roman" w:hAnsi="Times New Roman" w:cs="Times New Roman"/>
                <w:sz w:val="20"/>
                <w:szCs w:val="20"/>
                <w:lang w:val="uk-UA"/>
              </w:rPr>
              <w:t>і</w:t>
            </w:r>
            <w:r w:rsidRPr="00696022">
              <w:rPr>
                <w:rFonts w:ascii="Times New Roman" w:hAnsi="Times New Roman" w:cs="Times New Roman"/>
                <w:sz w:val="20"/>
                <w:szCs w:val="20"/>
                <w:lang w:val="uk-UA"/>
              </w:rPr>
              <w:t xml:space="preserve"> 13 Конвенції про захист прав людини і основоположних свобод, яка гарантує право особи на </w:t>
            </w:r>
            <w:r w:rsidRPr="008F2265">
              <w:rPr>
                <w:rFonts w:ascii="Times New Roman" w:hAnsi="Times New Roman" w:cs="Times New Roman"/>
                <w:sz w:val="20"/>
                <w:szCs w:val="20"/>
                <w:lang w:val="uk-UA"/>
              </w:rPr>
              <w:t xml:space="preserve">ефективний </w:t>
            </w:r>
            <w:r w:rsidRPr="00696022">
              <w:rPr>
                <w:rFonts w:ascii="Times New Roman" w:hAnsi="Times New Roman" w:cs="Times New Roman"/>
                <w:sz w:val="20"/>
                <w:szCs w:val="20"/>
                <w:lang w:val="uk-UA"/>
              </w:rPr>
              <w:t>засіб юридичного захисту</w:t>
            </w:r>
            <w:r>
              <w:rPr>
                <w:rFonts w:ascii="Times New Roman" w:hAnsi="Times New Roman" w:cs="Times New Roman"/>
                <w:sz w:val="20"/>
                <w:szCs w:val="20"/>
                <w:lang w:val="uk-UA"/>
              </w:rPr>
              <w:t>;</w:t>
            </w:r>
          </w:p>
          <w:p w:rsidR="00E813F2" w:rsidRPr="00BA22A6" w:rsidRDefault="00B67631" w:rsidP="00BA22A6">
            <w:pPr>
              <w:pStyle w:val="ListParagraph"/>
              <w:numPr>
                <w:ilvl w:val="0"/>
                <w:numId w:val="9"/>
              </w:num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меж судового </w:t>
            </w:r>
            <w:r w:rsidR="00E813F2">
              <w:rPr>
                <w:rFonts w:ascii="Times New Roman" w:hAnsi="Times New Roman" w:cs="Times New Roman"/>
                <w:sz w:val="20"/>
                <w:szCs w:val="20"/>
                <w:lang w:val="uk-UA"/>
              </w:rPr>
              <w:t>контролю, гарантованого Конституцією України</w:t>
            </w:r>
            <w:r w:rsidR="00BA22A6">
              <w:rPr>
                <w:rFonts w:ascii="Times New Roman" w:hAnsi="Times New Roman" w:cs="Times New Roman"/>
                <w:sz w:val="20"/>
                <w:szCs w:val="20"/>
                <w:lang w:val="uk-UA"/>
              </w:rPr>
              <w:t>.</w:t>
            </w:r>
          </w:p>
        </w:tc>
      </w:tr>
      <w:tr w:rsidR="00D3107B" w:rsidRPr="007267AE" w:rsidTr="00587C43">
        <w:tc>
          <w:tcPr>
            <w:tcW w:w="562" w:type="dxa"/>
          </w:tcPr>
          <w:p w:rsidR="00D3107B" w:rsidRPr="00696022" w:rsidRDefault="00D3107B" w:rsidP="002E0CCE">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lastRenderedPageBreak/>
              <w:t>5</w:t>
            </w:r>
          </w:p>
        </w:tc>
        <w:tc>
          <w:tcPr>
            <w:tcW w:w="2416" w:type="dxa"/>
          </w:tcPr>
          <w:p w:rsidR="00D3107B" w:rsidRPr="00460364" w:rsidRDefault="00460364"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Цивільний процес</w:t>
            </w:r>
          </w:p>
        </w:tc>
        <w:tc>
          <w:tcPr>
            <w:tcW w:w="2268" w:type="dxa"/>
          </w:tcPr>
          <w:p w:rsidR="00D3107B" w:rsidRPr="00391775" w:rsidRDefault="00391775" w:rsidP="00391775">
            <w:pPr>
              <w:jc w:val="both"/>
              <w:rPr>
                <w:rFonts w:ascii="Times New Roman" w:hAnsi="Times New Roman" w:cs="Times New Roman"/>
                <w:sz w:val="20"/>
                <w:szCs w:val="20"/>
                <w:lang w:val="ru-RU"/>
              </w:rPr>
            </w:pPr>
            <w:r w:rsidRPr="00391775">
              <w:rPr>
                <w:rFonts w:ascii="Times New Roman" w:hAnsi="Times New Roman" w:cs="Times New Roman"/>
                <w:sz w:val="20"/>
                <w:szCs w:val="20"/>
                <w:lang w:val="uk-UA"/>
              </w:rPr>
              <w:t>цивільн</w:t>
            </w:r>
            <w:r>
              <w:rPr>
                <w:rFonts w:ascii="Times New Roman" w:hAnsi="Times New Roman" w:cs="Times New Roman"/>
                <w:sz w:val="20"/>
                <w:szCs w:val="20"/>
                <w:lang w:val="uk-UA"/>
              </w:rPr>
              <w:t>і</w:t>
            </w:r>
            <w:r w:rsidRPr="00391775">
              <w:rPr>
                <w:rFonts w:ascii="Times New Roman" w:hAnsi="Times New Roman" w:cs="Times New Roman"/>
                <w:sz w:val="20"/>
                <w:szCs w:val="20"/>
                <w:lang w:val="uk-UA"/>
              </w:rPr>
              <w:t xml:space="preserve"> справ</w:t>
            </w:r>
            <w:r>
              <w:rPr>
                <w:rFonts w:ascii="Times New Roman" w:hAnsi="Times New Roman" w:cs="Times New Roman"/>
                <w:sz w:val="20"/>
                <w:szCs w:val="20"/>
                <w:lang w:val="uk-UA"/>
              </w:rPr>
              <w:t>и</w:t>
            </w:r>
            <w:r w:rsidRPr="00391775">
              <w:rPr>
                <w:rFonts w:ascii="Times New Roman" w:hAnsi="Times New Roman" w:cs="Times New Roman"/>
                <w:sz w:val="20"/>
                <w:szCs w:val="20"/>
                <w:lang w:val="uk-UA"/>
              </w:rPr>
              <w:t>, що виникають з кредитних правовідносин</w:t>
            </w:r>
          </w:p>
        </w:tc>
        <w:tc>
          <w:tcPr>
            <w:tcW w:w="3543" w:type="dxa"/>
          </w:tcPr>
          <w:p w:rsidR="00460364" w:rsidRPr="00460364" w:rsidRDefault="00460364" w:rsidP="00460364">
            <w:pPr>
              <w:jc w:val="both"/>
              <w:rPr>
                <w:rFonts w:ascii="Garamond" w:hAnsi="Garamond"/>
                <w:b/>
                <w:bCs/>
                <w:lang w:val="uk-UA"/>
              </w:rPr>
            </w:pPr>
            <w:r w:rsidRPr="00460364">
              <w:rPr>
                <w:rFonts w:ascii="Garamond" w:hAnsi="Garamond"/>
                <w:b/>
                <w:bCs/>
                <w:lang w:val="uk-UA"/>
              </w:rPr>
              <w:t>У Постанові від 7 жовтня 2015 року у справі № 6-1935цс15 ВСУ дійшов до наступних висновків:      </w:t>
            </w:r>
          </w:p>
          <w:p w:rsidR="00460364" w:rsidRPr="00460364" w:rsidRDefault="00460364" w:rsidP="00460364">
            <w:pPr>
              <w:ind w:left="284"/>
              <w:jc w:val="both"/>
              <w:rPr>
                <w:rFonts w:ascii="Garamond" w:hAnsi="Garamond"/>
                <w:b/>
                <w:bCs/>
                <w:i/>
                <w:iCs/>
                <w:lang w:val="uk-UA" w:eastAsia="ru-RU"/>
              </w:rPr>
            </w:pPr>
          </w:p>
          <w:p w:rsidR="00460364" w:rsidRPr="00460364" w:rsidRDefault="00460364" w:rsidP="00460364">
            <w:pPr>
              <w:ind w:left="284"/>
              <w:jc w:val="both"/>
              <w:rPr>
                <w:rFonts w:ascii="Garamond" w:hAnsi="Garamond"/>
                <w:i/>
                <w:iCs/>
                <w:lang w:val="uk-UA"/>
              </w:rPr>
            </w:pPr>
            <w:r w:rsidRPr="00460364">
              <w:rPr>
                <w:rFonts w:ascii="Garamond" w:hAnsi="Garamond"/>
                <w:i/>
                <w:iCs/>
                <w:lang w:val="uk-UA"/>
              </w:rPr>
              <w:t>"У справі, яка переглядається, суд першої інстанції, з висновками якого погодились суди апеляційної та касаційної інстанцій, прийняв рішення про звернення стягнення на предмети іпотеки шляхом їх продажу на публічних торгах у межах процедури виконавчого провадження за початковою ціною, що встановлюється на рівні, не нижчому за звичайні ціни на цей вид майна, на підставі оцінки, проведеної суб'єктом оціночної діяльності (незалежним експертом) на стадії оцінки майна під час проведення виконавчих дій.</w:t>
            </w:r>
          </w:p>
          <w:p w:rsidR="00460364" w:rsidRPr="00460364" w:rsidRDefault="00460364" w:rsidP="00460364">
            <w:pPr>
              <w:pStyle w:val="NormalWeb"/>
              <w:spacing w:before="0" w:beforeAutospacing="0" w:after="0" w:afterAutospacing="0"/>
              <w:ind w:left="284"/>
              <w:jc w:val="both"/>
              <w:rPr>
                <w:rFonts w:ascii="Garamond" w:hAnsi="Garamond"/>
                <w:i/>
                <w:iCs/>
                <w:lang w:val="uk-UA"/>
              </w:rPr>
            </w:pPr>
          </w:p>
          <w:p w:rsidR="00460364" w:rsidRPr="00460364" w:rsidRDefault="00460364" w:rsidP="00460364">
            <w:pPr>
              <w:pStyle w:val="NormalWeb"/>
              <w:spacing w:before="0" w:beforeAutospacing="0" w:after="0" w:afterAutospacing="0"/>
              <w:ind w:left="284"/>
              <w:jc w:val="both"/>
              <w:rPr>
                <w:rFonts w:ascii="Garamond" w:hAnsi="Garamond"/>
                <w:i/>
                <w:iCs/>
              </w:rPr>
            </w:pPr>
            <w:r w:rsidRPr="00460364">
              <w:rPr>
                <w:rFonts w:ascii="Garamond" w:hAnsi="Garamond"/>
                <w:i/>
                <w:iCs/>
                <w:lang w:val="uk-UA"/>
              </w:rPr>
              <w:t>При цьому суд не зазначив початкову ціну предмета іпотеки для його подальшої реалізації, визначеної відповідно до частини шостої статті 38</w:t>
            </w:r>
            <w:r w:rsidRPr="00460364">
              <w:rPr>
                <w:rStyle w:val="apple-converted-space"/>
                <w:rFonts w:ascii="Garamond" w:hAnsi="Garamond"/>
                <w:i/>
                <w:iCs/>
                <w:lang w:val="uk-UA"/>
              </w:rPr>
              <w:t> </w:t>
            </w:r>
            <w:r w:rsidRPr="00460364">
              <w:rPr>
                <w:rFonts w:ascii="Garamond" w:hAnsi="Garamond"/>
                <w:i/>
                <w:iCs/>
                <w:lang w:val="uk-UA"/>
              </w:rPr>
              <w:t xml:space="preserve">Закону  України «Про іпотеку». </w:t>
            </w:r>
            <w:r w:rsidRPr="00460364">
              <w:rPr>
                <w:rFonts w:ascii="Garamond" w:hAnsi="Garamond"/>
                <w:i/>
                <w:iCs/>
                <w:u w:val="single"/>
                <w:lang w:val="uk-UA"/>
              </w:rPr>
              <w:t xml:space="preserve">Посилання суду першої інстанції у резолютивній частині рішення на визначення початкової ціни предмету іпотеки під час </w:t>
            </w:r>
            <w:r w:rsidRPr="00460364">
              <w:rPr>
                <w:rFonts w:ascii="Garamond" w:hAnsi="Garamond"/>
                <w:i/>
                <w:iCs/>
                <w:u w:val="single"/>
                <w:lang w:val="uk-UA"/>
              </w:rPr>
              <w:lastRenderedPageBreak/>
              <w:t>здійснення виконавчого провадження суперечить вимогам статей 39 та 43 Закону</w:t>
            </w:r>
            <w:r w:rsidRPr="00460364">
              <w:rPr>
                <w:rStyle w:val="apple-converted-space"/>
                <w:rFonts w:ascii="Garamond" w:hAnsi="Garamond"/>
                <w:i/>
                <w:iCs/>
                <w:lang w:val="uk-UA"/>
              </w:rPr>
              <w:t> </w:t>
            </w:r>
            <w:r w:rsidRPr="00460364">
              <w:rPr>
                <w:rFonts w:ascii="Garamond" w:hAnsi="Garamond"/>
                <w:i/>
                <w:iCs/>
                <w:u w:val="single"/>
                <w:lang w:val="uk-UA"/>
              </w:rPr>
              <w:t>України «Про іпотеку».</w:t>
            </w:r>
          </w:p>
          <w:p w:rsidR="00460364" w:rsidRPr="00460364" w:rsidRDefault="00460364" w:rsidP="00460364">
            <w:pPr>
              <w:pStyle w:val="NormalWeb"/>
              <w:spacing w:before="0" w:beforeAutospacing="0" w:after="0" w:afterAutospacing="0"/>
              <w:ind w:left="284"/>
              <w:jc w:val="both"/>
              <w:rPr>
                <w:rFonts w:ascii="Garamond" w:hAnsi="Garamond"/>
                <w:i/>
                <w:iCs/>
                <w:lang w:val="uk-UA"/>
              </w:rPr>
            </w:pPr>
          </w:p>
          <w:p w:rsidR="00460364" w:rsidRPr="00460364" w:rsidRDefault="00460364" w:rsidP="00460364">
            <w:pPr>
              <w:pStyle w:val="NormalWeb"/>
              <w:spacing w:before="0" w:beforeAutospacing="0" w:after="0" w:afterAutospacing="0"/>
              <w:ind w:left="284"/>
              <w:jc w:val="both"/>
              <w:rPr>
                <w:rFonts w:ascii="Garamond" w:hAnsi="Garamond"/>
                <w:i/>
                <w:iCs/>
              </w:rPr>
            </w:pPr>
            <w:r w:rsidRPr="00460364">
              <w:rPr>
                <w:rFonts w:ascii="Garamond" w:hAnsi="Garamond"/>
                <w:i/>
                <w:iCs/>
                <w:lang w:val="uk-UA"/>
              </w:rPr>
              <w:t>Виходячи зі змісту поняття «ціна», як форми грошового вираження вартості товару, послуг тощо, аналізу норм статей 38, 39 ЗаконуУкраїни «Про іпотеку» судова палата у цивільних справах Верховного Суду України приходять до правового висновку, що у розумінні норми статті 39 Закону</w:t>
            </w:r>
            <w:r w:rsidRPr="00460364">
              <w:rPr>
                <w:rStyle w:val="apple-converted-space"/>
                <w:rFonts w:ascii="Garamond" w:hAnsi="Garamond"/>
                <w:i/>
                <w:iCs/>
                <w:lang w:val="uk-UA"/>
              </w:rPr>
              <w:t> </w:t>
            </w:r>
            <w:r w:rsidRPr="00460364">
              <w:rPr>
                <w:rFonts w:ascii="Garamond" w:hAnsi="Garamond"/>
                <w:i/>
                <w:iCs/>
                <w:lang w:val="uk-UA"/>
              </w:rPr>
              <w:t>України «Про іпотеку» встановлення початкової ціни предмету іпотеки у грошовому вираженні визначається за процедурою, передбаченою частиною шостою</w:t>
            </w:r>
            <w:r w:rsidRPr="00460364">
              <w:rPr>
                <w:rStyle w:val="apple-converted-space"/>
                <w:rFonts w:ascii="Garamond" w:hAnsi="Garamond"/>
                <w:i/>
                <w:iCs/>
                <w:lang w:val="uk-UA"/>
              </w:rPr>
              <w:t> </w:t>
            </w:r>
            <w:hyperlink r:id="rId8" w:anchor="241" w:tgtFrame="_blank" w:tooltip="Про іпотеку; нормативно-правовий акт № 898-IV від 05.06.2003" w:history="1">
              <w:r w:rsidRPr="00460364">
                <w:rPr>
                  <w:rStyle w:val="Hyperlink"/>
                  <w:rFonts w:ascii="Garamond" w:hAnsi="Garamond"/>
                  <w:i/>
                  <w:iCs/>
                  <w:color w:val="auto"/>
                  <w:lang w:val="uk-UA"/>
                </w:rPr>
                <w:t>статті 38 цього Закону</w:t>
              </w:r>
            </w:hyperlink>
            <w:r w:rsidRPr="00460364">
              <w:rPr>
                <w:rFonts w:ascii="Garamond" w:hAnsi="Garamond"/>
                <w:i/>
                <w:iCs/>
                <w:lang w:val="uk-UA"/>
              </w:rPr>
              <w:t>".</w:t>
            </w:r>
          </w:p>
          <w:p w:rsidR="00460364" w:rsidRPr="00460364" w:rsidRDefault="00460364" w:rsidP="00460364">
            <w:pPr>
              <w:pStyle w:val="NormalWeb"/>
              <w:spacing w:before="0" w:beforeAutospacing="0" w:after="0" w:afterAutospacing="0"/>
              <w:ind w:left="284"/>
              <w:jc w:val="both"/>
              <w:rPr>
                <w:rFonts w:ascii="Garamond" w:hAnsi="Garamond"/>
                <w:b/>
                <w:bCs/>
                <w:i/>
                <w:iCs/>
                <w:lang w:val="uk-UA"/>
              </w:rPr>
            </w:pPr>
          </w:p>
          <w:p w:rsidR="00460364" w:rsidRPr="00460364" w:rsidRDefault="00460364" w:rsidP="00460364">
            <w:pPr>
              <w:jc w:val="both"/>
              <w:rPr>
                <w:rFonts w:ascii="Garamond" w:hAnsi="Garamond"/>
                <w:b/>
                <w:bCs/>
                <w:lang w:val="uk-UA"/>
              </w:rPr>
            </w:pPr>
            <w:r w:rsidRPr="00460364">
              <w:rPr>
                <w:rFonts w:ascii="Garamond" w:hAnsi="Garamond"/>
                <w:b/>
                <w:bCs/>
                <w:lang w:val="uk-UA"/>
              </w:rPr>
              <w:t xml:space="preserve">У Постанові від 21 жовтня 2015 року у справі </w:t>
            </w:r>
            <w:hyperlink r:id="rId9" w:tooltip="Натисніть для перегляду всіх судових рішень по справі" w:history="1">
              <w:r w:rsidRPr="00460364">
                <w:rPr>
                  <w:rStyle w:val="Hyperlink"/>
                  <w:rFonts w:ascii="Garamond" w:hAnsi="Garamond"/>
                  <w:b/>
                  <w:bCs/>
                  <w:color w:val="auto"/>
                  <w:lang w:val="uk-UA"/>
                </w:rPr>
                <w:t>№ 6-1561цс15</w:t>
              </w:r>
            </w:hyperlink>
            <w:r w:rsidRPr="00460364">
              <w:rPr>
                <w:rFonts w:ascii="Garamond" w:hAnsi="Garamond"/>
                <w:b/>
                <w:bCs/>
                <w:lang w:val="uk-UA"/>
              </w:rPr>
              <w:t xml:space="preserve"> ВСУ дійшов до наступних висновків:      </w:t>
            </w:r>
          </w:p>
          <w:p w:rsidR="00460364" w:rsidRPr="00460364" w:rsidRDefault="00460364" w:rsidP="00460364">
            <w:pPr>
              <w:jc w:val="both"/>
              <w:rPr>
                <w:rFonts w:ascii="Garamond" w:hAnsi="Garamond"/>
                <w:lang w:val="uk-UA"/>
              </w:rPr>
            </w:pPr>
          </w:p>
          <w:p w:rsidR="00460364" w:rsidRPr="00460364" w:rsidRDefault="00460364" w:rsidP="00460364">
            <w:pPr>
              <w:pStyle w:val="NormalWeb"/>
              <w:spacing w:before="0" w:beforeAutospacing="0" w:after="0" w:afterAutospacing="0"/>
              <w:ind w:left="284"/>
              <w:jc w:val="both"/>
              <w:rPr>
                <w:rFonts w:ascii="Garamond" w:hAnsi="Garamond"/>
                <w:i/>
                <w:iCs/>
                <w:u w:val="single"/>
                <w:lang w:val="uk-UA"/>
              </w:rPr>
            </w:pPr>
            <w:r w:rsidRPr="00460364">
              <w:rPr>
                <w:rFonts w:ascii="Garamond" w:hAnsi="Garamond"/>
                <w:i/>
                <w:iCs/>
                <w:lang w:val="uk-UA"/>
              </w:rPr>
              <w:t>"</w:t>
            </w:r>
            <w:r w:rsidRPr="00460364">
              <w:rPr>
                <w:rFonts w:ascii="Garamond" w:hAnsi="Garamond"/>
                <w:i/>
                <w:iCs/>
                <w:u w:val="single"/>
                <w:lang w:val="uk-UA"/>
              </w:rPr>
              <w:t>Посилання суду в резолютивній частині рішення на визначення початкової ціни предмета іпотеки суб'єктом оціночної    діяльності/незалежним експертом на стадії оцінки майна під час проведення виконавчих дій суперечить вимогам статей</w:t>
            </w:r>
            <w:r w:rsidRPr="00460364">
              <w:rPr>
                <w:rStyle w:val="apple-converted-space"/>
                <w:rFonts w:ascii="Garamond" w:hAnsi="Garamond"/>
                <w:i/>
                <w:iCs/>
                <w:lang w:val="uk-UA"/>
              </w:rPr>
              <w:t> </w:t>
            </w:r>
            <w:hyperlink r:id="rId10" w:anchor="250" w:tgtFrame="_blank" w:tooltip="Про іпотеку; нормативно-правовий акт № 898-IV від 05.06.2003" w:history="1">
              <w:r w:rsidRPr="00460364">
                <w:rPr>
                  <w:rStyle w:val="Hyperlink"/>
                  <w:rFonts w:ascii="Garamond" w:hAnsi="Garamond"/>
                  <w:i/>
                  <w:iCs/>
                  <w:color w:val="auto"/>
                  <w:lang w:val="uk-UA"/>
                </w:rPr>
                <w:t>39</w:t>
              </w:r>
            </w:hyperlink>
            <w:r w:rsidRPr="00460364">
              <w:rPr>
                <w:rStyle w:val="apple-converted-space"/>
                <w:rFonts w:ascii="Garamond" w:hAnsi="Garamond"/>
                <w:i/>
                <w:iCs/>
                <w:lang w:val="uk-UA"/>
              </w:rPr>
              <w:t> </w:t>
            </w:r>
            <w:r w:rsidRPr="00460364">
              <w:rPr>
                <w:rFonts w:ascii="Garamond" w:hAnsi="Garamond"/>
                <w:i/>
                <w:iCs/>
                <w:u w:val="single"/>
                <w:lang w:val="uk-UA"/>
              </w:rPr>
              <w:t>та</w:t>
            </w:r>
            <w:r w:rsidRPr="00460364">
              <w:rPr>
                <w:rStyle w:val="apple-converted-space"/>
                <w:rFonts w:ascii="Garamond" w:hAnsi="Garamond"/>
                <w:i/>
                <w:iCs/>
                <w:lang w:val="uk-UA"/>
              </w:rPr>
              <w:t> </w:t>
            </w:r>
            <w:hyperlink r:id="rId11" w:anchor="273" w:tgtFrame="_blank" w:tooltip="Про іпотеку; нормативно-правовий акт № 898-IV від 05.06.2003" w:history="1">
              <w:r w:rsidRPr="00460364">
                <w:rPr>
                  <w:rStyle w:val="Hyperlink"/>
                  <w:rFonts w:ascii="Garamond" w:hAnsi="Garamond"/>
                  <w:i/>
                  <w:iCs/>
                  <w:color w:val="auto"/>
                  <w:lang w:val="uk-UA"/>
                </w:rPr>
                <w:t>43 Закону України «Про іпотеку»</w:t>
              </w:r>
            </w:hyperlink>
            <w:r w:rsidRPr="00460364">
              <w:rPr>
                <w:rFonts w:ascii="Garamond" w:hAnsi="Garamond"/>
                <w:i/>
                <w:iCs/>
                <w:u w:val="single"/>
                <w:lang w:val="uk-UA"/>
              </w:rPr>
              <w:t>.</w:t>
            </w:r>
          </w:p>
          <w:p w:rsidR="00460364" w:rsidRPr="00460364" w:rsidRDefault="00460364" w:rsidP="00460364">
            <w:pPr>
              <w:pStyle w:val="NormalWeb"/>
              <w:spacing w:before="0" w:beforeAutospacing="0" w:after="0" w:afterAutospacing="0"/>
              <w:ind w:left="284"/>
              <w:jc w:val="both"/>
              <w:rPr>
                <w:rFonts w:ascii="Garamond" w:hAnsi="Garamond"/>
                <w:i/>
                <w:iCs/>
                <w:lang w:val="uk-UA"/>
              </w:rPr>
            </w:pPr>
          </w:p>
          <w:p w:rsidR="00460364" w:rsidRPr="00460364" w:rsidRDefault="00460364" w:rsidP="00460364">
            <w:pPr>
              <w:pStyle w:val="NormalWeb"/>
              <w:spacing w:before="0" w:beforeAutospacing="0" w:after="0" w:afterAutospacing="0"/>
              <w:ind w:left="284"/>
              <w:jc w:val="both"/>
              <w:rPr>
                <w:rFonts w:ascii="Garamond" w:hAnsi="Garamond"/>
                <w:i/>
                <w:iCs/>
                <w:lang w:val="uk-UA"/>
              </w:rPr>
            </w:pPr>
            <w:r w:rsidRPr="00460364">
              <w:rPr>
                <w:rFonts w:ascii="Garamond" w:hAnsi="Garamond"/>
                <w:i/>
                <w:iCs/>
                <w:lang w:val="uk-UA"/>
              </w:rPr>
              <w:t xml:space="preserve">Виходячи зі змісту поняття ціни як форми грошового вираження </w:t>
            </w:r>
            <w:r w:rsidRPr="00460364">
              <w:rPr>
                <w:rFonts w:ascii="Garamond" w:hAnsi="Garamond"/>
                <w:i/>
                <w:iCs/>
                <w:lang w:val="uk-UA"/>
              </w:rPr>
              <w:lastRenderedPageBreak/>
              <w:t>вартості товару, послуг тощо та аналізу норм статей</w:t>
            </w:r>
            <w:r w:rsidRPr="00460364">
              <w:rPr>
                <w:rStyle w:val="apple-converted-space"/>
                <w:rFonts w:ascii="Garamond" w:hAnsi="Garamond"/>
                <w:i/>
                <w:iCs/>
                <w:lang w:val="uk-UA"/>
              </w:rPr>
              <w:t> </w:t>
            </w:r>
            <w:hyperlink r:id="rId12" w:anchor="241" w:tgtFrame="_blank" w:tooltip="Про іпотеку; нормативно-правовий акт № 898-IV від 05.06.2003" w:history="1">
              <w:r w:rsidRPr="00460364">
                <w:rPr>
                  <w:rStyle w:val="Hyperlink"/>
                  <w:rFonts w:ascii="Garamond" w:hAnsi="Garamond"/>
                  <w:i/>
                  <w:iCs/>
                  <w:color w:val="auto"/>
                  <w:lang w:val="uk-UA"/>
                </w:rPr>
                <w:t>38</w:t>
              </w:r>
            </w:hyperlink>
            <w:r w:rsidRPr="00460364">
              <w:rPr>
                <w:rFonts w:ascii="Garamond" w:hAnsi="Garamond"/>
                <w:i/>
                <w:iCs/>
                <w:lang w:val="uk-UA"/>
              </w:rPr>
              <w:t>,</w:t>
            </w:r>
            <w:r w:rsidRPr="00460364">
              <w:rPr>
                <w:rStyle w:val="apple-converted-space"/>
                <w:rFonts w:ascii="Garamond" w:hAnsi="Garamond"/>
                <w:i/>
                <w:iCs/>
                <w:lang w:val="uk-UA"/>
              </w:rPr>
              <w:t> </w:t>
            </w:r>
            <w:hyperlink r:id="rId13" w:anchor="250" w:tgtFrame="_blank" w:tooltip="Про іпотеку; нормативно-правовий акт № 898-IV від 05.06.2003" w:history="1">
              <w:r w:rsidRPr="00460364">
                <w:rPr>
                  <w:rStyle w:val="Hyperlink"/>
                  <w:rFonts w:ascii="Garamond" w:hAnsi="Garamond"/>
                  <w:i/>
                  <w:iCs/>
                  <w:color w:val="auto"/>
                  <w:lang w:val="uk-UA"/>
                </w:rPr>
                <w:t>39 Закону України «Про іпотеку»</w:t>
              </w:r>
            </w:hyperlink>
            <w:r w:rsidRPr="00460364">
              <w:rPr>
                <w:rFonts w:ascii="Garamond" w:hAnsi="Garamond"/>
                <w:i/>
                <w:iCs/>
                <w:lang w:val="uk-UA"/>
              </w:rPr>
              <w:t>, слід дійти висновку про те, що в розумінні норми</w:t>
            </w:r>
            <w:r w:rsidRPr="00460364">
              <w:rPr>
                <w:rStyle w:val="apple-converted-space"/>
                <w:rFonts w:ascii="Garamond" w:hAnsi="Garamond"/>
                <w:i/>
                <w:iCs/>
                <w:lang w:val="uk-UA"/>
              </w:rPr>
              <w:t> </w:t>
            </w:r>
            <w:hyperlink r:id="rId14" w:anchor="250" w:tgtFrame="_blank" w:tooltip="Про іпотеку; нормативно-правовий акт № 898-IV від 05.06.2003" w:history="1">
              <w:r w:rsidRPr="00460364">
                <w:rPr>
                  <w:rStyle w:val="Hyperlink"/>
                  <w:rFonts w:ascii="Garamond" w:hAnsi="Garamond"/>
                  <w:i/>
                  <w:iCs/>
                  <w:color w:val="auto"/>
                  <w:lang w:val="uk-UA"/>
                </w:rPr>
                <w:t>статті 39 цього Закону</w:t>
              </w:r>
            </w:hyperlink>
            <w:r w:rsidRPr="00460364">
              <w:rPr>
                <w:rStyle w:val="apple-converted-space"/>
                <w:rFonts w:ascii="Garamond" w:hAnsi="Garamond"/>
                <w:i/>
                <w:iCs/>
                <w:lang w:val="uk-UA"/>
              </w:rPr>
              <w:t> </w:t>
            </w:r>
            <w:r w:rsidRPr="00460364">
              <w:rPr>
                <w:rFonts w:ascii="Garamond" w:hAnsi="Garamond"/>
                <w:i/>
                <w:iCs/>
                <w:lang w:val="uk-UA"/>
              </w:rPr>
              <w:t>встановлення початкової ціни предмета іпотеки у грошовому вираженні визначається за процедурою, передбаченою частиною шостою</w:t>
            </w:r>
            <w:r w:rsidRPr="00460364">
              <w:rPr>
                <w:rStyle w:val="apple-converted-space"/>
                <w:rFonts w:ascii="Garamond" w:hAnsi="Garamond"/>
                <w:i/>
                <w:iCs/>
                <w:lang w:val="uk-UA"/>
              </w:rPr>
              <w:t> </w:t>
            </w:r>
            <w:hyperlink r:id="rId15" w:anchor="241" w:tgtFrame="_blank" w:tooltip="Про іпотеку; нормативно-правовий акт № 898-IV від 05.06.2003" w:history="1">
              <w:r w:rsidRPr="00460364">
                <w:rPr>
                  <w:rStyle w:val="Hyperlink"/>
                  <w:rFonts w:ascii="Garamond" w:hAnsi="Garamond"/>
                  <w:i/>
                  <w:iCs/>
                  <w:color w:val="auto"/>
                  <w:lang w:val="uk-UA"/>
                </w:rPr>
                <w:t>статті 38 цього Закону</w:t>
              </w:r>
            </w:hyperlink>
            <w:r w:rsidRPr="00460364">
              <w:rPr>
                <w:rFonts w:ascii="Garamond" w:hAnsi="Garamond"/>
                <w:i/>
                <w:iCs/>
                <w:lang w:val="uk-UA"/>
              </w:rPr>
              <w:t>".</w:t>
            </w:r>
          </w:p>
          <w:p w:rsidR="00460364" w:rsidRPr="00460364" w:rsidRDefault="00460364" w:rsidP="00460364">
            <w:pPr>
              <w:jc w:val="both"/>
              <w:rPr>
                <w:rFonts w:ascii="Garamond" w:hAnsi="Garamond"/>
                <w:b/>
                <w:bCs/>
                <w:lang w:val="uk-UA"/>
              </w:rPr>
            </w:pPr>
          </w:p>
          <w:p w:rsidR="00460364" w:rsidRPr="00460364" w:rsidRDefault="00460364" w:rsidP="00460364">
            <w:pPr>
              <w:jc w:val="both"/>
              <w:rPr>
                <w:rFonts w:ascii="Garamond" w:hAnsi="Garamond"/>
                <w:b/>
                <w:bCs/>
                <w:lang w:val="uk-UA"/>
              </w:rPr>
            </w:pPr>
            <w:r w:rsidRPr="00460364">
              <w:rPr>
                <w:rFonts w:ascii="Garamond" w:hAnsi="Garamond"/>
                <w:b/>
                <w:bCs/>
                <w:lang w:val="uk-UA"/>
              </w:rPr>
              <w:t xml:space="preserve">У Постанові від 4 листопада 2015 року у справі </w:t>
            </w:r>
            <w:hyperlink r:id="rId16" w:tooltip="Натисніть для перегляду всіх судових рішень по справі" w:history="1">
              <w:r w:rsidRPr="00460364">
                <w:rPr>
                  <w:rStyle w:val="Hyperlink"/>
                  <w:rFonts w:ascii="Garamond" w:hAnsi="Garamond"/>
                  <w:b/>
                  <w:bCs/>
                  <w:color w:val="auto"/>
                  <w:lang w:val="uk-UA"/>
                </w:rPr>
                <w:t>№ 6-1120цс15</w:t>
              </w:r>
            </w:hyperlink>
            <w:r w:rsidRPr="00460364">
              <w:rPr>
                <w:rFonts w:ascii="Garamond" w:hAnsi="Garamond"/>
                <w:b/>
                <w:bCs/>
                <w:lang w:val="uk-UA"/>
              </w:rPr>
              <w:t xml:space="preserve"> ВСУ дійшов до наступних висновків:      </w:t>
            </w:r>
          </w:p>
          <w:p w:rsidR="00460364" w:rsidRPr="00460364" w:rsidRDefault="00460364" w:rsidP="00460364">
            <w:pPr>
              <w:jc w:val="both"/>
              <w:rPr>
                <w:rFonts w:ascii="Garamond" w:hAnsi="Garamond"/>
                <w:lang w:val="uk-UA"/>
              </w:rPr>
            </w:pPr>
          </w:p>
          <w:p w:rsidR="00460364" w:rsidRPr="00460364" w:rsidRDefault="00460364" w:rsidP="00460364">
            <w:pPr>
              <w:pStyle w:val="NormalWeb"/>
              <w:spacing w:before="0" w:beforeAutospacing="0" w:after="0" w:afterAutospacing="0"/>
              <w:ind w:left="284"/>
              <w:jc w:val="both"/>
              <w:rPr>
                <w:rFonts w:ascii="Garamond" w:hAnsi="Garamond"/>
                <w:i/>
                <w:iCs/>
              </w:rPr>
            </w:pPr>
            <w:r w:rsidRPr="00460364">
              <w:rPr>
                <w:rFonts w:ascii="Garamond" w:hAnsi="Garamond"/>
                <w:i/>
                <w:iCs/>
                <w:u w:val="single"/>
                <w:lang w:val="uk-UA"/>
              </w:rPr>
              <w:t>"Посилання суду першої інстанції в резолютивній частині рішення на визначення початкової ціни предмета іпотеки на підставі оцінки майна, проведеної відповідно до законодавства про оцінку майна і майнових прав та професійну оціночну діяльність, суперечить вимогам статей</w:t>
            </w:r>
            <w:r w:rsidRPr="00460364">
              <w:rPr>
                <w:rStyle w:val="apple-converted-space"/>
                <w:rFonts w:ascii="Garamond" w:hAnsi="Garamond"/>
                <w:i/>
                <w:iCs/>
                <w:lang w:val="uk-UA"/>
              </w:rPr>
              <w:t> </w:t>
            </w:r>
            <w:hyperlink r:id="rId17" w:anchor="250" w:tgtFrame="_blank" w:tooltip="Про іпотеку; нормативно-правовий акт № 898-IV від 05.06.2003" w:history="1">
              <w:r w:rsidRPr="00460364">
                <w:rPr>
                  <w:rStyle w:val="Hyperlink"/>
                  <w:rFonts w:ascii="Garamond" w:hAnsi="Garamond"/>
                  <w:i/>
                  <w:iCs/>
                  <w:color w:val="auto"/>
                  <w:lang w:val="uk-UA"/>
                </w:rPr>
                <w:t>39</w:t>
              </w:r>
            </w:hyperlink>
            <w:r w:rsidRPr="00460364">
              <w:rPr>
                <w:rStyle w:val="apple-converted-space"/>
                <w:rFonts w:ascii="Garamond" w:hAnsi="Garamond"/>
                <w:i/>
                <w:iCs/>
                <w:lang w:val="uk-UA"/>
              </w:rPr>
              <w:t> </w:t>
            </w:r>
            <w:r w:rsidRPr="00460364">
              <w:rPr>
                <w:rFonts w:ascii="Garamond" w:hAnsi="Garamond"/>
                <w:i/>
                <w:iCs/>
                <w:u w:val="single"/>
                <w:lang w:val="uk-UA"/>
              </w:rPr>
              <w:t>та</w:t>
            </w:r>
            <w:r w:rsidRPr="00460364">
              <w:rPr>
                <w:rStyle w:val="apple-converted-space"/>
                <w:rFonts w:ascii="Garamond" w:hAnsi="Garamond"/>
                <w:i/>
                <w:iCs/>
                <w:lang w:val="uk-UA"/>
              </w:rPr>
              <w:t> </w:t>
            </w:r>
            <w:hyperlink r:id="rId18" w:anchor="273" w:tgtFrame="_blank" w:tooltip="Про іпотеку; нормативно-правовий акт № 898-IV від 05.06.2003" w:history="1">
              <w:r w:rsidRPr="00460364">
                <w:rPr>
                  <w:rStyle w:val="Hyperlink"/>
                  <w:rFonts w:ascii="Garamond" w:hAnsi="Garamond"/>
                  <w:i/>
                  <w:iCs/>
                  <w:color w:val="auto"/>
                  <w:lang w:val="uk-UA"/>
                </w:rPr>
                <w:t>43 Закону України «Про іпотеку»</w:t>
              </w:r>
            </w:hyperlink>
            <w:r w:rsidRPr="00460364">
              <w:rPr>
                <w:rFonts w:ascii="Garamond" w:hAnsi="Garamond"/>
                <w:i/>
                <w:iCs/>
                <w:lang w:val="uk-UA"/>
              </w:rPr>
              <w:t xml:space="preserve">, </w:t>
            </w:r>
            <w:r w:rsidRPr="00460364">
              <w:rPr>
                <w:rFonts w:ascii="Garamond" w:hAnsi="Garamond"/>
                <w:i/>
                <w:iCs/>
                <w:u w:val="single"/>
                <w:lang w:val="uk-UA"/>
              </w:rPr>
              <w:t>оскільки</w:t>
            </w:r>
            <w:r w:rsidRPr="00460364">
              <w:rPr>
                <w:rFonts w:ascii="Garamond" w:hAnsi="Garamond"/>
                <w:i/>
                <w:iCs/>
                <w:lang w:val="uk-UA"/>
              </w:rPr>
              <w:t xml:space="preserve"> виходячи зі змісту поняття «ціна» як форми грошового вираження вартості товару, послуг тощо у розумінні положень</w:t>
            </w:r>
            <w:r w:rsidRPr="00460364">
              <w:rPr>
                <w:rStyle w:val="apple-converted-space"/>
                <w:rFonts w:ascii="Garamond" w:hAnsi="Garamond"/>
                <w:i/>
                <w:iCs/>
                <w:lang w:val="uk-UA"/>
              </w:rPr>
              <w:t> </w:t>
            </w:r>
            <w:hyperlink r:id="rId19" w:anchor="250" w:tgtFrame="_blank" w:tooltip="Про іпотеку; нормативно-правовий акт № 898-IV від 05.06.2003" w:history="1">
              <w:r w:rsidRPr="00460364">
                <w:rPr>
                  <w:rStyle w:val="Hyperlink"/>
                  <w:rFonts w:ascii="Garamond" w:hAnsi="Garamond"/>
                  <w:i/>
                  <w:iCs/>
                  <w:color w:val="auto"/>
                  <w:lang w:val="uk-UA"/>
                </w:rPr>
                <w:t>статті 39 цього Закону</w:t>
              </w:r>
            </w:hyperlink>
            <w:r w:rsidRPr="00460364">
              <w:rPr>
                <w:rFonts w:ascii="Garamond" w:hAnsi="Garamond"/>
                <w:i/>
                <w:iCs/>
                <w:lang w:val="uk-UA"/>
              </w:rPr>
              <w:t>  </w:t>
            </w:r>
            <w:r w:rsidRPr="00460364">
              <w:rPr>
                <w:rFonts w:ascii="Garamond" w:hAnsi="Garamond"/>
                <w:i/>
                <w:iCs/>
                <w:u w:val="single"/>
                <w:lang w:val="uk-UA"/>
              </w:rPr>
              <w:t>встановлення початкової ціни предмета іпотеки означає встановлення її в рішенні суду в грошовому вираженні</w:t>
            </w:r>
            <w:r w:rsidRPr="00460364">
              <w:rPr>
                <w:rFonts w:ascii="Garamond" w:hAnsi="Garamond"/>
                <w:i/>
                <w:iCs/>
                <w:lang w:val="uk-UA"/>
              </w:rPr>
              <w:t>, визначеної за процедурою, передбаченою частиною шостою</w:t>
            </w:r>
            <w:r w:rsidRPr="00460364">
              <w:rPr>
                <w:rStyle w:val="apple-converted-space"/>
                <w:rFonts w:ascii="Garamond" w:hAnsi="Garamond"/>
                <w:i/>
                <w:iCs/>
                <w:lang w:val="uk-UA"/>
              </w:rPr>
              <w:t> </w:t>
            </w:r>
            <w:hyperlink r:id="rId20" w:anchor="241" w:tgtFrame="_blank" w:tooltip="Про іпотеку; нормативно-правовий акт № 898-IV від 05.06.2003" w:history="1">
              <w:r w:rsidRPr="00460364">
                <w:rPr>
                  <w:rStyle w:val="Hyperlink"/>
                  <w:rFonts w:ascii="Garamond" w:hAnsi="Garamond"/>
                  <w:i/>
                  <w:iCs/>
                  <w:color w:val="auto"/>
                  <w:lang w:val="uk-UA"/>
                </w:rPr>
                <w:t>статті 38 цього Закону</w:t>
              </w:r>
            </w:hyperlink>
            <w:r w:rsidRPr="00460364">
              <w:rPr>
                <w:rFonts w:ascii="Garamond" w:hAnsi="Garamond"/>
                <w:i/>
                <w:iCs/>
                <w:lang w:val="uk-UA"/>
              </w:rPr>
              <w:t>".</w:t>
            </w:r>
          </w:p>
          <w:p w:rsidR="00460364" w:rsidRPr="00460364" w:rsidRDefault="00460364" w:rsidP="00460364">
            <w:pPr>
              <w:pStyle w:val="NormalWeb"/>
              <w:spacing w:before="0" w:beforeAutospacing="0" w:after="0" w:afterAutospacing="0"/>
              <w:jc w:val="both"/>
              <w:rPr>
                <w:rFonts w:ascii="Garamond" w:hAnsi="Garamond"/>
                <w:b/>
                <w:bCs/>
                <w:u w:val="single"/>
                <w:lang w:val="uk-UA"/>
              </w:rPr>
            </w:pPr>
          </w:p>
          <w:p w:rsidR="00460364" w:rsidRPr="00460364" w:rsidRDefault="00460364" w:rsidP="00460364">
            <w:pPr>
              <w:jc w:val="both"/>
              <w:rPr>
                <w:rFonts w:ascii="Garamond" w:hAnsi="Garamond"/>
                <w:b/>
                <w:bCs/>
                <w:u w:val="single"/>
                <w:lang w:val="uk-UA"/>
              </w:rPr>
            </w:pPr>
            <w:r w:rsidRPr="00460364">
              <w:rPr>
                <w:rFonts w:ascii="Garamond" w:hAnsi="Garamond"/>
                <w:b/>
                <w:bCs/>
                <w:u w:val="single"/>
                <w:lang w:val="uk-UA"/>
              </w:rPr>
              <w:t xml:space="preserve">Проте, у Постанові від 23 грудня </w:t>
            </w:r>
            <w:r w:rsidRPr="00460364">
              <w:rPr>
                <w:rFonts w:ascii="Garamond" w:hAnsi="Garamond"/>
                <w:b/>
                <w:bCs/>
                <w:u w:val="single"/>
                <w:lang w:val="uk-UA"/>
              </w:rPr>
              <w:lastRenderedPageBreak/>
              <w:t xml:space="preserve">2015 року у справі </w:t>
            </w:r>
            <w:hyperlink r:id="rId21" w:tooltip="Натисніть для перегляду всіх судових рішень по справі" w:history="1">
              <w:r w:rsidRPr="00460364">
                <w:rPr>
                  <w:rStyle w:val="Hyperlink"/>
                  <w:rFonts w:ascii="Garamond" w:hAnsi="Garamond"/>
                  <w:b/>
                  <w:bCs/>
                  <w:color w:val="auto"/>
                  <w:lang w:val="uk-UA"/>
                </w:rPr>
                <w:t>№ 6-1205цс15</w:t>
              </w:r>
            </w:hyperlink>
            <w:r w:rsidRPr="00460364">
              <w:rPr>
                <w:rFonts w:ascii="Garamond" w:hAnsi="Garamond"/>
                <w:b/>
                <w:bCs/>
                <w:u w:val="single"/>
                <w:lang w:val="uk-UA"/>
              </w:rPr>
              <w:t xml:space="preserve"> ВСУ заначив наступне:</w:t>
            </w:r>
          </w:p>
          <w:p w:rsidR="00460364" w:rsidRPr="00460364" w:rsidRDefault="00460364" w:rsidP="00460364">
            <w:pPr>
              <w:spacing w:before="100" w:beforeAutospacing="1" w:after="100" w:afterAutospacing="1"/>
              <w:rPr>
                <w:rFonts w:ascii="Garamond" w:hAnsi="Garamond"/>
                <w:lang w:val="uk-UA"/>
              </w:rPr>
            </w:pPr>
            <w:r w:rsidRPr="00460364">
              <w:rPr>
                <w:rFonts w:ascii="Garamond" w:hAnsi="Garamond"/>
                <w:lang w:val="uk-UA"/>
              </w:rPr>
              <w:t>«Отже, у разі задоволення позову про звернення стягнення на предмет іпотеки резолютивна частина рішення суду має відповідати вимогам частини шостої статті </w:t>
            </w:r>
            <w:hyperlink r:id="rId22" w:anchor="241" w:tgtFrame="_blank" w:tooltip="Про іпотеку; нормативно-правовий акт № 898-IV від 05.06.2003" w:history="1">
              <w:r w:rsidRPr="00460364">
                <w:rPr>
                  <w:rStyle w:val="Hyperlink"/>
                  <w:rFonts w:ascii="Garamond" w:hAnsi="Garamond"/>
                  <w:color w:val="auto"/>
                  <w:lang w:val="uk-UA"/>
                </w:rPr>
                <w:t>38</w:t>
              </w:r>
            </w:hyperlink>
            <w:r w:rsidRPr="00460364">
              <w:rPr>
                <w:rFonts w:ascii="Garamond" w:hAnsi="Garamond"/>
                <w:lang w:val="uk-UA"/>
              </w:rPr>
              <w:t>, статті </w:t>
            </w:r>
            <w:hyperlink r:id="rId23" w:anchor="250" w:tgtFrame="_blank" w:tooltip="Про іпотеку; нормативно-правовий акт № 898-IV від 05.06.2003" w:history="1">
              <w:r w:rsidRPr="00460364">
                <w:rPr>
                  <w:rStyle w:val="Hyperlink"/>
                  <w:rFonts w:ascii="Garamond" w:hAnsi="Garamond"/>
                  <w:color w:val="auto"/>
                  <w:lang w:val="uk-UA"/>
                </w:rPr>
                <w:t>39 Закону України «Про іпотеку»</w:t>
              </w:r>
            </w:hyperlink>
            <w:r w:rsidRPr="00460364">
              <w:rPr>
                <w:rFonts w:ascii="Garamond" w:hAnsi="Garamond"/>
                <w:lang w:val="uk-UA"/>
              </w:rPr>
              <w:t> та положенням пункту 4 частини першої </w:t>
            </w:r>
            <w:hyperlink r:id="rId24" w:anchor="1990" w:tgtFrame="_blank" w:tooltip="Цивільний процесуальний кодекс України; нормативно-правовий акт № 1618-IV від 18.03.2004" w:history="1">
              <w:r w:rsidRPr="00460364">
                <w:rPr>
                  <w:rStyle w:val="Hyperlink"/>
                  <w:rFonts w:ascii="Garamond" w:hAnsi="Garamond"/>
                  <w:color w:val="auto"/>
                  <w:lang w:val="uk-UA"/>
                </w:rPr>
                <w:t>статті 215 ЦПК України</w:t>
              </w:r>
            </w:hyperlink>
            <w:r w:rsidRPr="00460364">
              <w:rPr>
                <w:rFonts w:ascii="Garamond" w:hAnsi="Garamond"/>
                <w:lang w:val="uk-UA"/>
              </w:rPr>
              <w:t> й у ній повинна зазначатись, крім іншого, початкова ціна предмета іпотеки для його подальшої реалізації</w:t>
            </w:r>
            <w:r w:rsidRPr="00460364">
              <w:rPr>
                <w:rFonts w:ascii="Garamond" w:hAnsi="Garamond"/>
                <w:u w:val="single"/>
                <w:lang w:val="uk-UA"/>
              </w:rPr>
              <w:t>. При цьому суд повинен указати, що початкова ціна встановлюється на рівні, не нижчому за звичайні ціни на цей вид майна, на підставі оцінки, проведеної суб'єктом оціночної діяльності/незалежним експертом на стадії оцінки майна під час проведення виконавчих дій)</w:t>
            </w:r>
            <w:r w:rsidRPr="00460364">
              <w:rPr>
                <w:rFonts w:ascii="Garamond" w:hAnsi="Garamond"/>
                <w:lang w:val="uk-UA"/>
              </w:rPr>
              <w:t>».</w:t>
            </w:r>
          </w:p>
          <w:p w:rsidR="00D3107B" w:rsidRPr="00696022" w:rsidRDefault="00D3107B" w:rsidP="002E0CCE">
            <w:pPr>
              <w:jc w:val="both"/>
              <w:rPr>
                <w:rFonts w:ascii="Times New Roman" w:hAnsi="Times New Roman" w:cs="Times New Roman"/>
                <w:sz w:val="20"/>
                <w:szCs w:val="20"/>
                <w:lang w:val="uk-UA"/>
              </w:rPr>
            </w:pPr>
          </w:p>
        </w:tc>
        <w:tc>
          <w:tcPr>
            <w:tcW w:w="2694" w:type="dxa"/>
          </w:tcPr>
          <w:p w:rsidR="00460364" w:rsidRPr="00460364" w:rsidRDefault="00460364" w:rsidP="00460364">
            <w:pPr>
              <w:jc w:val="both"/>
              <w:rPr>
                <w:rFonts w:ascii="Times New Roman" w:hAnsi="Times New Roman" w:cs="Times New Roman"/>
                <w:sz w:val="20"/>
                <w:szCs w:val="20"/>
                <w:lang w:val="uk-UA"/>
              </w:rPr>
            </w:pPr>
            <w:r w:rsidRPr="00460364">
              <w:rPr>
                <w:rFonts w:ascii="Times New Roman" w:hAnsi="Times New Roman" w:cs="Times New Roman"/>
                <w:sz w:val="20"/>
                <w:szCs w:val="20"/>
                <w:lang w:val="uk-UA"/>
              </w:rPr>
              <w:lastRenderedPageBreak/>
              <w:t>•</w:t>
            </w:r>
            <w:r w:rsidRPr="00460364">
              <w:rPr>
                <w:rFonts w:ascii="Times New Roman" w:hAnsi="Times New Roman" w:cs="Times New Roman"/>
                <w:sz w:val="20"/>
                <w:szCs w:val="20"/>
                <w:lang w:val="uk-UA"/>
              </w:rPr>
              <w:tab/>
              <w:t>Постанова від 27 травня 2015 року у справі № 6-61цс15;</w:t>
            </w:r>
          </w:p>
          <w:p w:rsidR="00460364" w:rsidRPr="00460364" w:rsidRDefault="00460364" w:rsidP="00460364">
            <w:pPr>
              <w:jc w:val="both"/>
              <w:rPr>
                <w:rFonts w:ascii="Times New Roman" w:hAnsi="Times New Roman" w:cs="Times New Roman"/>
                <w:sz w:val="20"/>
                <w:szCs w:val="20"/>
                <w:lang w:val="uk-UA"/>
              </w:rPr>
            </w:pPr>
            <w:r w:rsidRPr="00460364">
              <w:rPr>
                <w:rFonts w:ascii="Times New Roman" w:hAnsi="Times New Roman" w:cs="Times New Roman"/>
                <w:sz w:val="20"/>
                <w:szCs w:val="20"/>
                <w:lang w:val="uk-UA"/>
              </w:rPr>
              <w:t>•</w:t>
            </w:r>
            <w:r w:rsidRPr="00460364">
              <w:rPr>
                <w:rFonts w:ascii="Times New Roman" w:hAnsi="Times New Roman" w:cs="Times New Roman"/>
                <w:sz w:val="20"/>
                <w:szCs w:val="20"/>
                <w:lang w:val="uk-UA"/>
              </w:rPr>
              <w:tab/>
              <w:t>Постанова від 7 жовтня 2015 року у справі № 6-1935цс15;</w:t>
            </w:r>
          </w:p>
          <w:p w:rsidR="00460364" w:rsidRPr="00460364" w:rsidRDefault="00460364" w:rsidP="00460364">
            <w:pPr>
              <w:jc w:val="both"/>
              <w:rPr>
                <w:rFonts w:ascii="Times New Roman" w:hAnsi="Times New Roman" w:cs="Times New Roman"/>
                <w:sz w:val="20"/>
                <w:szCs w:val="20"/>
                <w:lang w:val="uk-UA"/>
              </w:rPr>
            </w:pPr>
            <w:r w:rsidRPr="00460364">
              <w:rPr>
                <w:rFonts w:ascii="Times New Roman" w:hAnsi="Times New Roman" w:cs="Times New Roman"/>
                <w:sz w:val="20"/>
                <w:szCs w:val="20"/>
                <w:lang w:val="uk-UA"/>
              </w:rPr>
              <w:t>•</w:t>
            </w:r>
            <w:r w:rsidRPr="00460364">
              <w:rPr>
                <w:rFonts w:ascii="Times New Roman" w:hAnsi="Times New Roman" w:cs="Times New Roman"/>
                <w:sz w:val="20"/>
                <w:szCs w:val="20"/>
                <w:lang w:val="uk-UA"/>
              </w:rPr>
              <w:tab/>
              <w:t>Постанова від 21 жовтня 2015 року у справі № 6-1561цс15;</w:t>
            </w:r>
          </w:p>
          <w:p w:rsidR="00460364" w:rsidRPr="00460364" w:rsidRDefault="00460364" w:rsidP="00460364">
            <w:pPr>
              <w:jc w:val="both"/>
              <w:rPr>
                <w:rFonts w:ascii="Times New Roman" w:hAnsi="Times New Roman" w:cs="Times New Roman"/>
                <w:sz w:val="20"/>
                <w:szCs w:val="20"/>
                <w:lang w:val="uk-UA"/>
              </w:rPr>
            </w:pPr>
            <w:r w:rsidRPr="00460364">
              <w:rPr>
                <w:rFonts w:ascii="Times New Roman" w:hAnsi="Times New Roman" w:cs="Times New Roman"/>
                <w:sz w:val="20"/>
                <w:szCs w:val="20"/>
                <w:lang w:val="uk-UA"/>
              </w:rPr>
              <w:t>•</w:t>
            </w:r>
            <w:r w:rsidRPr="00460364">
              <w:rPr>
                <w:rFonts w:ascii="Times New Roman" w:hAnsi="Times New Roman" w:cs="Times New Roman"/>
                <w:sz w:val="20"/>
                <w:szCs w:val="20"/>
                <w:lang w:val="uk-UA"/>
              </w:rPr>
              <w:tab/>
              <w:t>Постанова від 4 листопада 2015 року у справі № 6-1120цс15;</w:t>
            </w:r>
          </w:p>
          <w:p w:rsidR="00D3107B" w:rsidRPr="00696022" w:rsidRDefault="00460364" w:rsidP="00460364">
            <w:pPr>
              <w:jc w:val="both"/>
              <w:rPr>
                <w:rFonts w:ascii="Times New Roman" w:hAnsi="Times New Roman" w:cs="Times New Roman"/>
                <w:sz w:val="20"/>
                <w:szCs w:val="20"/>
                <w:lang w:val="uk-UA"/>
              </w:rPr>
            </w:pPr>
            <w:r w:rsidRPr="00460364">
              <w:rPr>
                <w:rFonts w:ascii="Times New Roman" w:hAnsi="Times New Roman" w:cs="Times New Roman"/>
                <w:sz w:val="20"/>
                <w:szCs w:val="20"/>
                <w:lang w:val="uk-UA"/>
              </w:rPr>
              <w:t>•</w:t>
            </w:r>
            <w:r w:rsidRPr="00460364">
              <w:rPr>
                <w:rFonts w:ascii="Times New Roman" w:hAnsi="Times New Roman" w:cs="Times New Roman"/>
                <w:sz w:val="20"/>
                <w:szCs w:val="20"/>
                <w:lang w:val="uk-UA"/>
              </w:rPr>
              <w:tab/>
              <w:t>Постанова від 23 грудня 2015 року у справі № 6-1205цс15.</w:t>
            </w:r>
          </w:p>
        </w:tc>
        <w:tc>
          <w:tcPr>
            <w:tcW w:w="3827" w:type="dxa"/>
          </w:tcPr>
          <w:p w:rsidR="00460364" w:rsidRPr="00460364" w:rsidRDefault="00460364" w:rsidP="00460364">
            <w:pPr>
              <w:pStyle w:val="ListParagraph"/>
              <w:numPr>
                <w:ilvl w:val="0"/>
                <w:numId w:val="11"/>
              </w:numPr>
              <w:contextualSpacing w:val="0"/>
              <w:rPr>
                <w:rFonts w:ascii="Garamond" w:hAnsi="Garamond"/>
                <w:lang w:val="uk-UA"/>
              </w:rPr>
            </w:pPr>
            <w:r w:rsidRPr="00460364">
              <w:rPr>
                <w:rFonts w:ascii="Garamond" w:hAnsi="Garamond"/>
                <w:lang w:val="uk-UA"/>
              </w:rPr>
              <w:t>Із вищенаведених Постанов вбачається не уніфікованість правової позиції ВСУ;</w:t>
            </w:r>
          </w:p>
          <w:p w:rsidR="00460364" w:rsidRPr="00460364" w:rsidRDefault="00460364" w:rsidP="00460364">
            <w:pPr>
              <w:pStyle w:val="ListParagraph"/>
              <w:rPr>
                <w:rFonts w:ascii="Garamond" w:hAnsi="Garamond"/>
                <w:lang w:val="uk-UA"/>
              </w:rPr>
            </w:pPr>
          </w:p>
          <w:p w:rsidR="00460364" w:rsidRPr="00460364" w:rsidRDefault="00460364" w:rsidP="00460364">
            <w:pPr>
              <w:pStyle w:val="ListParagraph"/>
              <w:numPr>
                <w:ilvl w:val="0"/>
                <w:numId w:val="11"/>
              </w:numPr>
              <w:contextualSpacing w:val="0"/>
              <w:rPr>
                <w:rFonts w:ascii="Garamond" w:hAnsi="Garamond"/>
                <w:lang w:val="uk-UA"/>
              </w:rPr>
            </w:pPr>
            <w:r w:rsidRPr="00460364">
              <w:rPr>
                <w:rFonts w:ascii="Garamond" w:hAnsi="Garamond"/>
                <w:lang w:val="uk-UA"/>
              </w:rPr>
              <w:t>Вбачається, що визначення початкової ціни предмету іпотеки саме під час здійснення виконавчого провадження найбільш повно захищатиме права кредиторів та боржників, адже з моменту визначення ціни предмета іпотеки у рішенні суду до моменту реалізації предмета іпотеки під час виконавчого провадження може пройти тривалий період часу та ціна об’єкту нерухомості може суттєво змінитися та відрізнятися від ринкових цін.</w:t>
            </w:r>
          </w:p>
          <w:p w:rsidR="00460364" w:rsidRPr="00460364" w:rsidRDefault="00460364" w:rsidP="00460364">
            <w:pPr>
              <w:rPr>
                <w:rFonts w:ascii="Garamond" w:hAnsi="Garamond"/>
                <w:lang w:val="uk-UA"/>
              </w:rPr>
            </w:pPr>
          </w:p>
          <w:p w:rsidR="00460364" w:rsidRPr="00460364" w:rsidRDefault="00460364" w:rsidP="00460364">
            <w:pPr>
              <w:jc w:val="both"/>
              <w:rPr>
                <w:rFonts w:ascii="Times New Roman" w:hAnsi="Times New Roman" w:cs="Times New Roman"/>
                <w:sz w:val="20"/>
                <w:szCs w:val="20"/>
                <w:lang w:val="uk-UA"/>
              </w:rPr>
            </w:pPr>
          </w:p>
          <w:p w:rsidR="00D3107B" w:rsidRPr="00696022" w:rsidRDefault="00D3107B" w:rsidP="002E0CCE">
            <w:pPr>
              <w:jc w:val="both"/>
              <w:rPr>
                <w:rFonts w:ascii="Times New Roman" w:hAnsi="Times New Roman" w:cs="Times New Roman"/>
                <w:sz w:val="20"/>
                <w:szCs w:val="20"/>
                <w:lang w:val="uk-UA"/>
              </w:rPr>
            </w:pPr>
          </w:p>
        </w:tc>
      </w:tr>
      <w:tr w:rsidR="00D3107B" w:rsidRPr="007267AE" w:rsidTr="00587C43">
        <w:tc>
          <w:tcPr>
            <w:tcW w:w="562" w:type="dxa"/>
          </w:tcPr>
          <w:p w:rsidR="00D3107B" w:rsidRPr="00696022" w:rsidRDefault="00D3107B" w:rsidP="002E0CCE">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lastRenderedPageBreak/>
              <w:t>6</w:t>
            </w:r>
          </w:p>
        </w:tc>
        <w:tc>
          <w:tcPr>
            <w:tcW w:w="2416" w:type="dxa"/>
          </w:tcPr>
          <w:p w:rsidR="00D3107B" w:rsidRPr="00696022" w:rsidRDefault="007267AE"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Господарське судочинство</w:t>
            </w:r>
          </w:p>
        </w:tc>
        <w:tc>
          <w:tcPr>
            <w:tcW w:w="2268" w:type="dxa"/>
          </w:tcPr>
          <w:p w:rsidR="00D3107B" w:rsidRPr="00696022" w:rsidRDefault="007267AE"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Оскарження рішення органів Антимонопольного комітету України</w:t>
            </w:r>
          </w:p>
        </w:tc>
        <w:tc>
          <w:tcPr>
            <w:tcW w:w="3543" w:type="dxa"/>
          </w:tcPr>
          <w:p w:rsidR="007267AE"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Суди тричі (1-а, апеляційна і касаційна інстанції) відмовили  компанії у задовленні скарги, не переглянувши справу по суті, а фактично повторивши одне за одим аргументацію в рішенні Антимонопольного комітету про звинувачення у порушенні законодавства про економічну конкуренцію (п.1 ст.50, ч.3 ст.6 Закону України «Про захист економічної конкуренції») у вигляді антиконкурентних узгоджених дій шляхом вчинення схожіх дій на ринках роздрібної торгівлі світлими нафтопродуктами, які призвели до обмеження цінової конкуренції та накладення штрафу на ТОВ «Альянс Ходинг» (входить до складу </w:t>
            </w:r>
            <w:r>
              <w:rPr>
                <w:rFonts w:ascii="Times New Roman" w:hAnsi="Times New Roman" w:cs="Times New Roman"/>
                <w:sz w:val="20"/>
                <w:szCs w:val="20"/>
              </w:rPr>
              <w:t>Shell</w:t>
            </w:r>
            <w:r>
              <w:rPr>
                <w:rFonts w:ascii="Times New Roman" w:hAnsi="Times New Roman" w:cs="Times New Roman"/>
                <w:sz w:val="20"/>
                <w:szCs w:val="20"/>
                <w:lang w:val="uk-UA"/>
              </w:rPr>
              <w:t xml:space="preserve"> </w:t>
            </w:r>
            <w:r>
              <w:rPr>
                <w:rFonts w:ascii="Times New Roman" w:hAnsi="Times New Roman" w:cs="Times New Roman"/>
                <w:sz w:val="20"/>
                <w:szCs w:val="20"/>
              </w:rPr>
              <w:lastRenderedPageBreak/>
              <w:t>Retail</w:t>
            </w:r>
            <w:r>
              <w:rPr>
                <w:rFonts w:ascii="Times New Roman" w:hAnsi="Times New Roman" w:cs="Times New Roman"/>
                <w:sz w:val="20"/>
                <w:szCs w:val="20"/>
                <w:lang w:val="uk-UA"/>
              </w:rPr>
              <w:t xml:space="preserve"> </w:t>
            </w:r>
            <w:r>
              <w:rPr>
                <w:rFonts w:ascii="Times New Roman" w:hAnsi="Times New Roman" w:cs="Times New Roman"/>
                <w:sz w:val="20"/>
                <w:szCs w:val="20"/>
              </w:rPr>
              <w:t>Ukraine</w:t>
            </w:r>
            <w:r>
              <w:rPr>
                <w:rFonts w:ascii="Times New Roman" w:hAnsi="Times New Roman" w:cs="Times New Roman"/>
                <w:sz w:val="20"/>
                <w:szCs w:val="20"/>
                <w:lang w:val="uk-UA"/>
              </w:rPr>
              <w:t>).</w:t>
            </w:r>
          </w:p>
          <w:p w:rsidR="00D3107B" w:rsidRPr="00696022" w:rsidRDefault="00D3107B" w:rsidP="002E0CCE">
            <w:pPr>
              <w:jc w:val="both"/>
              <w:rPr>
                <w:rFonts w:ascii="Times New Roman" w:hAnsi="Times New Roman" w:cs="Times New Roman"/>
                <w:sz w:val="20"/>
                <w:szCs w:val="20"/>
                <w:lang w:val="uk-UA"/>
              </w:rPr>
            </w:pPr>
          </w:p>
        </w:tc>
        <w:tc>
          <w:tcPr>
            <w:tcW w:w="2694" w:type="dxa"/>
          </w:tcPr>
          <w:p w:rsidR="007267AE"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Рішення Господарського суду м. Києва по справі № 910/887/17 від 21.03.2017 р.; Постанова Київського апеляційного господарського суду по тій же справі від 11.07.2017 р.; Постанова ВГСУ по тій же справі від 12.12.2017 р.</w:t>
            </w:r>
          </w:p>
          <w:p w:rsidR="007267AE"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t>Справа знаходиться на оскарженні в Верховному суді України – ухвала по справі від 12.01.2018 р.</w:t>
            </w:r>
          </w:p>
          <w:p w:rsidR="00D3107B" w:rsidRPr="00696022" w:rsidRDefault="00D3107B" w:rsidP="002E0CCE">
            <w:pPr>
              <w:jc w:val="both"/>
              <w:rPr>
                <w:rFonts w:ascii="Times New Roman" w:hAnsi="Times New Roman" w:cs="Times New Roman"/>
                <w:sz w:val="20"/>
                <w:szCs w:val="20"/>
                <w:lang w:val="uk-UA"/>
              </w:rPr>
            </w:pPr>
          </w:p>
        </w:tc>
        <w:tc>
          <w:tcPr>
            <w:tcW w:w="3827" w:type="dxa"/>
          </w:tcPr>
          <w:p w:rsidR="007267AE" w:rsidRPr="007267AE" w:rsidRDefault="007267AE" w:rsidP="007267A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t>Господарські суди допустили неповне з’ясування обставин, які мають значення для справи; проігнорували: недоведення обставин, які мають значення для справи і які визнано встановленими; невідповідність висновків, викладених у рішенні, обставинам справи; неправильно застосували норми матеріального чи процесуального права.</w:t>
            </w:r>
          </w:p>
          <w:p w:rsidR="007267AE" w:rsidRPr="007267AE" w:rsidRDefault="007267AE" w:rsidP="007267A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t xml:space="preserve">Судами проігноровано Постанову Пленуму Вищого господарського суду України від 26.12.2011 р. № 15 «Про деякі питання практики застосування конкурентного законодавства» - суд має з'ясовувати, чи зазначено в рішенні органу АМКУ докази обмеження конкуренції внаслідок дій суб'єкта господарювання на визначеному відповідним органом ринку протягом </w:t>
            </w:r>
            <w:r w:rsidRPr="007267AE">
              <w:rPr>
                <w:rFonts w:ascii="Times New Roman" w:hAnsi="Times New Roman" w:cs="Times New Roman"/>
                <w:sz w:val="20"/>
                <w:szCs w:val="20"/>
                <w:lang w:val="uk-UA"/>
              </w:rPr>
              <w:lastRenderedPageBreak/>
              <w:t xml:space="preserve">певного періоду часу, чи досліджено в такому рішенні динаміку цін, обставини і мотиви їх підвищення або зниження, обґрунтованість зміни цін, співвідношення дій (бездіяльності) суб'єкта господарювання з поведінкою інших учасників товарного ринку, в тому числі й тих, що не притягалися до відповідальності за порушення законодавства про захист економічної конкуренції тощо. </w:t>
            </w:r>
          </w:p>
          <w:p w:rsidR="00D3107B" w:rsidRPr="00696022" w:rsidRDefault="007267AE" w:rsidP="007267A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t>Наявність антиконкурентних узгоджених дій між суб’єктами господарювання може бути встановлено лише на підставі аналізу АМКУ ситуації на ринку, для повного та всебічного розгляду справи господарський суд зобов’язаний дати оцінку обґрунтованості такого аналізу АМКУ.</w:t>
            </w:r>
          </w:p>
        </w:tc>
      </w:tr>
      <w:tr w:rsidR="00D3107B" w:rsidRPr="007267AE" w:rsidTr="00587C43">
        <w:tc>
          <w:tcPr>
            <w:tcW w:w="562" w:type="dxa"/>
          </w:tcPr>
          <w:p w:rsidR="00D3107B" w:rsidRPr="00696022" w:rsidRDefault="00D3107B" w:rsidP="002E0CCE">
            <w:pPr>
              <w:jc w:val="center"/>
              <w:rPr>
                <w:rFonts w:ascii="Times New Roman" w:hAnsi="Times New Roman" w:cs="Times New Roman"/>
                <w:b/>
                <w:sz w:val="20"/>
                <w:szCs w:val="20"/>
                <w:lang w:val="uk-UA"/>
              </w:rPr>
            </w:pPr>
            <w:r w:rsidRPr="00696022">
              <w:rPr>
                <w:rFonts w:ascii="Times New Roman" w:hAnsi="Times New Roman" w:cs="Times New Roman"/>
                <w:b/>
                <w:sz w:val="20"/>
                <w:szCs w:val="20"/>
                <w:lang w:val="uk-UA"/>
              </w:rPr>
              <w:lastRenderedPageBreak/>
              <w:t>7</w:t>
            </w:r>
          </w:p>
        </w:tc>
        <w:tc>
          <w:tcPr>
            <w:tcW w:w="2416" w:type="dxa"/>
          </w:tcPr>
          <w:p w:rsidR="00D3107B" w:rsidRPr="00696022" w:rsidRDefault="007267AE"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Господарське судочинство</w:t>
            </w:r>
          </w:p>
        </w:tc>
        <w:tc>
          <w:tcPr>
            <w:tcW w:w="2268" w:type="dxa"/>
          </w:tcPr>
          <w:p w:rsidR="00D3107B" w:rsidRPr="00696022" w:rsidRDefault="007267AE"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Спори щодо витребування майна (зокрема, земельних ділянок) за позовами прокуратури</w:t>
            </w:r>
          </w:p>
        </w:tc>
        <w:tc>
          <w:tcPr>
            <w:tcW w:w="3543" w:type="dxa"/>
          </w:tcPr>
          <w:p w:rsidR="007267AE"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t>Верховний Суд України висловив наступну спірну позицію:</w:t>
            </w:r>
          </w:p>
          <w:p w:rsidR="007267AE" w:rsidRDefault="007267AE" w:rsidP="007267AE">
            <w:pPr>
              <w:jc w:val="both"/>
              <w:rPr>
                <w:rFonts w:ascii="Times New Roman" w:hAnsi="Times New Roman" w:cs="Times New Roman"/>
                <w:sz w:val="20"/>
                <w:szCs w:val="20"/>
                <w:lang w:val="uk-UA"/>
              </w:rPr>
            </w:pPr>
          </w:p>
          <w:p w:rsidR="007267AE"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t>"Правовідносини, пов'язані з вибуттям земель з державної чи комунальної власності, становлять "суспільний", "публічний" інтерес, а незаконність (якщо така буде встановлена) рішення органу виконавчої влади або органу місцевого самоврядування, на підставі якого земельна ділянка вибула з державної чи комунальної власності, такому суспільному інтересу не відповідає. […] Відповідно до ст. 1 Першого протоколу не відбувається порушення принципу "пропорційності", оскільки зміст "суспільного", "публічного" інтересу у вимогах прокурора, не дають підстав для висновку про порушення принципу "пропорційності".</w:t>
            </w:r>
          </w:p>
          <w:p w:rsidR="007267AE" w:rsidRDefault="007267AE" w:rsidP="007267AE">
            <w:pPr>
              <w:jc w:val="both"/>
              <w:rPr>
                <w:rFonts w:ascii="Times New Roman" w:hAnsi="Times New Roman" w:cs="Times New Roman"/>
                <w:sz w:val="20"/>
                <w:szCs w:val="20"/>
                <w:lang w:val="uk-UA"/>
              </w:rPr>
            </w:pPr>
          </w:p>
          <w:p w:rsidR="00D3107B" w:rsidRPr="00696022" w:rsidRDefault="007267AE"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Також на думку Я.М. Романюка (що </w:t>
            </w:r>
            <w:r>
              <w:rPr>
                <w:rFonts w:ascii="Times New Roman" w:hAnsi="Times New Roman" w:cs="Times New Roman"/>
                <w:sz w:val="20"/>
                <w:szCs w:val="20"/>
                <w:lang w:val="uk-UA"/>
              </w:rPr>
              <w:lastRenderedPageBreak/>
              <w:t>активно використовувалась у рішеннях ВСУ)</w:t>
            </w:r>
            <w:r>
              <w:rPr>
                <w:rStyle w:val="FootnoteReference"/>
                <w:rFonts w:ascii="Times New Roman" w:hAnsi="Times New Roman" w:cs="Times New Roman"/>
                <w:sz w:val="20"/>
                <w:szCs w:val="20"/>
                <w:lang w:val="uk-UA"/>
              </w:rPr>
              <w:footnoteReference w:id="1"/>
            </w:r>
            <w:r>
              <w:rPr>
                <w:rFonts w:ascii="Times New Roman" w:hAnsi="Times New Roman" w:cs="Times New Roman"/>
                <w:sz w:val="20"/>
                <w:szCs w:val="20"/>
                <w:lang w:val="uk-UA"/>
              </w:rPr>
              <w:t xml:space="preserve">, "юридична чинність державного акта на право власності на земельну ділянку, як і свідоцтва про право власності на земельну ділянку, </w:t>
            </w:r>
            <w:r>
              <w:rPr>
                <w:rFonts w:ascii="Times New Roman" w:hAnsi="Times New Roman" w:cs="Times New Roman"/>
                <w:sz w:val="20"/>
                <w:szCs w:val="20"/>
                <w:u w:val="single"/>
                <w:lang w:val="uk-UA"/>
              </w:rPr>
              <w:t>не може вважатися безумовною</w:t>
            </w:r>
            <w:r>
              <w:rPr>
                <w:rFonts w:ascii="Times New Roman" w:hAnsi="Times New Roman" w:cs="Times New Roman"/>
                <w:sz w:val="20"/>
                <w:szCs w:val="20"/>
                <w:lang w:val="uk-UA"/>
              </w:rPr>
              <w:t>, оскільки залежить від законності прийнятого органом виконавчої влади або органом місцевого самоврядування рішення про передачу земельної ділянки у приватну власність особі".</w:t>
            </w:r>
          </w:p>
        </w:tc>
        <w:tc>
          <w:tcPr>
            <w:tcW w:w="2694" w:type="dxa"/>
          </w:tcPr>
          <w:p w:rsidR="00D3107B" w:rsidRPr="00696022" w:rsidRDefault="007267AE" w:rsidP="002E0CC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lastRenderedPageBreak/>
              <w:t>Постанови Верховного Суду України: від 16.12.2015 № 6-2510цс15 , від 29.06.2016 № 6-1376цс16  та інші.</w:t>
            </w:r>
          </w:p>
        </w:tc>
        <w:tc>
          <w:tcPr>
            <w:tcW w:w="3827" w:type="dxa"/>
          </w:tcPr>
          <w:p w:rsidR="007267AE" w:rsidRPr="007267AE" w:rsidRDefault="007267AE" w:rsidP="007267A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t xml:space="preserve">Вирішуючи про витребування майна суди загалом правильно посилаються на необхідність застосування критеріїв ст. 1 Протоколу 1 Конвенції про захист прав людини та основоположних свобод (далі – "Конвенція"), у т.ч. чи є втручання (в право на мирне володіння майном) законним, чи переслідує воно "суспільний", "публічний" інтерес, чи є такий захід пропорційним визначеним цілям. Проте, часто застосовують їх так, нібито, наявність "суспільного" інтересу автоматично означає і пропорційність втручання у вигляді витребування майна, безвідносно до добросовісності набувача, тривалості володіння, оплатності придбання, належної реєстрації майна та прав на нього (у т.ч. у Державному реєстрі речових прав на нерухоме майно та у Державному земельному кадастрі), відсутності на момент придбання будь-якої офіційної інформації про допущене у далекому минулому порушення. </w:t>
            </w:r>
            <w:r w:rsidRPr="007267AE">
              <w:rPr>
                <w:rFonts w:ascii="Times New Roman" w:hAnsi="Times New Roman" w:cs="Times New Roman"/>
                <w:sz w:val="20"/>
                <w:szCs w:val="20"/>
                <w:lang w:val="uk-UA"/>
              </w:rPr>
              <w:lastRenderedPageBreak/>
              <w:t>Наведена правова позиція має бути переглянута з урахуванням принципу "пропорційності".</w:t>
            </w:r>
          </w:p>
          <w:p w:rsidR="007267AE" w:rsidRPr="007267AE" w:rsidRDefault="007267AE" w:rsidP="007267AE">
            <w:pPr>
              <w:jc w:val="both"/>
              <w:rPr>
                <w:rFonts w:ascii="Times New Roman" w:hAnsi="Times New Roman" w:cs="Times New Roman"/>
                <w:sz w:val="20"/>
                <w:szCs w:val="20"/>
                <w:lang w:val="uk-UA"/>
              </w:rPr>
            </w:pPr>
          </w:p>
          <w:p w:rsidR="007267AE" w:rsidRPr="007267AE" w:rsidRDefault="007267AE" w:rsidP="007267A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t>Підкреслимо, що основною причиною зниження інвестицій та "втечі" капіталу з України є незахищеність та відсутність гарантій права власності. Саме ефективна судова система є головним інститутом захисту права власності. Натомість держава (в особі органів прокуратури) залишає безкарними дії своїх представників, що не дотримались власних процедур (як при видачі рішень щодо розпорядження земельними ділянками, так і при подальших реєстраціях земельних ділянок і прав на них) та покладає весь тягар на особу, що покладалась на повноту достовірність відомостей Державного реєстру речових прав на нерухоме майно та Державного земельного кадастру (в обох випадках реєстрація проводиться з перевіркою законності заявлених прав) та не мала можливості (на відміну від органів держави!) отримати повну інформацію про весь ланцюжок попередніх власників та про порушення, яке сталось у минулому.</w:t>
            </w:r>
          </w:p>
          <w:p w:rsidR="007267AE" w:rsidRPr="007267AE" w:rsidRDefault="007267AE" w:rsidP="007267AE">
            <w:pPr>
              <w:jc w:val="both"/>
              <w:rPr>
                <w:rFonts w:ascii="Times New Roman" w:hAnsi="Times New Roman" w:cs="Times New Roman"/>
                <w:sz w:val="20"/>
                <w:szCs w:val="20"/>
                <w:lang w:val="uk-UA"/>
              </w:rPr>
            </w:pPr>
          </w:p>
          <w:p w:rsidR="007267AE" w:rsidRPr="007267AE" w:rsidRDefault="007267AE" w:rsidP="007267A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t>Цим порушується практика ЄСПЛ, згідно якої "ризик будь-якої помилки державного органу має покладатися на саму державу, а помилки не можуть виправлятися за рахунок осіб, яких вони стосуються" (п. 71 рішення у справі "Рисовський проти України").</w:t>
            </w:r>
          </w:p>
          <w:p w:rsidR="00D3107B" w:rsidRPr="00696022" w:rsidRDefault="00D3107B" w:rsidP="002E0CCE">
            <w:pPr>
              <w:jc w:val="both"/>
              <w:rPr>
                <w:rFonts w:ascii="Times New Roman" w:hAnsi="Times New Roman" w:cs="Times New Roman"/>
                <w:sz w:val="20"/>
                <w:szCs w:val="20"/>
                <w:lang w:val="uk-UA"/>
              </w:rPr>
            </w:pPr>
          </w:p>
        </w:tc>
      </w:tr>
      <w:tr w:rsidR="00D3107B" w:rsidRPr="007267AE" w:rsidTr="00587C43">
        <w:tc>
          <w:tcPr>
            <w:tcW w:w="562" w:type="dxa"/>
          </w:tcPr>
          <w:p w:rsidR="00D3107B" w:rsidRPr="007267AE" w:rsidRDefault="007267AE" w:rsidP="002E0CCE">
            <w:pPr>
              <w:jc w:val="center"/>
              <w:rPr>
                <w:rFonts w:ascii="Times New Roman" w:hAnsi="Times New Roman" w:cs="Times New Roman"/>
                <w:b/>
                <w:sz w:val="20"/>
                <w:szCs w:val="20"/>
              </w:rPr>
            </w:pPr>
            <w:r>
              <w:rPr>
                <w:rFonts w:ascii="Times New Roman" w:hAnsi="Times New Roman" w:cs="Times New Roman"/>
                <w:b/>
                <w:sz w:val="20"/>
                <w:szCs w:val="20"/>
              </w:rPr>
              <w:t>8</w:t>
            </w:r>
          </w:p>
        </w:tc>
        <w:tc>
          <w:tcPr>
            <w:tcW w:w="2416" w:type="dxa"/>
          </w:tcPr>
          <w:p w:rsidR="00D3107B" w:rsidRPr="00696022" w:rsidRDefault="007267AE" w:rsidP="002E0CC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t>Господарське судочинство</w:t>
            </w:r>
          </w:p>
        </w:tc>
        <w:tc>
          <w:tcPr>
            <w:tcW w:w="2268" w:type="dxa"/>
          </w:tcPr>
          <w:p w:rsidR="00D3107B" w:rsidRPr="00696022" w:rsidRDefault="007267AE" w:rsidP="002E0CC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t xml:space="preserve">Строк позовної давності у спорах щодо витребування майна (зокрема, земельних ділянок) за позовами </w:t>
            </w:r>
            <w:r w:rsidRPr="007267AE">
              <w:rPr>
                <w:rFonts w:ascii="Times New Roman" w:hAnsi="Times New Roman" w:cs="Times New Roman"/>
                <w:sz w:val="20"/>
                <w:szCs w:val="20"/>
                <w:lang w:val="uk-UA"/>
              </w:rPr>
              <w:lastRenderedPageBreak/>
              <w:t>прокуратури</w:t>
            </w:r>
          </w:p>
        </w:tc>
        <w:tc>
          <w:tcPr>
            <w:tcW w:w="3543" w:type="dxa"/>
          </w:tcPr>
          <w:p w:rsidR="007267AE"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Верховний Суд України висловив наступну спірну позицію:</w:t>
            </w:r>
          </w:p>
          <w:p w:rsidR="007267AE" w:rsidRDefault="007267AE" w:rsidP="007267AE">
            <w:pPr>
              <w:jc w:val="both"/>
              <w:rPr>
                <w:rFonts w:ascii="Times New Roman" w:hAnsi="Times New Roman" w:cs="Times New Roman"/>
                <w:sz w:val="20"/>
                <w:szCs w:val="20"/>
                <w:lang w:val="uk-UA"/>
              </w:rPr>
            </w:pPr>
          </w:p>
          <w:p w:rsidR="007267AE"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"Відтак, територіальна громада як власник об’єктів права комунальної </w:t>
            </w:r>
            <w:r>
              <w:rPr>
                <w:rFonts w:ascii="Times New Roman" w:hAnsi="Times New Roman" w:cs="Times New Roman"/>
                <w:sz w:val="20"/>
                <w:szCs w:val="20"/>
                <w:lang w:val="uk-UA"/>
              </w:rPr>
              <w:lastRenderedPageBreak/>
              <w:t>власності делегує відповідній раді повноваження щодо здійснення права власності від її (громади) імені, в її інтересах, виключно у спосіб та у межах повноважень, передбачених законом. Так, аналіз наведених норм дає підстави для висновку, що воля територіальної громади як власника може виражатися лише в таких діях органу місцевого самоврядування, які відповідають вимогам законодавства та інтересам територіальної громади."</w:t>
            </w:r>
          </w:p>
          <w:p w:rsidR="007267AE" w:rsidRDefault="007267AE" w:rsidP="007267AE">
            <w:pPr>
              <w:jc w:val="both"/>
              <w:rPr>
                <w:rFonts w:ascii="Times New Roman" w:hAnsi="Times New Roman" w:cs="Times New Roman"/>
                <w:sz w:val="20"/>
                <w:szCs w:val="20"/>
                <w:lang w:val="uk-UA"/>
              </w:rPr>
            </w:pPr>
          </w:p>
          <w:p w:rsidR="007267AE"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t>Аналогічні позиції і при вилученні майна з державної власності.</w:t>
            </w:r>
          </w:p>
          <w:p w:rsidR="007267AE" w:rsidRDefault="007267AE" w:rsidP="007267AE">
            <w:pPr>
              <w:jc w:val="both"/>
              <w:rPr>
                <w:rFonts w:ascii="Times New Roman" w:hAnsi="Times New Roman" w:cs="Times New Roman"/>
                <w:sz w:val="20"/>
                <w:szCs w:val="20"/>
                <w:lang w:val="uk-UA"/>
              </w:rPr>
            </w:pPr>
          </w:p>
          <w:p w:rsidR="00D3107B" w:rsidRPr="00696022" w:rsidRDefault="007267A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t>При цьому суди виходять з того, що положення законодавства про позовну давність до заявлених позовних вимог про витребування майна у порядку статті 388 ЦК не застосовуються.</w:t>
            </w:r>
          </w:p>
        </w:tc>
        <w:tc>
          <w:tcPr>
            <w:tcW w:w="2694" w:type="dxa"/>
          </w:tcPr>
          <w:p w:rsidR="007267AE" w:rsidRPr="007267AE" w:rsidRDefault="007267AE" w:rsidP="007267AE">
            <w:pPr>
              <w:jc w:val="both"/>
              <w:rPr>
                <w:rFonts w:ascii="Times New Roman" w:hAnsi="Times New Roman" w:cs="Times New Roman"/>
                <w:sz w:val="20"/>
                <w:szCs w:val="20"/>
                <w:lang w:val="uk-UA"/>
              </w:rPr>
            </w:pPr>
            <w:r w:rsidRPr="007267AE">
              <w:rPr>
                <w:rFonts w:ascii="Times New Roman" w:hAnsi="Times New Roman" w:cs="Times New Roman"/>
                <w:sz w:val="20"/>
                <w:szCs w:val="20"/>
                <w:lang w:val="uk-UA"/>
              </w:rPr>
              <w:lastRenderedPageBreak/>
              <w:t>Постанови Верховного Суду України: від 25.01.2017 у справі 916/2131/15 (3-1533гс16-1), від 05.10.2016 у справі №916/2129/15 (3-</w:t>
            </w:r>
            <w:r w:rsidRPr="007267AE">
              <w:rPr>
                <w:rFonts w:ascii="Times New Roman" w:hAnsi="Times New Roman" w:cs="Times New Roman"/>
                <w:sz w:val="20"/>
                <w:szCs w:val="20"/>
                <w:lang w:val="uk-UA"/>
              </w:rPr>
              <w:lastRenderedPageBreak/>
              <w:t xml:space="preserve">604гс16) , від 02.11.2016 у справі №6-2161цс16, а також п. 3 Інформаційного листа ВГСУ від 05.10.2017 №01-06/1478/17 </w:t>
            </w:r>
          </w:p>
          <w:p w:rsidR="007267AE" w:rsidRPr="007267AE" w:rsidRDefault="007267AE" w:rsidP="007267AE">
            <w:pPr>
              <w:jc w:val="both"/>
              <w:rPr>
                <w:rFonts w:ascii="Times New Roman" w:hAnsi="Times New Roman" w:cs="Times New Roman"/>
                <w:sz w:val="20"/>
                <w:szCs w:val="20"/>
                <w:lang w:val="uk-UA"/>
              </w:rPr>
            </w:pPr>
          </w:p>
          <w:p w:rsidR="00D3107B" w:rsidRPr="00696022" w:rsidRDefault="00D3107B" w:rsidP="002E0CCE">
            <w:pPr>
              <w:jc w:val="both"/>
              <w:rPr>
                <w:rFonts w:ascii="Times New Roman" w:hAnsi="Times New Roman" w:cs="Times New Roman"/>
                <w:sz w:val="20"/>
                <w:szCs w:val="20"/>
                <w:lang w:val="uk-UA"/>
              </w:rPr>
            </w:pPr>
          </w:p>
        </w:tc>
        <w:tc>
          <w:tcPr>
            <w:tcW w:w="3827" w:type="dxa"/>
          </w:tcPr>
          <w:p w:rsidR="00AB57FE" w:rsidRPr="00AB57FE" w:rsidRDefault="00AB57FE" w:rsidP="00AB57FE">
            <w:pPr>
              <w:rPr>
                <w:rFonts w:ascii="Times New Roman" w:hAnsi="Times New Roman" w:cs="Times New Roman"/>
                <w:sz w:val="20"/>
                <w:szCs w:val="20"/>
                <w:lang w:val="uk-UA"/>
              </w:rPr>
            </w:pPr>
            <w:r w:rsidRPr="00AB57FE">
              <w:rPr>
                <w:rFonts w:ascii="Times New Roman" w:hAnsi="Times New Roman" w:cs="Times New Roman"/>
                <w:sz w:val="20"/>
                <w:szCs w:val="20"/>
                <w:lang w:val="uk-UA"/>
              </w:rPr>
              <w:lastRenderedPageBreak/>
              <w:t xml:space="preserve">На підставі зазначеної спірної позиції про "відсутність волі власника" (всупереч тому, що право власності офіційно багаторазово реєструвалось і підтверджувалось органами держави), </w:t>
            </w:r>
            <w:r w:rsidRPr="00AB57FE">
              <w:rPr>
                <w:rFonts w:ascii="Times New Roman" w:hAnsi="Times New Roman" w:cs="Times New Roman"/>
                <w:sz w:val="20"/>
                <w:szCs w:val="20"/>
                <w:lang w:val="uk-UA"/>
              </w:rPr>
              <w:lastRenderedPageBreak/>
              <w:t>суди доходять до висновку про можливість витребування майна у добросовісного набувача, незважаючи на пропущення строку позовної давності. Це ще більше поглиблює є незахищеність та відсутність гарантій права власності.</w:t>
            </w:r>
          </w:p>
          <w:p w:rsidR="00D3107B" w:rsidRPr="00696022" w:rsidRDefault="00D3107B" w:rsidP="002E0CCE">
            <w:pPr>
              <w:jc w:val="both"/>
              <w:rPr>
                <w:rFonts w:ascii="Times New Roman" w:hAnsi="Times New Roman" w:cs="Times New Roman"/>
                <w:sz w:val="20"/>
                <w:szCs w:val="20"/>
                <w:lang w:val="uk-UA"/>
              </w:rPr>
            </w:pPr>
          </w:p>
        </w:tc>
      </w:tr>
      <w:tr w:rsidR="00AB57FE" w:rsidRPr="00AB57FE" w:rsidTr="00587C43">
        <w:tc>
          <w:tcPr>
            <w:tcW w:w="562" w:type="dxa"/>
          </w:tcPr>
          <w:p w:rsidR="00AB57FE" w:rsidRDefault="00AB57FE" w:rsidP="002E0CCE">
            <w:pPr>
              <w:jc w:val="center"/>
              <w:rPr>
                <w:rFonts w:ascii="Times New Roman" w:hAnsi="Times New Roman" w:cs="Times New Roman"/>
                <w:b/>
                <w:sz w:val="20"/>
                <w:szCs w:val="20"/>
              </w:rPr>
            </w:pPr>
            <w:r>
              <w:rPr>
                <w:rFonts w:ascii="Times New Roman" w:hAnsi="Times New Roman" w:cs="Times New Roman"/>
                <w:b/>
                <w:sz w:val="20"/>
                <w:szCs w:val="20"/>
              </w:rPr>
              <w:t>9</w:t>
            </w:r>
          </w:p>
        </w:tc>
        <w:tc>
          <w:tcPr>
            <w:tcW w:w="2416" w:type="dxa"/>
          </w:tcPr>
          <w:p w:rsidR="00AB57FE" w:rsidRPr="007267AE" w:rsidRDefault="00AB57FE" w:rsidP="002E0CCE">
            <w:pPr>
              <w:jc w:val="both"/>
              <w:rPr>
                <w:rFonts w:ascii="Times New Roman" w:hAnsi="Times New Roman" w:cs="Times New Roman"/>
                <w:sz w:val="20"/>
                <w:szCs w:val="20"/>
                <w:lang w:val="uk-UA"/>
              </w:rPr>
            </w:pPr>
            <w:r w:rsidRPr="00AB57FE">
              <w:rPr>
                <w:rFonts w:ascii="Times New Roman" w:hAnsi="Times New Roman" w:cs="Times New Roman"/>
                <w:sz w:val="20"/>
                <w:szCs w:val="20"/>
                <w:lang w:val="uk-UA"/>
              </w:rPr>
              <w:t>Господарське судочинство</w:t>
            </w:r>
          </w:p>
        </w:tc>
        <w:tc>
          <w:tcPr>
            <w:tcW w:w="2268" w:type="dxa"/>
          </w:tcPr>
          <w:p w:rsidR="00AB57FE" w:rsidRPr="007267AE" w:rsidRDefault="00AB57FE" w:rsidP="002E0CCE">
            <w:pPr>
              <w:jc w:val="both"/>
              <w:rPr>
                <w:rFonts w:ascii="Times New Roman" w:hAnsi="Times New Roman" w:cs="Times New Roman"/>
                <w:sz w:val="20"/>
                <w:szCs w:val="20"/>
                <w:lang w:val="uk-UA"/>
              </w:rPr>
            </w:pPr>
            <w:r w:rsidRPr="00AB57FE">
              <w:rPr>
                <w:rFonts w:ascii="Times New Roman" w:hAnsi="Times New Roman" w:cs="Times New Roman"/>
                <w:sz w:val="20"/>
                <w:szCs w:val="20"/>
                <w:lang w:val="uk-UA"/>
              </w:rPr>
              <w:t>Строк позовної давності у спорах щодо витребування майна (зокрема, земельних ділянок) за позовами прокуратури</w:t>
            </w:r>
          </w:p>
        </w:tc>
        <w:tc>
          <w:tcPr>
            <w:tcW w:w="3543" w:type="dxa"/>
          </w:tcPr>
          <w:p w:rsidR="00AB57FE" w:rsidRDefault="00AB57FE" w:rsidP="007267AE">
            <w:pPr>
              <w:jc w:val="both"/>
              <w:rPr>
                <w:rFonts w:ascii="Times New Roman" w:hAnsi="Times New Roman" w:cs="Times New Roman"/>
                <w:sz w:val="20"/>
                <w:szCs w:val="20"/>
                <w:lang w:val="uk-UA"/>
              </w:rPr>
            </w:pPr>
            <w:r w:rsidRPr="00AB57FE">
              <w:rPr>
                <w:rFonts w:ascii="Times New Roman" w:hAnsi="Times New Roman" w:cs="Times New Roman"/>
                <w:sz w:val="20"/>
                <w:szCs w:val="20"/>
                <w:lang w:val="uk-UA"/>
              </w:rPr>
              <w:t>Мотиви "суспільної необхідності" [чи інші поважні обставини "для захисту порушеного права"] використовуються як підстава для визнання поважними причин пропущення строку позовної давності та незаконне "поновлення позовної давності" (що не передбачено законодавством).</w:t>
            </w:r>
          </w:p>
        </w:tc>
        <w:tc>
          <w:tcPr>
            <w:tcW w:w="2694" w:type="dxa"/>
          </w:tcPr>
          <w:p w:rsidR="00AB57FE" w:rsidRPr="007267AE" w:rsidRDefault="00AB57FE" w:rsidP="007267AE">
            <w:pPr>
              <w:jc w:val="both"/>
              <w:rPr>
                <w:rFonts w:ascii="Times New Roman" w:hAnsi="Times New Roman" w:cs="Times New Roman"/>
                <w:sz w:val="20"/>
                <w:szCs w:val="20"/>
                <w:lang w:val="uk-UA"/>
              </w:rPr>
            </w:pPr>
            <w:r w:rsidRPr="00AB57FE">
              <w:rPr>
                <w:rFonts w:ascii="Times New Roman" w:hAnsi="Times New Roman" w:cs="Times New Roman"/>
                <w:sz w:val="20"/>
                <w:szCs w:val="20"/>
                <w:lang w:val="uk-UA"/>
              </w:rPr>
              <w:t>Постанова ВГСУ від 21.11.2017 у справі №911/926/17</w:t>
            </w:r>
          </w:p>
        </w:tc>
        <w:tc>
          <w:tcPr>
            <w:tcW w:w="3827" w:type="dxa"/>
          </w:tcPr>
          <w:p w:rsidR="00AB57FE" w:rsidRPr="00AB57FE" w:rsidRDefault="00AB57FE" w:rsidP="00AB57FE">
            <w:pPr>
              <w:rPr>
                <w:rFonts w:ascii="Times New Roman" w:hAnsi="Times New Roman" w:cs="Times New Roman"/>
                <w:sz w:val="20"/>
                <w:szCs w:val="20"/>
                <w:lang w:val="uk-UA"/>
              </w:rPr>
            </w:pPr>
            <w:r w:rsidRPr="00AB57FE">
              <w:rPr>
                <w:rFonts w:ascii="Times New Roman" w:hAnsi="Times New Roman" w:cs="Times New Roman"/>
                <w:sz w:val="20"/>
                <w:szCs w:val="20"/>
                <w:lang w:val="uk-UA"/>
              </w:rPr>
              <w:t>Відповідно до ч.ч. 4, 5 ст. 267 Цивільного кодексу України, суд не встановлює наявність чи відсутність поважних причин для захисту порушеного права у випадку подання позову з пропуском строку позовної давності, натомість, суд може визнати поважними причини пропущення позовної давності. "Суспільна необхідність", вочевидь, не могла перешкодити вчасному зверненню з позовом та не може бути [поважною] причиною пропуску позовної давності.</w:t>
            </w:r>
          </w:p>
          <w:p w:rsidR="00AB57FE" w:rsidRPr="00AB57FE" w:rsidRDefault="00AB57FE" w:rsidP="00AB57FE">
            <w:pPr>
              <w:rPr>
                <w:rFonts w:ascii="Times New Roman" w:hAnsi="Times New Roman" w:cs="Times New Roman"/>
                <w:sz w:val="20"/>
                <w:szCs w:val="20"/>
                <w:lang w:val="uk-UA"/>
              </w:rPr>
            </w:pPr>
          </w:p>
          <w:p w:rsidR="00AB57FE" w:rsidRPr="00AB57FE" w:rsidRDefault="00AB57FE" w:rsidP="00AB57FE">
            <w:pPr>
              <w:rPr>
                <w:rFonts w:ascii="Times New Roman" w:hAnsi="Times New Roman" w:cs="Times New Roman"/>
                <w:sz w:val="20"/>
                <w:szCs w:val="20"/>
                <w:lang w:val="uk-UA"/>
              </w:rPr>
            </w:pPr>
            <w:r w:rsidRPr="00AB57FE">
              <w:rPr>
                <w:rFonts w:ascii="Times New Roman" w:hAnsi="Times New Roman" w:cs="Times New Roman"/>
                <w:sz w:val="20"/>
                <w:szCs w:val="20"/>
                <w:lang w:val="uk-UA"/>
              </w:rPr>
              <w:t>Про це обґрунтовано зазначено у Постанові Пленуму ВГСУ "Про деякі питання практики застосування позовної давності у вирішенні господарських спорів" від 29.05.2013, №10:</w:t>
            </w:r>
          </w:p>
          <w:p w:rsidR="00AB57FE" w:rsidRPr="00AB57FE" w:rsidRDefault="00AB57FE" w:rsidP="00AB57FE">
            <w:pPr>
              <w:rPr>
                <w:rFonts w:ascii="Times New Roman" w:hAnsi="Times New Roman" w:cs="Times New Roman"/>
                <w:sz w:val="20"/>
                <w:szCs w:val="20"/>
                <w:lang w:val="uk-UA"/>
              </w:rPr>
            </w:pPr>
            <w:r w:rsidRPr="00AB57FE">
              <w:rPr>
                <w:rFonts w:ascii="Times New Roman" w:hAnsi="Times New Roman" w:cs="Times New Roman"/>
                <w:sz w:val="20"/>
                <w:szCs w:val="20"/>
                <w:lang w:val="uk-UA"/>
              </w:rPr>
              <w:t xml:space="preserve">"Позовна давність не є інститутом процесуального права та не може бути відновлена (поновлена) в разі її спливу, але за приписом частини п'ятої статті 267 ЦК України позивач вправі отримати судовий захист у разі визнання поважними причин пропуску позовної </w:t>
            </w:r>
            <w:r w:rsidRPr="00AB57FE">
              <w:rPr>
                <w:rFonts w:ascii="Times New Roman" w:hAnsi="Times New Roman" w:cs="Times New Roman"/>
                <w:sz w:val="20"/>
                <w:szCs w:val="20"/>
                <w:lang w:val="uk-UA"/>
              </w:rPr>
              <w:lastRenderedPageBreak/>
              <w:t>давності. Питання щодо поважності цих причин, тобто наявності обставин, які з об'єктивних, незалежних від позивача підстав унеможливлювали або істотно утруднювали своєчасне подання позову, вирішується господарським судом у кожному конкретному випадку з урахуванням наявних фактичних даних про такі обставини."</w:t>
            </w:r>
          </w:p>
        </w:tc>
      </w:tr>
      <w:tr w:rsidR="00AB57FE" w:rsidRPr="00AB57FE" w:rsidTr="00587C43">
        <w:tc>
          <w:tcPr>
            <w:tcW w:w="562" w:type="dxa"/>
          </w:tcPr>
          <w:p w:rsidR="00AB57FE" w:rsidRDefault="00AB57FE" w:rsidP="002E0CCE">
            <w:pPr>
              <w:jc w:val="center"/>
              <w:rPr>
                <w:rFonts w:ascii="Times New Roman" w:hAnsi="Times New Roman" w:cs="Times New Roman"/>
                <w:b/>
                <w:sz w:val="20"/>
                <w:szCs w:val="20"/>
              </w:rPr>
            </w:pPr>
            <w:r>
              <w:rPr>
                <w:rFonts w:ascii="Times New Roman" w:hAnsi="Times New Roman" w:cs="Times New Roman"/>
                <w:b/>
                <w:sz w:val="20"/>
                <w:szCs w:val="20"/>
              </w:rPr>
              <w:lastRenderedPageBreak/>
              <w:t>10</w:t>
            </w:r>
          </w:p>
        </w:tc>
        <w:tc>
          <w:tcPr>
            <w:tcW w:w="2416" w:type="dxa"/>
          </w:tcPr>
          <w:p w:rsidR="00AB57FE" w:rsidRPr="00AB57FE" w:rsidRDefault="00AB57FE" w:rsidP="002E0CCE">
            <w:pPr>
              <w:jc w:val="both"/>
              <w:rPr>
                <w:rFonts w:ascii="Times New Roman" w:hAnsi="Times New Roman" w:cs="Times New Roman"/>
                <w:sz w:val="20"/>
                <w:szCs w:val="20"/>
                <w:lang w:val="uk-UA"/>
              </w:rPr>
            </w:pPr>
            <w:r>
              <w:rPr>
                <w:rFonts w:ascii="Times New Roman" w:hAnsi="Times New Roman" w:cs="Times New Roman"/>
                <w:sz w:val="20"/>
                <w:szCs w:val="20"/>
                <w:lang w:val="uk-UA"/>
              </w:rPr>
              <w:t>Господарське судочинство</w:t>
            </w:r>
          </w:p>
        </w:tc>
        <w:tc>
          <w:tcPr>
            <w:tcW w:w="2268" w:type="dxa"/>
          </w:tcPr>
          <w:p w:rsidR="00AB57FE" w:rsidRPr="00AB57FE" w:rsidRDefault="00AB57FE" w:rsidP="002E0CCE">
            <w:pPr>
              <w:jc w:val="both"/>
              <w:rPr>
                <w:rFonts w:ascii="Times New Roman" w:hAnsi="Times New Roman" w:cs="Times New Roman"/>
                <w:sz w:val="20"/>
                <w:szCs w:val="20"/>
                <w:lang w:val="uk-UA"/>
              </w:rPr>
            </w:pPr>
            <w:r w:rsidRPr="00AB57FE">
              <w:rPr>
                <w:rFonts w:ascii="Times New Roman" w:hAnsi="Times New Roman" w:cs="Times New Roman"/>
                <w:sz w:val="20"/>
                <w:szCs w:val="20"/>
                <w:lang w:val="uk-UA"/>
              </w:rPr>
              <w:t>Спори щодо витребування майна за позовами прокуратури</w:t>
            </w:r>
          </w:p>
        </w:tc>
        <w:tc>
          <w:tcPr>
            <w:tcW w:w="3543" w:type="dxa"/>
          </w:tcPr>
          <w:p w:rsidR="00AB57FE" w:rsidRPr="00AB57FE" w:rsidRDefault="00AB57FE" w:rsidP="007267AE">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Всупереч тому, що в абз. 3 ч. 3 ст. 23 ЗУ "Про прокуратуру", що була включена згідно рекомендації Венеціанської комісії (Висновок CDL-AD (2013)025 від 14 жовтня 2013 р.) було прописано, що </w:t>
            </w:r>
            <w:r>
              <w:rPr>
                <w:rFonts w:ascii="Times New Roman" w:hAnsi="Times New Roman" w:cs="Times New Roman"/>
                <w:b/>
                <w:sz w:val="20"/>
                <w:szCs w:val="20"/>
                <w:lang w:val="uk-UA"/>
              </w:rPr>
              <w:t>прокуратура не може виступати представником державних компаній</w:t>
            </w:r>
            <w:r>
              <w:rPr>
                <w:rFonts w:ascii="Times New Roman" w:hAnsi="Times New Roman" w:cs="Times New Roman"/>
                <w:sz w:val="20"/>
                <w:szCs w:val="20"/>
                <w:lang w:val="uk-UA"/>
              </w:rPr>
              <w:t xml:space="preserve">, прокуратура продовжує це робити, посилаючись на невизначеність в українському законодавстві поняття "державна компанія" та її неідентичність поняттю "державне підприємство", а суди продовжують розглядати такі спори, посилаючись на те, що </w:t>
            </w:r>
            <w:r>
              <w:rPr>
                <w:rFonts w:ascii="Times New Roman" w:hAnsi="Times New Roman" w:cs="Times New Roman"/>
                <w:b/>
                <w:sz w:val="20"/>
                <w:szCs w:val="20"/>
                <w:lang w:val="uk-UA"/>
              </w:rPr>
              <w:t>"інтереси держави"</w:t>
            </w:r>
            <w:r>
              <w:rPr>
                <w:rFonts w:ascii="Times New Roman" w:hAnsi="Times New Roman" w:cs="Times New Roman"/>
                <w:sz w:val="20"/>
                <w:szCs w:val="20"/>
                <w:lang w:val="uk-UA"/>
              </w:rPr>
              <w:t xml:space="preserve"> є оціночним поняттям, яке прокурор визначає в кожному випадку самостійно, із посиланнями на законодавство.  </w:t>
            </w:r>
          </w:p>
        </w:tc>
        <w:tc>
          <w:tcPr>
            <w:tcW w:w="2694" w:type="dxa"/>
          </w:tcPr>
          <w:p w:rsidR="00AB57FE" w:rsidRPr="00AB57FE" w:rsidRDefault="00AB57FE" w:rsidP="007267AE">
            <w:pPr>
              <w:jc w:val="both"/>
              <w:rPr>
                <w:rFonts w:ascii="Times New Roman" w:hAnsi="Times New Roman" w:cs="Times New Roman"/>
                <w:sz w:val="20"/>
                <w:szCs w:val="20"/>
                <w:lang w:val="uk-UA"/>
              </w:rPr>
            </w:pPr>
            <w:bookmarkStart w:id="0" w:name="_GoBack"/>
            <w:bookmarkEnd w:id="0"/>
          </w:p>
        </w:tc>
        <w:tc>
          <w:tcPr>
            <w:tcW w:w="3827" w:type="dxa"/>
          </w:tcPr>
          <w:p w:rsidR="00AB57FE" w:rsidRPr="00AB57FE" w:rsidRDefault="00AB57FE" w:rsidP="00AB57FE">
            <w:pPr>
              <w:rPr>
                <w:rFonts w:ascii="Times New Roman" w:hAnsi="Times New Roman" w:cs="Times New Roman"/>
                <w:sz w:val="20"/>
                <w:szCs w:val="20"/>
                <w:lang w:val="uk-UA"/>
              </w:rPr>
            </w:pPr>
          </w:p>
        </w:tc>
      </w:tr>
    </w:tbl>
    <w:p w:rsidR="002E0CCE" w:rsidRDefault="002E0CCE" w:rsidP="002E0CCE">
      <w:pPr>
        <w:jc w:val="both"/>
        <w:rPr>
          <w:rFonts w:ascii="Times New Roman" w:hAnsi="Times New Roman" w:cs="Times New Roman"/>
          <w:sz w:val="20"/>
          <w:szCs w:val="20"/>
          <w:lang w:val="uk-UA"/>
        </w:rPr>
      </w:pPr>
    </w:p>
    <w:p w:rsidR="00460364" w:rsidRDefault="00460364" w:rsidP="002E0CCE">
      <w:pPr>
        <w:jc w:val="both"/>
        <w:rPr>
          <w:rFonts w:ascii="Times New Roman" w:hAnsi="Times New Roman" w:cs="Times New Roman"/>
          <w:sz w:val="20"/>
          <w:szCs w:val="20"/>
          <w:lang w:val="uk-UA"/>
        </w:rPr>
      </w:pPr>
    </w:p>
    <w:sectPr w:rsidR="00460364" w:rsidSect="00D03AD6">
      <w:pgSz w:w="15840" w:h="12240"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CCC" w:rsidRDefault="00053CCC" w:rsidP="00C376CB">
      <w:pPr>
        <w:spacing w:after="0" w:line="240" w:lineRule="auto"/>
      </w:pPr>
      <w:r>
        <w:separator/>
      </w:r>
    </w:p>
  </w:endnote>
  <w:endnote w:type="continuationSeparator" w:id="0">
    <w:p w:rsidR="00053CCC" w:rsidRDefault="00053CCC" w:rsidP="00C3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CCC" w:rsidRDefault="00053CCC" w:rsidP="00C376CB">
      <w:pPr>
        <w:spacing w:after="0" w:line="240" w:lineRule="auto"/>
      </w:pPr>
      <w:r>
        <w:separator/>
      </w:r>
    </w:p>
  </w:footnote>
  <w:footnote w:type="continuationSeparator" w:id="0">
    <w:p w:rsidR="00053CCC" w:rsidRDefault="00053CCC" w:rsidP="00C376CB">
      <w:pPr>
        <w:spacing w:after="0" w:line="240" w:lineRule="auto"/>
      </w:pPr>
      <w:r>
        <w:continuationSeparator/>
      </w:r>
    </w:p>
  </w:footnote>
  <w:footnote w:id="1">
    <w:p w:rsidR="007267AE" w:rsidRDefault="007267AE" w:rsidP="007267AE">
      <w:pPr>
        <w:pStyle w:val="FootnoteText"/>
        <w:rPr>
          <w:rFonts w:ascii="Times New Roman" w:hAnsi="Times New Roman" w:cs="Times New Roman"/>
          <w:sz w:val="16"/>
          <w:szCs w:val="16"/>
          <w:lang w:val="uk-UA"/>
        </w:rPr>
      </w:pPr>
      <w:r>
        <w:rPr>
          <w:rStyle w:val="FootnoteReference"/>
          <w:rFonts w:ascii="Times New Roman" w:hAnsi="Times New Roman" w:cs="Times New Roman"/>
          <w:sz w:val="16"/>
          <w:szCs w:val="16"/>
        </w:rPr>
        <w:footnoteRef/>
      </w:r>
      <w:r>
        <w:rPr>
          <w:rFonts w:ascii="Times New Roman" w:hAnsi="Times New Roman" w:cs="Times New Roman"/>
          <w:sz w:val="16"/>
          <w:szCs w:val="16"/>
          <w:lang w:val="ru-RU"/>
        </w:rPr>
        <w:t xml:space="preserve"> </w:t>
      </w:r>
      <w:r>
        <w:rPr>
          <w:rFonts w:ascii="Times New Roman" w:hAnsi="Times New Roman" w:cs="Times New Roman"/>
          <w:sz w:val="16"/>
          <w:szCs w:val="16"/>
          <w:lang w:val="uk-UA"/>
        </w:rPr>
        <w:t xml:space="preserve">Гарантії захисту права власності на землю: окремі аспекти застосування ст. 1 Першого протоколу до Конвенції про захист прав людини і основоположних свобод / Я. М. Романюк, О. Майстренко Л. // Вісник Верховного Суду України. - 2014. - № 1. - С. 19-35. - Режим доступу: </w:t>
      </w:r>
      <w:hyperlink r:id="rId1" w:history="1">
        <w:r>
          <w:rPr>
            <w:rStyle w:val="Hyperlink"/>
            <w:rFonts w:ascii="Times New Roman" w:hAnsi="Times New Roman" w:cs="Times New Roman"/>
            <w:sz w:val="16"/>
            <w:szCs w:val="16"/>
            <w:lang w:val="uk-UA"/>
          </w:rPr>
          <w:t>http://nbuv.gov.ua/UJRN/vvsu_2014_1_7</w:t>
        </w:r>
      </w:hyperlink>
      <w:r>
        <w:rPr>
          <w:rFonts w:ascii="Times New Roman" w:hAnsi="Times New Roman" w:cs="Times New Roman"/>
          <w:sz w:val="16"/>
          <w:szCs w:val="16"/>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503"/>
    <w:multiLevelType w:val="hybridMultilevel"/>
    <w:tmpl w:val="99F8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5AF2"/>
    <w:multiLevelType w:val="hybridMultilevel"/>
    <w:tmpl w:val="4556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103"/>
    <w:multiLevelType w:val="hybridMultilevel"/>
    <w:tmpl w:val="B0A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4C24"/>
    <w:multiLevelType w:val="hybridMultilevel"/>
    <w:tmpl w:val="D2409898"/>
    <w:lvl w:ilvl="0" w:tplc="92F6697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1793F"/>
    <w:multiLevelType w:val="hybridMultilevel"/>
    <w:tmpl w:val="CEC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81085"/>
    <w:multiLevelType w:val="hybridMultilevel"/>
    <w:tmpl w:val="C78AA8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4F982D4E"/>
    <w:multiLevelType w:val="hybridMultilevel"/>
    <w:tmpl w:val="813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927A7"/>
    <w:multiLevelType w:val="hybridMultilevel"/>
    <w:tmpl w:val="E99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13F7E"/>
    <w:multiLevelType w:val="hybridMultilevel"/>
    <w:tmpl w:val="1B3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5520C"/>
    <w:multiLevelType w:val="hybridMultilevel"/>
    <w:tmpl w:val="9ECA22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A751A66"/>
    <w:multiLevelType w:val="hybridMultilevel"/>
    <w:tmpl w:val="E156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10"/>
  </w:num>
  <w:num w:numId="7">
    <w:abstractNumId w:val="8"/>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49"/>
    <w:rsid w:val="0000090D"/>
    <w:rsid w:val="00002461"/>
    <w:rsid w:val="00004C76"/>
    <w:rsid w:val="00007E20"/>
    <w:rsid w:val="000116BE"/>
    <w:rsid w:val="00012711"/>
    <w:rsid w:val="00016A53"/>
    <w:rsid w:val="00016BC4"/>
    <w:rsid w:val="00030AEE"/>
    <w:rsid w:val="0004011B"/>
    <w:rsid w:val="00042EA2"/>
    <w:rsid w:val="0004372B"/>
    <w:rsid w:val="000506A0"/>
    <w:rsid w:val="00053CCC"/>
    <w:rsid w:val="000615A3"/>
    <w:rsid w:val="0006202D"/>
    <w:rsid w:val="000665AB"/>
    <w:rsid w:val="00071690"/>
    <w:rsid w:val="0009748F"/>
    <w:rsid w:val="000A36E4"/>
    <w:rsid w:val="000A6FE8"/>
    <w:rsid w:val="000A704D"/>
    <w:rsid w:val="000B3429"/>
    <w:rsid w:val="000C7B65"/>
    <w:rsid w:val="000D17FF"/>
    <w:rsid w:val="000E5A9F"/>
    <w:rsid w:val="00101F54"/>
    <w:rsid w:val="001220E1"/>
    <w:rsid w:val="00136F27"/>
    <w:rsid w:val="001371F1"/>
    <w:rsid w:val="00137515"/>
    <w:rsid w:val="00144C69"/>
    <w:rsid w:val="00151EEB"/>
    <w:rsid w:val="00152121"/>
    <w:rsid w:val="00154C3E"/>
    <w:rsid w:val="001605C0"/>
    <w:rsid w:val="00161C05"/>
    <w:rsid w:val="00162A69"/>
    <w:rsid w:val="00173DBF"/>
    <w:rsid w:val="001909A3"/>
    <w:rsid w:val="001915F6"/>
    <w:rsid w:val="00193761"/>
    <w:rsid w:val="001A4D01"/>
    <w:rsid w:val="001A762B"/>
    <w:rsid w:val="001B5C2D"/>
    <w:rsid w:val="001B719A"/>
    <w:rsid w:val="001C44DD"/>
    <w:rsid w:val="001D0407"/>
    <w:rsid w:val="001D5AEF"/>
    <w:rsid w:val="001D7F8A"/>
    <w:rsid w:val="001E61EC"/>
    <w:rsid w:val="001F672B"/>
    <w:rsid w:val="002029BD"/>
    <w:rsid w:val="002103E0"/>
    <w:rsid w:val="00216C04"/>
    <w:rsid w:val="00220E85"/>
    <w:rsid w:val="002269F0"/>
    <w:rsid w:val="00263975"/>
    <w:rsid w:val="00263B06"/>
    <w:rsid w:val="002641E1"/>
    <w:rsid w:val="00267DA9"/>
    <w:rsid w:val="002750E8"/>
    <w:rsid w:val="00281DD0"/>
    <w:rsid w:val="00284060"/>
    <w:rsid w:val="0028574D"/>
    <w:rsid w:val="002D5B8C"/>
    <w:rsid w:val="002D7BBE"/>
    <w:rsid w:val="002E0CCE"/>
    <w:rsid w:val="002E65B4"/>
    <w:rsid w:val="002F3E7D"/>
    <w:rsid w:val="00307AF4"/>
    <w:rsid w:val="003101FD"/>
    <w:rsid w:val="003129ED"/>
    <w:rsid w:val="003152C6"/>
    <w:rsid w:val="00320169"/>
    <w:rsid w:val="003220CD"/>
    <w:rsid w:val="00322992"/>
    <w:rsid w:val="00333765"/>
    <w:rsid w:val="003365CD"/>
    <w:rsid w:val="0034527B"/>
    <w:rsid w:val="00352E41"/>
    <w:rsid w:val="003538DC"/>
    <w:rsid w:val="0035722D"/>
    <w:rsid w:val="003653D1"/>
    <w:rsid w:val="00370C49"/>
    <w:rsid w:val="00371B6D"/>
    <w:rsid w:val="0038702A"/>
    <w:rsid w:val="003902CE"/>
    <w:rsid w:val="003913AA"/>
    <w:rsid w:val="00391775"/>
    <w:rsid w:val="003A3249"/>
    <w:rsid w:val="003A4E81"/>
    <w:rsid w:val="003C4748"/>
    <w:rsid w:val="003C520A"/>
    <w:rsid w:val="003C61AF"/>
    <w:rsid w:val="003C6A1A"/>
    <w:rsid w:val="003D268A"/>
    <w:rsid w:val="003D3AB4"/>
    <w:rsid w:val="003D3EDE"/>
    <w:rsid w:val="003D79B9"/>
    <w:rsid w:val="003E3A8C"/>
    <w:rsid w:val="003F079E"/>
    <w:rsid w:val="003F0FC2"/>
    <w:rsid w:val="003F63D4"/>
    <w:rsid w:val="0040175B"/>
    <w:rsid w:val="00405089"/>
    <w:rsid w:val="00406B29"/>
    <w:rsid w:val="00410166"/>
    <w:rsid w:val="00411AE8"/>
    <w:rsid w:val="0041535F"/>
    <w:rsid w:val="0042411E"/>
    <w:rsid w:val="00424E9F"/>
    <w:rsid w:val="00431883"/>
    <w:rsid w:val="004427A2"/>
    <w:rsid w:val="0044417A"/>
    <w:rsid w:val="00453A34"/>
    <w:rsid w:val="00460364"/>
    <w:rsid w:val="00462DF0"/>
    <w:rsid w:val="004705F4"/>
    <w:rsid w:val="00474007"/>
    <w:rsid w:val="00475A08"/>
    <w:rsid w:val="00475EB1"/>
    <w:rsid w:val="00480251"/>
    <w:rsid w:val="00485395"/>
    <w:rsid w:val="00485DAC"/>
    <w:rsid w:val="00490364"/>
    <w:rsid w:val="00494434"/>
    <w:rsid w:val="00495230"/>
    <w:rsid w:val="004A1E85"/>
    <w:rsid w:val="004C78E6"/>
    <w:rsid w:val="004D086D"/>
    <w:rsid w:val="004D7153"/>
    <w:rsid w:val="004E720A"/>
    <w:rsid w:val="004F034D"/>
    <w:rsid w:val="0051241A"/>
    <w:rsid w:val="00512730"/>
    <w:rsid w:val="00514BA8"/>
    <w:rsid w:val="00524FC2"/>
    <w:rsid w:val="00542609"/>
    <w:rsid w:val="00542754"/>
    <w:rsid w:val="00544CB8"/>
    <w:rsid w:val="005466E0"/>
    <w:rsid w:val="00550342"/>
    <w:rsid w:val="00550F19"/>
    <w:rsid w:val="00555420"/>
    <w:rsid w:val="00556A09"/>
    <w:rsid w:val="00573CC1"/>
    <w:rsid w:val="00575C55"/>
    <w:rsid w:val="00580807"/>
    <w:rsid w:val="00583E64"/>
    <w:rsid w:val="00585DAD"/>
    <w:rsid w:val="00587C43"/>
    <w:rsid w:val="00590200"/>
    <w:rsid w:val="005925CD"/>
    <w:rsid w:val="005A065C"/>
    <w:rsid w:val="005A10DF"/>
    <w:rsid w:val="005B5C2F"/>
    <w:rsid w:val="005C2651"/>
    <w:rsid w:val="005C51E9"/>
    <w:rsid w:val="005E29A4"/>
    <w:rsid w:val="005F695F"/>
    <w:rsid w:val="00623C65"/>
    <w:rsid w:val="006265A3"/>
    <w:rsid w:val="0062679C"/>
    <w:rsid w:val="006337E0"/>
    <w:rsid w:val="006342C1"/>
    <w:rsid w:val="0063507D"/>
    <w:rsid w:val="00640582"/>
    <w:rsid w:val="00642F31"/>
    <w:rsid w:val="006513B2"/>
    <w:rsid w:val="00655147"/>
    <w:rsid w:val="00655525"/>
    <w:rsid w:val="006616E4"/>
    <w:rsid w:val="006807F9"/>
    <w:rsid w:val="00684BB7"/>
    <w:rsid w:val="00693265"/>
    <w:rsid w:val="00696022"/>
    <w:rsid w:val="006B19BB"/>
    <w:rsid w:val="006B1E39"/>
    <w:rsid w:val="006B604C"/>
    <w:rsid w:val="006C1A60"/>
    <w:rsid w:val="006E1067"/>
    <w:rsid w:val="006E4799"/>
    <w:rsid w:val="006E7EED"/>
    <w:rsid w:val="006F6E88"/>
    <w:rsid w:val="007058C1"/>
    <w:rsid w:val="007066E4"/>
    <w:rsid w:val="007076DF"/>
    <w:rsid w:val="00711908"/>
    <w:rsid w:val="00717A9C"/>
    <w:rsid w:val="007267AE"/>
    <w:rsid w:val="00727E22"/>
    <w:rsid w:val="00737723"/>
    <w:rsid w:val="00745593"/>
    <w:rsid w:val="00755EE2"/>
    <w:rsid w:val="00767FEC"/>
    <w:rsid w:val="00770AD4"/>
    <w:rsid w:val="00774A2B"/>
    <w:rsid w:val="0078291A"/>
    <w:rsid w:val="00782BC3"/>
    <w:rsid w:val="007912BC"/>
    <w:rsid w:val="00792FE6"/>
    <w:rsid w:val="007948C8"/>
    <w:rsid w:val="00795C5D"/>
    <w:rsid w:val="007A7BE2"/>
    <w:rsid w:val="007B6379"/>
    <w:rsid w:val="007C1091"/>
    <w:rsid w:val="007C1416"/>
    <w:rsid w:val="007C644C"/>
    <w:rsid w:val="007D53BD"/>
    <w:rsid w:val="007E1CB3"/>
    <w:rsid w:val="007E339E"/>
    <w:rsid w:val="007F458D"/>
    <w:rsid w:val="007F5029"/>
    <w:rsid w:val="00801274"/>
    <w:rsid w:val="00806A25"/>
    <w:rsid w:val="00811D27"/>
    <w:rsid w:val="00826FE8"/>
    <w:rsid w:val="0083179D"/>
    <w:rsid w:val="008351C1"/>
    <w:rsid w:val="00846B4B"/>
    <w:rsid w:val="00846CF2"/>
    <w:rsid w:val="00846FA5"/>
    <w:rsid w:val="00850FFB"/>
    <w:rsid w:val="00865862"/>
    <w:rsid w:val="00865C6E"/>
    <w:rsid w:val="00882C27"/>
    <w:rsid w:val="00897B09"/>
    <w:rsid w:val="008A2140"/>
    <w:rsid w:val="008A5321"/>
    <w:rsid w:val="008A7EEB"/>
    <w:rsid w:val="008B140F"/>
    <w:rsid w:val="008B38D2"/>
    <w:rsid w:val="008D63A3"/>
    <w:rsid w:val="008E19CF"/>
    <w:rsid w:val="008E26D2"/>
    <w:rsid w:val="008E3024"/>
    <w:rsid w:val="008E70D8"/>
    <w:rsid w:val="008F2265"/>
    <w:rsid w:val="00900C9D"/>
    <w:rsid w:val="0090642A"/>
    <w:rsid w:val="00911778"/>
    <w:rsid w:val="00914B24"/>
    <w:rsid w:val="0091606A"/>
    <w:rsid w:val="009162C0"/>
    <w:rsid w:val="0092342C"/>
    <w:rsid w:val="0092586B"/>
    <w:rsid w:val="00935983"/>
    <w:rsid w:val="00944DE1"/>
    <w:rsid w:val="009532BE"/>
    <w:rsid w:val="0095465E"/>
    <w:rsid w:val="009616A8"/>
    <w:rsid w:val="00971D16"/>
    <w:rsid w:val="00973319"/>
    <w:rsid w:val="009804B3"/>
    <w:rsid w:val="00980CE6"/>
    <w:rsid w:val="00991B78"/>
    <w:rsid w:val="009A6862"/>
    <w:rsid w:val="009B219F"/>
    <w:rsid w:val="009B2514"/>
    <w:rsid w:val="009B5E48"/>
    <w:rsid w:val="009C07F7"/>
    <w:rsid w:val="009C39CF"/>
    <w:rsid w:val="009C3F24"/>
    <w:rsid w:val="009C7D3D"/>
    <w:rsid w:val="009D1049"/>
    <w:rsid w:val="009D7E32"/>
    <w:rsid w:val="009E5322"/>
    <w:rsid w:val="009E627B"/>
    <w:rsid w:val="009F04E4"/>
    <w:rsid w:val="00A035A2"/>
    <w:rsid w:val="00A047C1"/>
    <w:rsid w:val="00A07655"/>
    <w:rsid w:val="00A1476A"/>
    <w:rsid w:val="00A261EE"/>
    <w:rsid w:val="00A36A33"/>
    <w:rsid w:val="00A4013E"/>
    <w:rsid w:val="00A47C33"/>
    <w:rsid w:val="00A50051"/>
    <w:rsid w:val="00A52AB0"/>
    <w:rsid w:val="00A70769"/>
    <w:rsid w:val="00A90927"/>
    <w:rsid w:val="00A9672C"/>
    <w:rsid w:val="00AA02F3"/>
    <w:rsid w:val="00AA050E"/>
    <w:rsid w:val="00AA0E1F"/>
    <w:rsid w:val="00AA341C"/>
    <w:rsid w:val="00AB3B4D"/>
    <w:rsid w:val="00AB57FE"/>
    <w:rsid w:val="00AB7498"/>
    <w:rsid w:val="00AC2DC4"/>
    <w:rsid w:val="00AC4DE6"/>
    <w:rsid w:val="00AD14A1"/>
    <w:rsid w:val="00AD179A"/>
    <w:rsid w:val="00AD311D"/>
    <w:rsid w:val="00AD3E34"/>
    <w:rsid w:val="00AD406E"/>
    <w:rsid w:val="00AE6642"/>
    <w:rsid w:val="00AF5421"/>
    <w:rsid w:val="00B02171"/>
    <w:rsid w:val="00B170B9"/>
    <w:rsid w:val="00B172CC"/>
    <w:rsid w:val="00B179C9"/>
    <w:rsid w:val="00B24808"/>
    <w:rsid w:val="00B33C0B"/>
    <w:rsid w:val="00B57DB6"/>
    <w:rsid w:val="00B63F19"/>
    <w:rsid w:val="00B67631"/>
    <w:rsid w:val="00B86578"/>
    <w:rsid w:val="00BA22A6"/>
    <w:rsid w:val="00BA6D4A"/>
    <w:rsid w:val="00BA7B5F"/>
    <w:rsid w:val="00BB4835"/>
    <w:rsid w:val="00BC2C25"/>
    <w:rsid w:val="00BC7972"/>
    <w:rsid w:val="00BD230C"/>
    <w:rsid w:val="00BE042C"/>
    <w:rsid w:val="00BE19D3"/>
    <w:rsid w:val="00BE5EB3"/>
    <w:rsid w:val="00BF1FFE"/>
    <w:rsid w:val="00C118C6"/>
    <w:rsid w:val="00C1412D"/>
    <w:rsid w:val="00C1599F"/>
    <w:rsid w:val="00C16D85"/>
    <w:rsid w:val="00C270FC"/>
    <w:rsid w:val="00C30C0D"/>
    <w:rsid w:val="00C376CB"/>
    <w:rsid w:val="00C63812"/>
    <w:rsid w:val="00C96A00"/>
    <w:rsid w:val="00C973A5"/>
    <w:rsid w:val="00CB381F"/>
    <w:rsid w:val="00CB3B73"/>
    <w:rsid w:val="00CB642F"/>
    <w:rsid w:val="00CC3E1C"/>
    <w:rsid w:val="00CC6052"/>
    <w:rsid w:val="00CD12E1"/>
    <w:rsid w:val="00CD1B12"/>
    <w:rsid w:val="00CD1B89"/>
    <w:rsid w:val="00CE79C0"/>
    <w:rsid w:val="00CF131B"/>
    <w:rsid w:val="00CF15C8"/>
    <w:rsid w:val="00CF2518"/>
    <w:rsid w:val="00CF4D24"/>
    <w:rsid w:val="00CF6095"/>
    <w:rsid w:val="00D03AD6"/>
    <w:rsid w:val="00D051E5"/>
    <w:rsid w:val="00D072F0"/>
    <w:rsid w:val="00D13F70"/>
    <w:rsid w:val="00D1406A"/>
    <w:rsid w:val="00D158A3"/>
    <w:rsid w:val="00D24A9A"/>
    <w:rsid w:val="00D3107B"/>
    <w:rsid w:val="00D31809"/>
    <w:rsid w:val="00D357FA"/>
    <w:rsid w:val="00D4078E"/>
    <w:rsid w:val="00D5267F"/>
    <w:rsid w:val="00D57737"/>
    <w:rsid w:val="00D81EF9"/>
    <w:rsid w:val="00D83EC0"/>
    <w:rsid w:val="00D8763A"/>
    <w:rsid w:val="00D94E9D"/>
    <w:rsid w:val="00D97AE2"/>
    <w:rsid w:val="00DA0933"/>
    <w:rsid w:val="00DA1895"/>
    <w:rsid w:val="00DA63BF"/>
    <w:rsid w:val="00DB6F70"/>
    <w:rsid w:val="00DC0561"/>
    <w:rsid w:val="00DC3010"/>
    <w:rsid w:val="00DD3F05"/>
    <w:rsid w:val="00DD4FEF"/>
    <w:rsid w:val="00DE69F9"/>
    <w:rsid w:val="00DE7879"/>
    <w:rsid w:val="00DF1D1A"/>
    <w:rsid w:val="00DF2001"/>
    <w:rsid w:val="00E0414B"/>
    <w:rsid w:val="00E0446A"/>
    <w:rsid w:val="00E066F5"/>
    <w:rsid w:val="00E066F6"/>
    <w:rsid w:val="00E13C25"/>
    <w:rsid w:val="00E629AF"/>
    <w:rsid w:val="00E706C9"/>
    <w:rsid w:val="00E813F2"/>
    <w:rsid w:val="00E818B6"/>
    <w:rsid w:val="00E81D6F"/>
    <w:rsid w:val="00E82D6A"/>
    <w:rsid w:val="00E83AEB"/>
    <w:rsid w:val="00E85CB0"/>
    <w:rsid w:val="00EA595C"/>
    <w:rsid w:val="00EB1D85"/>
    <w:rsid w:val="00EB447D"/>
    <w:rsid w:val="00ED032E"/>
    <w:rsid w:val="00ED6185"/>
    <w:rsid w:val="00EE1436"/>
    <w:rsid w:val="00EE30B0"/>
    <w:rsid w:val="00EE3699"/>
    <w:rsid w:val="00EE395F"/>
    <w:rsid w:val="00EE4AFF"/>
    <w:rsid w:val="00EE5142"/>
    <w:rsid w:val="00F00E7D"/>
    <w:rsid w:val="00F03361"/>
    <w:rsid w:val="00F120E1"/>
    <w:rsid w:val="00F16845"/>
    <w:rsid w:val="00F24465"/>
    <w:rsid w:val="00F247E9"/>
    <w:rsid w:val="00F4434D"/>
    <w:rsid w:val="00F530E4"/>
    <w:rsid w:val="00F551A2"/>
    <w:rsid w:val="00F6098E"/>
    <w:rsid w:val="00F60A5C"/>
    <w:rsid w:val="00F709DF"/>
    <w:rsid w:val="00F71D23"/>
    <w:rsid w:val="00F770A9"/>
    <w:rsid w:val="00F77D4D"/>
    <w:rsid w:val="00F829C5"/>
    <w:rsid w:val="00F86286"/>
    <w:rsid w:val="00F97476"/>
    <w:rsid w:val="00FB5939"/>
    <w:rsid w:val="00FB7E4B"/>
    <w:rsid w:val="00FC06F6"/>
    <w:rsid w:val="00FD6CCB"/>
    <w:rsid w:val="00FE0727"/>
    <w:rsid w:val="00FE3F27"/>
    <w:rsid w:val="00FE47F4"/>
    <w:rsid w:val="00FF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73953"/>
  <w15:docId w15:val="{44953CE5-5A49-452B-9BA3-EB7324BF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711"/>
    <w:pPr>
      <w:ind w:left="720"/>
      <w:contextualSpacing/>
    </w:pPr>
  </w:style>
  <w:style w:type="paragraph" w:styleId="Header">
    <w:name w:val="header"/>
    <w:basedOn w:val="Normal"/>
    <w:link w:val="HeaderChar"/>
    <w:uiPriority w:val="99"/>
    <w:unhideWhenUsed/>
    <w:rsid w:val="00C376CB"/>
    <w:pPr>
      <w:tabs>
        <w:tab w:val="center" w:pos="4844"/>
        <w:tab w:val="right" w:pos="9689"/>
      </w:tabs>
      <w:spacing w:after="0" w:line="240" w:lineRule="auto"/>
    </w:pPr>
  </w:style>
  <w:style w:type="character" w:customStyle="1" w:styleId="HeaderChar">
    <w:name w:val="Header Char"/>
    <w:basedOn w:val="DefaultParagraphFont"/>
    <w:link w:val="Header"/>
    <w:uiPriority w:val="99"/>
    <w:rsid w:val="00C376CB"/>
  </w:style>
  <w:style w:type="paragraph" w:styleId="Footer">
    <w:name w:val="footer"/>
    <w:basedOn w:val="Normal"/>
    <w:link w:val="FooterChar"/>
    <w:uiPriority w:val="99"/>
    <w:unhideWhenUsed/>
    <w:rsid w:val="00C376CB"/>
    <w:pPr>
      <w:tabs>
        <w:tab w:val="center" w:pos="4844"/>
        <w:tab w:val="right" w:pos="9689"/>
      </w:tabs>
      <w:spacing w:after="0" w:line="240" w:lineRule="auto"/>
    </w:pPr>
  </w:style>
  <w:style w:type="character" w:customStyle="1" w:styleId="FooterChar">
    <w:name w:val="Footer Char"/>
    <w:basedOn w:val="DefaultParagraphFont"/>
    <w:link w:val="Footer"/>
    <w:uiPriority w:val="99"/>
    <w:rsid w:val="00C376CB"/>
  </w:style>
  <w:style w:type="character" w:styleId="Hyperlink">
    <w:name w:val="Hyperlink"/>
    <w:basedOn w:val="DefaultParagraphFont"/>
    <w:uiPriority w:val="99"/>
    <w:unhideWhenUsed/>
    <w:rsid w:val="00BF1FFE"/>
    <w:rPr>
      <w:color w:val="0563C1" w:themeColor="hyperlink"/>
      <w:u w:val="single"/>
    </w:rPr>
  </w:style>
  <w:style w:type="paragraph" w:styleId="NormalWeb">
    <w:name w:val="Normal (Web)"/>
    <w:basedOn w:val="Normal"/>
    <w:uiPriority w:val="99"/>
    <w:semiHidden/>
    <w:unhideWhenUsed/>
    <w:rsid w:val="00460364"/>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basedOn w:val="DefaultParagraphFont"/>
    <w:rsid w:val="00460364"/>
  </w:style>
  <w:style w:type="paragraph" w:styleId="FootnoteText">
    <w:name w:val="footnote text"/>
    <w:basedOn w:val="Normal"/>
    <w:link w:val="FootnoteTextChar"/>
    <w:uiPriority w:val="99"/>
    <w:semiHidden/>
    <w:unhideWhenUsed/>
    <w:rsid w:val="00726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7AE"/>
    <w:rPr>
      <w:sz w:val="20"/>
      <w:szCs w:val="20"/>
    </w:rPr>
  </w:style>
  <w:style w:type="character" w:styleId="FootnoteReference">
    <w:name w:val="footnote reference"/>
    <w:basedOn w:val="DefaultParagraphFont"/>
    <w:uiPriority w:val="99"/>
    <w:semiHidden/>
    <w:unhideWhenUsed/>
    <w:rsid w:val="00726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5280">
      <w:bodyDiv w:val="1"/>
      <w:marLeft w:val="0"/>
      <w:marRight w:val="0"/>
      <w:marTop w:val="0"/>
      <w:marBottom w:val="0"/>
      <w:divBdr>
        <w:top w:val="none" w:sz="0" w:space="0" w:color="auto"/>
        <w:left w:val="none" w:sz="0" w:space="0" w:color="auto"/>
        <w:bottom w:val="none" w:sz="0" w:space="0" w:color="auto"/>
        <w:right w:val="none" w:sz="0" w:space="0" w:color="auto"/>
      </w:divBdr>
    </w:div>
    <w:div w:id="196312333">
      <w:bodyDiv w:val="1"/>
      <w:marLeft w:val="0"/>
      <w:marRight w:val="0"/>
      <w:marTop w:val="0"/>
      <w:marBottom w:val="0"/>
      <w:divBdr>
        <w:top w:val="none" w:sz="0" w:space="0" w:color="auto"/>
        <w:left w:val="none" w:sz="0" w:space="0" w:color="auto"/>
        <w:bottom w:val="none" w:sz="0" w:space="0" w:color="auto"/>
        <w:right w:val="none" w:sz="0" w:space="0" w:color="auto"/>
      </w:divBdr>
    </w:div>
    <w:div w:id="366757176">
      <w:bodyDiv w:val="1"/>
      <w:marLeft w:val="0"/>
      <w:marRight w:val="0"/>
      <w:marTop w:val="0"/>
      <w:marBottom w:val="0"/>
      <w:divBdr>
        <w:top w:val="none" w:sz="0" w:space="0" w:color="auto"/>
        <w:left w:val="none" w:sz="0" w:space="0" w:color="auto"/>
        <w:bottom w:val="none" w:sz="0" w:space="0" w:color="auto"/>
        <w:right w:val="none" w:sz="0" w:space="0" w:color="auto"/>
      </w:divBdr>
    </w:div>
    <w:div w:id="397830151">
      <w:bodyDiv w:val="1"/>
      <w:marLeft w:val="0"/>
      <w:marRight w:val="0"/>
      <w:marTop w:val="0"/>
      <w:marBottom w:val="0"/>
      <w:divBdr>
        <w:top w:val="none" w:sz="0" w:space="0" w:color="auto"/>
        <w:left w:val="none" w:sz="0" w:space="0" w:color="auto"/>
        <w:bottom w:val="none" w:sz="0" w:space="0" w:color="auto"/>
        <w:right w:val="none" w:sz="0" w:space="0" w:color="auto"/>
      </w:divBdr>
    </w:div>
    <w:div w:id="1175681837">
      <w:bodyDiv w:val="1"/>
      <w:marLeft w:val="0"/>
      <w:marRight w:val="0"/>
      <w:marTop w:val="0"/>
      <w:marBottom w:val="0"/>
      <w:divBdr>
        <w:top w:val="none" w:sz="0" w:space="0" w:color="auto"/>
        <w:left w:val="none" w:sz="0" w:space="0" w:color="auto"/>
        <w:bottom w:val="none" w:sz="0" w:space="0" w:color="auto"/>
        <w:right w:val="none" w:sz="0" w:space="0" w:color="auto"/>
      </w:divBdr>
    </w:div>
    <w:div w:id="1274484838">
      <w:bodyDiv w:val="1"/>
      <w:marLeft w:val="0"/>
      <w:marRight w:val="0"/>
      <w:marTop w:val="0"/>
      <w:marBottom w:val="0"/>
      <w:divBdr>
        <w:top w:val="none" w:sz="0" w:space="0" w:color="auto"/>
        <w:left w:val="none" w:sz="0" w:space="0" w:color="auto"/>
        <w:bottom w:val="none" w:sz="0" w:space="0" w:color="auto"/>
        <w:right w:val="none" w:sz="0" w:space="0" w:color="auto"/>
      </w:divBdr>
    </w:div>
    <w:div w:id="1404722982">
      <w:bodyDiv w:val="1"/>
      <w:marLeft w:val="0"/>
      <w:marRight w:val="0"/>
      <w:marTop w:val="0"/>
      <w:marBottom w:val="0"/>
      <w:divBdr>
        <w:top w:val="none" w:sz="0" w:space="0" w:color="auto"/>
        <w:left w:val="none" w:sz="0" w:space="0" w:color="auto"/>
        <w:bottom w:val="none" w:sz="0" w:space="0" w:color="auto"/>
        <w:right w:val="none" w:sz="0" w:space="0" w:color="auto"/>
      </w:divBdr>
    </w:div>
    <w:div w:id="19805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41/ed_2014_10_30/pravo1/T030898.html?pravo=1" TargetMode="External"/><Relationship Id="rId13" Type="http://schemas.openxmlformats.org/officeDocument/2006/relationships/hyperlink" Target="http://search.ligazakon.ua/l_doc2.nsf/link1/an_250/ed_2014_10_30/pravo1/T030898.html?pravo=1" TargetMode="External"/><Relationship Id="rId18" Type="http://schemas.openxmlformats.org/officeDocument/2006/relationships/hyperlink" Target="http://search.ligazakon.ua/l_doc2.nsf/link1/an_273/ed_2014_10_30/pravo1/T030898.html?pravo=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yestr.court.gov.ua/Review/52934367" TargetMode="External"/><Relationship Id="rId7" Type="http://schemas.openxmlformats.org/officeDocument/2006/relationships/endnotes" Target="endnotes.xml"/><Relationship Id="rId12" Type="http://schemas.openxmlformats.org/officeDocument/2006/relationships/hyperlink" Target="http://search.ligazakon.ua/l_doc2.nsf/link1/an_241/ed_2014_10_30/pravo1/T030898.html?pravo=1" TargetMode="External"/><Relationship Id="rId17" Type="http://schemas.openxmlformats.org/officeDocument/2006/relationships/hyperlink" Target="http://search.ligazakon.ua/l_doc2.nsf/link1/an_250/ed_2014_10_30/pravo1/T030898.html?pravo=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yestr.court.gov.ua/Review/53455545" TargetMode="External"/><Relationship Id="rId20" Type="http://schemas.openxmlformats.org/officeDocument/2006/relationships/hyperlink" Target="http://search.ligazakon.ua/l_doc2.nsf/link1/an_241/ed_2014_10_30/pravo1/T030898.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273/ed_2014_10_30/pravo1/T030898.html?pravo=1" TargetMode="External"/><Relationship Id="rId24" Type="http://schemas.openxmlformats.org/officeDocument/2006/relationships/hyperlink" Target="http://search.ligazakon.ua/l_doc2.nsf/link1/an_1990/ed_2015_11_10/pravo1/T041618.html?pravo=1" TargetMode="External"/><Relationship Id="rId5" Type="http://schemas.openxmlformats.org/officeDocument/2006/relationships/webSettings" Target="webSettings.xml"/><Relationship Id="rId15" Type="http://schemas.openxmlformats.org/officeDocument/2006/relationships/hyperlink" Target="http://search.ligazakon.ua/l_doc2.nsf/link1/an_241/ed_2014_10_30/pravo1/T030898.html?pravo=1" TargetMode="External"/><Relationship Id="rId23" Type="http://schemas.openxmlformats.org/officeDocument/2006/relationships/hyperlink" Target="http://search.ligazakon.ua/l_doc2.nsf/link1/an_250/ed_2014_10_30/pravo1/T030898.html?pravo=1" TargetMode="External"/><Relationship Id="rId10" Type="http://schemas.openxmlformats.org/officeDocument/2006/relationships/hyperlink" Target="http://search.ligazakon.ua/l_doc2.nsf/link1/an_250/ed_2014_10_30/pravo1/T030898.html?pravo=1" TargetMode="External"/><Relationship Id="rId19" Type="http://schemas.openxmlformats.org/officeDocument/2006/relationships/hyperlink" Target="http://search.ligazakon.ua/l_doc2.nsf/link1/an_250/ed_2014_10_30/pravo1/T030898.html?pravo=1" TargetMode="External"/><Relationship Id="rId4" Type="http://schemas.openxmlformats.org/officeDocument/2006/relationships/settings" Target="settings.xml"/><Relationship Id="rId9" Type="http://schemas.openxmlformats.org/officeDocument/2006/relationships/hyperlink" Target="http://www.reyestr.court.gov.ua/Review/52934367" TargetMode="External"/><Relationship Id="rId14" Type="http://schemas.openxmlformats.org/officeDocument/2006/relationships/hyperlink" Target="http://search.ligazakon.ua/l_doc2.nsf/link1/an_250/ed_2014_10_30/pravo1/T030898.html?pravo=1" TargetMode="External"/><Relationship Id="rId22" Type="http://schemas.openxmlformats.org/officeDocument/2006/relationships/hyperlink" Target="http://search.ligazakon.ua/l_doc2.nsf/link1/an_241/ed_2014_10_30/pravo1/T030898.html?pravo=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buv.gov.ua/UJRN/vvsu_2014_1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72DA-D340-4FD6-B09B-F36E0527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 Grynkevych</dc:creator>
  <cp:keywords/>
  <dc:description/>
  <cp:lastModifiedBy>Olena Stepanova</cp:lastModifiedBy>
  <cp:revision>2</cp:revision>
  <dcterms:created xsi:type="dcterms:W3CDTF">2018-01-24T12:30:00Z</dcterms:created>
  <dcterms:modified xsi:type="dcterms:W3CDTF">2018-01-24T12:30:00Z</dcterms:modified>
</cp:coreProperties>
</file>