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307" w:rsidRDefault="00A05307" w:rsidP="00A05307">
      <w:pPr>
        <w:spacing w:after="0"/>
        <w:jc w:val="center"/>
        <w:rPr>
          <w:rFonts w:ascii="Tahoma" w:hAnsi="Tahoma" w:cs="Tahoma"/>
          <w:b/>
          <w:sz w:val="20"/>
          <w:szCs w:val="20"/>
          <w:lang w:val="en-US"/>
        </w:rPr>
      </w:pPr>
      <w:r>
        <w:rPr>
          <w:rFonts w:ascii="Tahoma" w:hAnsi="Tahoma" w:cs="Tahoma"/>
          <w:b/>
          <w:sz w:val="20"/>
          <w:szCs w:val="20"/>
          <w:lang w:val="en-US"/>
        </w:rPr>
        <w:t>Chamber Electricity Working Group</w:t>
      </w:r>
    </w:p>
    <w:p w:rsidR="00A05307" w:rsidRDefault="00A05307" w:rsidP="00A05307">
      <w:pPr>
        <w:spacing w:after="0"/>
        <w:jc w:val="center"/>
        <w:rPr>
          <w:rFonts w:ascii="Tahoma" w:hAnsi="Tahoma" w:cs="Tahoma"/>
          <w:b/>
          <w:sz w:val="20"/>
          <w:szCs w:val="20"/>
          <w:lang w:val="en-US"/>
        </w:rPr>
      </w:pPr>
    </w:p>
    <w:p w:rsidR="00A05307" w:rsidRPr="00E621F2" w:rsidRDefault="00A05307" w:rsidP="00A05307">
      <w:pPr>
        <w:spacing w:after="0"/>
        <w:jc w:val="center"/>
        <w:rPr>
          <w:rFonts w:ascii="Tahoma" w:hAnsi="Tahoma" w:cs="Tahoma"/>
          <w:b/>
          <w:sz w:val="20"/>
          <w:szCs w:val="20"/>
          <w:lang w:val="en-US"/>
        </w:rPr>
      </w:pPr>
      <w:bookmarkStart w:id="0" w:name="_Hlk500330994"/>
      <w:r>
        <w:rPr>
          <w:rFonts w:ascii="Tahoma" w:hAnsi="Tahoma" w:cs="Tahoma"/>
          <w:b/>
          <w:sz w:val="20"/>
          <w:szCs w:val="20"/>
          <w:lang w:val="uk-UA"/>
        </w:rPr>
        <w:t xml:space="preserve"> </w:t>
      </w:r>
      <w:bookmarkEnd w:id="0"/>
      <w:r>
        <w:rPr>
          <w:rFonts w:ascii="Tahoma" w:hAnsi="Tahoma" w:cs="Tahoma"/>
          <w:b/>
          <w:sz w:val="20"/>
          <w:szCs w:val="20"/>
          <w:lang w:val="en-US"/>
        </w:rPr>
        <w:t>Agenda</w:t>
      </w:r>
    </w:p>
    <w:p w:rsidR="00A05307" w:rsidRPr="003B48F0" w:rsidRDefault="00A05307" w:rsidP="00A05307">
      <w:pPr>
        <w:spacing w:after="0"/>
        <w:jc w:val="both"/>
        <w:rPr>
          <w:rFonts w:ascii="Tahoma" w:hAnsi="Tahoma" w:cs="Tahoma"/>
          <w:sz w:val="20"/>
          <w:szCs w:val="20"/>
          <w:lang w:val="en-US"/>
        </w:rPr>
      </w:pPr>
    </w:p>
    <w:p w:rsidR="00A05307" w:rsidRP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sidRPr="00A05307">
        <w:rPr>
          <w:rFonts w:ascii="Tahoma" w:hAnsi="Tahoma" w:cs="Tahoma"/>
          <w:sz w:val="20"/>
          <w:szCs w:val="20"/>
          <w:lang w:val="uk-UA"/>
        </w:rPr>
        <w:t>Benefits and disadvantages of the new electricity market.</w:t>
      </w:r>
    </w:p>
    <w:p w:rsidR="00A05307" w:rsidRP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sidRPr="00A05307">
        <w:rPr>
          <w:rFonts w:ascii="Tahoma" w:hAnsi="Tahoma" w:cs="Tahoma"/>
          <w:sz w:val="20"/>
          <w:szCs w:val="20"/>
          <w:lang w:val="uk-UA"/>
        </w:rPr>
        <w:t>New rules for distribution, transmission, supply, purchase and production of electrical energy. Regulation provided, perspectives and obstacles towards implementation. Energy trading rules – possibilities to combine energy generation and trading functions</w:t>
      </w:r>
      <w:bookmarkStart w:id="1" w:name="_GoBack"/>
      <w:bookmarkEnd w:id="1"/>
    </w:p>
    <w:p w:rsidR="00A05307" w:rsidRP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sidRPr="00A05307">
        <w:rPr>
          <w:rFonts w:ascii="Tahoma" w:hAnsi="Tahoma" w:cs="Tahoma"/>
          <w:sz w:val="20"/>
          <w:szCs w:val="20"/>
          <w:lang w:val="uk-UA"/>
        </w:rPr>
        <w:t>Development of the rules for new energy market bilateral agreements (regulated, non-regulated)</w:t>
      </w:r>
      <w:r>
        <w:rPr>
          <w:rFonts w:ascii="Tahoma" w:hAnsi="Tahoma" w:cs="Tahoma"/>
          <w:sz w:val="20"/>
          <w:szCs w:val="20"/>
          <w:lang w:val="en-US"/>
        </w:rPr>
        <w:t>.</w:t>
      </w:r>
    </w:p>
    <w:p w:rsidR="00A05307" w:rsidRP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Pr>
          <w:rFonts w:ascii="Tahoma" w:hAnsi="Tahoma" w:cs="Tahoma"/>
          <w:sz w:val="20"/>
          <w:szCs w:val="20"/>
          <w:lang w:val="en-US"/>
        </w:rPr>
        <w:t>“</w:t>
      </w:r>
      <w:r w:rsidRPr="00A05307">
        <w:rPr>
          <w:rFonts w:ascii="Tahoma" w:hAnsi="Tahoma" w:cs="Tahoma"/>
          <w:sz w:val="20"/>
          <w:szCs w:val="20"/>
          <w:lang w:val="uk-UA"/>
        </w:rPr>
        <w:t>Bankable Power Purchase Agreement" (agreement on sale and purchase of electricity generated from renewable energy sources)</w:t>
      </w:r>
    </w:p>
    <w:p w:rsidR="00A05307" w:rsidRP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sidRPr="00A05307">
        <w:rPr>
          <w:rFonts w:ascii="Tahoma" w:hAnsi="Tahoma" w:cs="Tahoma"/>
          <w:sz w:val="20"/>
          <w:szCs w:val="20"/>
          <w:lang w:val="uk-UA"/>
        </w:rPr>
        <w:t>Tariff setting at electricity market. Price deregulation for electrical energy based on market competition.</w:t>
      </w:r>
    </w:p>
    <w:p w:rsidR="00A05307" w:rsidRP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sidRPr="00A05307">
        <w:rPr>
          <w:rFonts w:ascii="Tahoma" w:hAnsi="Tahoma" w:cs="Tahoma"/>
          <w:sz w:val="20"/>
          <w:szCs w:val="20"/>
          <w:lang w:val="uk-UA"/>
        </w:rPr>
        <w:t>Quality and efficiency of electrical energy supply (sale) services under new market model.</w:t>
      </w:r>
    </w:p>
    <w:p w:rsidR="00A05307" w:rsidRP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sidRPr="00A05307">
        <w:rPr>
          <w:rFonts w:ascii="Tahoma" w:hAnsi="Tahoma" w:cs="Tahoma"/>
          <w:sz w:val="20"/>
          <w:szCs w:val="20"/>
          <w:lang w:val="uk-UA"/>
        </w:rPr>
        <w:t>Conditions for electrical energy production increase using alternative energy sources.</w:t>
      </w:r>
    </w:p>
    <w:p w:rsidR="00A05307" w:rsidRP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sidRPr="00A05307">
        <w:rPr>
          <w:rFonts w:ascii="Tahoma" w:hAnsi="Tahoma" w:cs="Tahoma"/>
          <w:sz w:val="20"/>
          <w:szCs w:val="20"/>
          <w:lang w:val="uk-UA"/>
        </w:rPr>
        <w:t>Potential of bioenergy in Ukraine, current status and perspectives for biogeneration development.</w:t>
      </w:r>
    </w:p>
    <w:p w:rsidR="00A05307" w:rsidRP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sidRPr="00A05307">
        <w:rPr>
          <w:rFonts w:ascii="Tahoma" w:hAnsi="Tahoma" w:cs="Tahoma"/>
          <w:sz w:val="20"/>
          <w:szCs w:val="20"/>
          <w:lang w:val="uk-UA"/>
        </w:rPr>
        <w:t>Problematic issues and perspectives of investments to modernization and reconstruction of electrical networks. Development of distribution grid development strategy related with necessary increasing of energy supply quality – retrofits, repairs, new distribution capacities, new customer connections</w:t>
      </w:r>
    </w:p>
    <w:p w:rsidR="00A05307" w:rsidRP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sidRPr="00A05307">
        <w:rPr>
          <w:rFonts w:ascii="Tahoma" w:hAnsi="Tahoma" w:cs="Tahoma"/>
          <w:sz w:val="20"/>
          <w:szCs w:val="20"/>
          <w:lang w:val="uk-UA"/>
        </w:rPr>
        <w:t>Connection to distribution (local) and transmission electrical networks.</w:t>
      </w:r>
    </w:p>
    <w:p w:rsidR="00A05307" w:rsidRP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sidRPr="00A05307">
        <w:rPr>
          <w:rFonts w:ascii="Tahoma" w:hAnsi="Tahoma" w:cs="Tahoma"/>
          <w:sz w:val="20"/>
          <w:szCs w:val="20"/>
          <w:lang w:val="uk-UA"/>
        </w:rPr>
        <w:t>Regulation of compensation / backstream issues of reactive electrical energy.</w:t>
      </w:r>
    </w:p>
    <w:p w:rsidR="00A05307" w:rsidRP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sidRPr="00A05307">
        <w:rPr>
          <w:rFonts w:ascii="Tahoma" w:hAnsi="Tahoma" w:cs="Tahoma"/>
          <w:sz w:val="20"/>
          <w:szCs w:val="20"/>
          <w:lang w:val="uk-UA"/>
        </w:rPr>
        <w:t>Legal instruments and mechanisms necessary for efficient regulation of retail electricity market. Separation of responsibilities between distribution grid operators and suppliers, rules for purchasing of electricity for the compensation of losses.</w:t>
      </w:r>
    </w:p>
    <w:p w:rsid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sidRPr="00A05307">
        <w:rPr>
          <w:rFonts w:ascii="Tahoma" w:hAnsi="Tahoma" w:cs="Tahoma"/>
          <w:sz w:val="20"/>
          <w:szCs w:val="20"/>
          <w:lang w:val="uk-UA"/>
        </w:rPr>
        <w:t>Participation in development of legal acts providing for main terms of activities of electricity market participants: rules for balancing energy market and optional services market; rules for “day ahead’ market and domestic daily market; Transmission System Code; Distribution System Code; Commercial Account Code; rules for retail market and other legal acts.</w:t>
      </w:r>
    </w:p>
    <w:p w:rsidR="00A05307" w:rsidRP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sidRPr="00A05307">
        <w:rPr>
          <w:rFonts w:ascii="Tahoma" w:hAnsi="Tahoma" w:cs="Tahoma"/>
          <w:sz w:val="20"/>
          <w:szCs w:val="20"/>
          <w:lang w:val="uk-UA"/>
        </w:rPr>
        <w:t>Implementation of unbundling obligations under the Law of Ukraine “On Electricity Market”</w:t>
      </w:r>
      <w:r>
        <w:rPr>
          <w:rFonts w:ascii="Tahoma" w:hAnsi="Tahoma" w:cs="Tahoma"/>
          <w:sz w:val="20"/>
          <w:szCs w:val="20"/>
          <w:lang w:val="en-US"/>
        </w:rPr>
        <w:t>.</w:t>
      </w:r>
    </w:p>
    <w:p w:rsidR="00A05307" w:rsidRDefault="00A05307" w:rsidP="00A05307">
      <w:pPr>
        <w:pStyle w:val="ListParagraph"/>
        <w:numPr>
          <w:ilvl w:val="0"/>
          <w:numId w:val="5"/>
        </w:numPr>
        <w:tabs>
          <w:tab w:val="left" w:pos="360"/>
        </w:tabs>
        <w:spacing w:after="0" w:line="360" w:lineRule="auto"/>
        <w:ind w:left="-450" w:hanging="450"/>
        <w:jc w:val="both"/>
        <w:rPr>
          <w:rFonts w:ascii="Tahoma" w:hAnsi="Tahoma" w:cs="Tahoma"/>
          <w:sz w:val="20"/>
          <w:szCs w:val="20"/>
          <w:lang w:val="uk-UA"/>
        </w:rPr>
      </w:pPr>
      <w:r>
        <w:rPr>
          <w:rFonts w:ascii="Tahoma" w:hAnsi="Tahoma" w:cs="Tahoma"/>
          <w:sz w:val="20"/>
          <w:szCs w:val="20"/>
          <w:lang w:val="en-US"/>
        </w:rPr>
        <w:t>Improvement of f</w:t>
      </w:r>
      <w:r w:rsidRPr="00A05307">
        <w:rPr>
          <w:rFonts w:ascii="Tahoma" w:hAnsi="Tahoma" w:cs="Tahoma"/>
          <w:sz w:val="20"/>
          <w:szCs w:val="20"/>
          <w:lang w:val="uk-UA"/>
        </w:rPr>
        <w:t>unctions and competences of the Regulator at electricity market under the Law of Ukraine “On National Commission for the State Regulation of Energy and Utilities”.</w:t>
      </w:r>
    </w:p>
    <w:sectPr w:rsidR="00A05307" w:rsidSect="00F60E19">
      <w:headerReference w:type="even" r:id="rId5"/>
      <w:headerReference w:type="default" r:id="rId6"/>
      <w:footerReference w:type="default" r:id="rId7"/>
      <w:headerReference w:type="first" r:id="rId8"/>
      <w:pgSz w:w="11906" w:h="16838"/>
      <w:pgMar w:top="1134" w:right="65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E19" w:rsidRPr="004A140D" w:rsidRDefault="00A05307" w:rsidP="00F60E19">
    <w:pPr>
      <w:spacing w:after="0"/>
      <w:ind w:left="540" w:hanging="1530"/>
      <w:jc w:val="both"/>
      <w:rPr>
        <w:i/>
        <w:color w:val="404040"/>
        <w:sz w:val="16"/>
        <w:szCs w:val="16"/>
        <w:lang w:val="en-US"/>
      </w:rPr>
    </w:pPr>
    <w:r w:rsidRPr="004A140D">
      <w:rPr>
        <w:i/>
        <w:color w:val="404040"/>
        <w:sz w:val="16"/>
        <w:szCs w:val="16"/>
        <w:lang w:val="en-US"/>
      </w:rPr>
      <w:t>______________________________________________________________________________________________________________________</w:t>
    </w:r>
    <w:r>
      <w:rPr>
        <w:i/>
        <w:color w:val="404040"/>
        <w:sz w:val="16"/>
        <w:szCs w:val="16"/>
        <w:lang w:val="en-US"/>
      </w:rPr>
      <w:t>______________</w:t>
    </w:r>
  </w:p>
  <w:p w:rsidR="00F60E19" w:rsidRPr="00F60E19" w:rsidRDefault="00A05307" w:rsidP="00F60E19">
    <w:pPr>
      <w:spacing w:after="0"/>
      <w:ind w:left="540" w:hanging="1530"/>
      <w:jc w:val="both"/>
      <w:rPr>
        <w:rFonts w:ascii="Arial" w:hAnsi="Arial" w:cs="Arial"/>
        <w:b/>
        <w:bCs/>
        <w:i/>
        <w:iCs/>
        <w:color w:val="404040"/>
        <w:sz w:val="16"/>
        <w:szCs w:val="16"/>
        <w:lang w:val="en-US"/>
      </w:rPr>
    </w:pPr>
    <w:r w:rsidRPr="00F60E19">
      <w:rPr>
        <w:rFonts w:ascii="Arial" w:hAnsi="Arial" w:cs="Arial"/>
        <w:b/>
        <w:bCs/>
        <w:i/>
        <w:iCs/>
        <w:color w:val="404040"/>
        <w:sz w:val="16"/>
        <w:szCs w:val="16"/>
        <w:lang w:val="en-US"/>
      </w:rPr>
      <w:t xml:space="preserve">Board of Directors: Mr. Grzegorz Chmielarski, </w:t>
    </w:r>
    <w:r w:rsidRPr="00F60E19">
      <w:rPr>
        <w:rFonts w:ascii="Arial" w:hAnsi="Arial" w:cs="Arial"/>
        <w:bCs/>
        <w:i/>
        <w:iCs/>
        <w:color w:val="404040"/>
        <w:sz w:val="16"/>
        <w:szCs w:val="16"/>
        <w:lang w:val="en-US"/>
      </w:rPr>
      <w:t>McDonald's</w:t>
    </w:r>
    <w:r w:rsidRPr="00F60E19">
      <w:rPr>
        <w:rFonts w:ascii="Arial" w:hAnsi="Arial" w:cs="Arial"/>
        <w:b/>
        <w:bCs/>
        <w:i/>
        <w:iCs/>
        <w:color w:val="404040"/>
        <w:sz w:val="16"/>
        <w:szCs w:val="16"/>
        <w:lang w:val="en-US"/>
      </w:rPr>
      <w:t xml:space="preserve"> </w:t>
    </w:r>
    <w:r w:rsidRPr="00F60E19">
      <w:rPr>
        <w:rFonts w:ascii="Arial" w:hAnsi="Arial" w:cs="Arial"/>
        <w:bCs/>
        <w:i/>
        <w:iCs/>
        <w:color w:val="404040"/>
        <w:sz w:val="16"/>
        <w:szCs w:val="16"/>
        <w:lang w:val="en-US"/>
      </w:rPr>
      <w:t xml:space="preserve">– </w:t>
    </w:r>
    <w:r w:rsidRPr="00F60E19">
      <w:rPr>
        <w:rFonts w:ascii="Arial" w:hAnsi="Arial" w:cs="Arial"/>
        <w:b/>
        <w:bCs/>
        <w:i/>
        <w:iCs/>
        <w:color w:val="404040"/>
        <w:sz w:val="16"/>
        <w:szCs w:val="16"/>
        <w:lang w:val="en-US"/>
      </w:rPr>
      <w:t xml:space="preserve">Chairman; Mr. Sevki Acuner, </w:t>
    </w:r>
    <w:r w:rsidRPr="00F60E19">
      <w:rPr>
        <w:rFonts w:ascii="Arial" w:hAnsi="Arial" w:cs="Arial"/>
        <w:bCs/>
        <w:i/>
        <w:iCs/>
        <w:color w:val="404040"/>
        <w:sz w:val="16"/>
        <w:szCs w:val="16"/>
        <w:lang w:val="en-US"/>
      </w:rPr>
      <w:t>European Bank for Reconstruction and Development -</w:t>
    </w:r>
    <w:r w:rsidRPr="00F60E19">
      <w:rPr>
        <w:rFonts w:ascii="Arial" w:hAnsi="Arial" w:cs="Arial"/>
        <w:b/>
        <w:bCs/>
        <w:i/>
        <w:iCs/>
        <w:color w:val="404040"/>
        <w:sz w:val="16"/>
        <w:szCs w:val="16"/>
        <w:lang w:val="en-US"/>
      </w:rPr>
      <w:t xml:space="preserve"> Vice Chairman; Mr. Martin Schumacher, </w:t>
    </w:r>
    <w:r w:rsidRPr="00F60E19">
      <w:rPr>
        <w:rFonts w:ascii="Arial" w:hAnsi="Arial" w:cs="Arial"/>
        <w:bCs/>
        <w:i/>
        <w:iCs/>
        <w:color w:val="404040"/>
        <w:sz w:val="16"/>
        <w:szCs w:val="16"/>
        <w:lang w:val="en-US"/>
      </w:rPr>
      <w:t>METRO Cash &amp; Carry -</w:t>
    </w:r>
    <w:r w:rsidRPr="00F60E19">
      <w:rPr>
        <w:rFonts w:ascii="Arial" w:hAnsi="Arial" w:cs="Arial"/>
        <w:b/>
        <w:bCs/>
        <w:i/>
        <w:iCs/>
        <w:color w:val="404040"/>
        <w:sz w:val="16"/>
        <w:szCs w:val="16"/>
        <w:lang w:val="en-US"/>
      </w:rPr>
      <w:t xml:space="preserve"> Vice Chairman; Ms. Nadiia Vasylieva, </w:t>
    </w:r>
    <w:r w:rsidRPr="00F60E19">
      <w:rPr>
        <w:rFonts w:ascii="Arial" w:hAnsi="Arial" w:cs="Arial"/>
        <w:bCs/>
        <w:i/>
        <w:iCs/>
        <w:color w:val="404040"/>
        <w:sz w:val="16"/>
        <w:szCs w:val="16"/>
        <w:lang w:val="en-US"/>
      </w:rPr>
      <w:t>Microsoft –</w:t>
    </w:r>
    <w:r w:rsidRPr="00F60E19">
      <w:rPr>
        <w:rFonts w:ascii="Arial" w:hAnsi="Arial" w:cs="Arial"/>
        <w:b/>
        <w:bCs/>
        <w:i/>
        <w:iCs/>
        <w:color w:val="404040"/>
        <w:sz w:val="16"/>
        <w:szCs w:val="16"/>
        <w:lang w:val="en-US"/>
      </w:rPr>
      <w:t xml:space="preserve"> Treasurer;</w:t>
    </w:r>
    <w:r w:rsidRPr="00F60E19">
      <w:rPr>
        <w:rFonts w:ascii="Arial" w:hAnsi="Arial" w:cs="Arial"/>
        <w:b/>
        <w:bCs/>
        <w:i/>
        <w:iCs/>
        <w:color w:val="404040"/>
        <w:sz w:val="16"/>
        <w:szCs w:val="16"/>
        <w:lang w:val="en-US"/>
      </w:rPr>
      <w:t xml:space="preserve"> Mr. Oleg Tymkiv, </w:t>
    </w:r>
    <w:r w:rsidRPr="00F60E19">
      <w:rPr>
        <w:rFonts w:ascii="Arial" w:hAnsi="Arial" w:cs="Arial"/>
        <w:bCs/>
        <w:i/>
        <w:iCs/>
        <w:color w:val="404040"/>
        <w:sz w:val="16"/>
        <w:szCs w:val="16"/>
        <w:lang w:val="en-US"/>
      </w:rPr>
      <w:t>PwC –</w:t>
    </w:r>
    <w:r w:rsidRPr="00F60E19">
      <w:rPr>
        <w:rFonts w:ascii="Arial" w:hAnsi="Arial" w:cs="Arial"/>
        <w:b/>
        <w:bCs/>
        <w:i/>
        <w:iCs/>
        <w:color w:val="404040"/>
        <w:sz w:val="16"/>
        <w:szCs w:val="16"/>
        <w:lang w:val="en-US"/>
      </w:rPr>
      <w:t xml:space="preserve"> Secretary; Mr. Serhiy Chorny, </w:t>
    </w:r>
    <w:r w:rsidRPr="00F60E19">
      <w:rPr>
        <w:rFonts w:ascii="Arial" w:hAnsi="Arial" w:cs="Arial"/>
        <w:bCs/>
        <w:i/>
        <w:iCs/>
        <w:color w:val="404040"/>
        <w:sz w:val="16"/>
        <w:szCs w:val="16"/>
        <w:lang w:val="en-US"/>
      </w:rPr>
      <w:t>Baker &amp; McKenzie -</w:t>
    </w:r>
    <w:r w:rsidRPr="00F60E19">
      <w:rPr>
        <w:rFonts w:ascii="Arial" w:hAnsi="Arial" w:cs="Arial"/>
        <w:b/>
        <w:bCs/>
        <w:i/>
        <w:iCs/>
        <w:color w:val="404040"/>
        <w:sz w:val="16"/>
        <w:szCs w:val="16"/>
        <w:lang w:val="en-US"/>
      </w:rPr>
      <w:t xml:space="preserve"> Legal Advisor; Mr. Steven Fisher, </w:t>
    </w:r>
    <w:r w:rsidRPr="00F60E19">
      <w:rPr>
        <w:rFonts w:ascii="Arial" w:hAnsi="Arial" w:cs="Arial"/>
        <w:bCs/>
        <w:i/>
        <w:iCs/>
        <w:color w:val="404040"/>
        <w:sz w:val="16"/>
        <w:szCs w:val="16"/>
        <w:lang w:val="en-US"/>
      </w:rPr>
      <w:t>CITI;</w:t>
    </w:r>
    <w:r w:rsidRPr="00F60E19">
      <w:rPr>
        <w:rFonts w:ascii="Arial" w:hAnsi="Arial" w:cs="Arial"/>
        <w:b/>
        <w:bCs/>
        <w:i/>
        <w:iCs/>
        <w:color w:val="404040"/>
        <w:sz w:val="16"/>
        <w:szCs w:val="16"/>
        <w:lang w:val="en-US"/>
      </w:rPr>
      <w:t xml:space="preserve"> Ms. Lenna Koszarny, </w:t>
    </w:r>
    <w:r w:rsidRPr="00F60E19">
      <w:rPr>
        <w:rFonts w:ascii="Arial" w:hAnsi="Arial" w:cs="Arial"/>
        <w:bCs/>
        <w:i/>
        <w:iCs/>
        <w:color w:val="404040"/>
        <w:sz w:val="16"/>
        <w:szCs w:val="16"/>
        <w:lang w:val="en-US"/>
      </w:rPr>
      <w:t>Horizon Capital;</w:t>
    </w:r>
    <w:r w:rsidRPr="00F60E19">
      <w:rPr>
        <w:rFonts w:ascii="Arial" w:hAnsi="Arial" w:cs="Arial"/>
        <w:b/>
        <w:bCs/>
        <w:i/>
        <w:iCs/>
        <w:color w:val="404040"/>
        <w:sz w:val="16"/>
        <w:szCs w:val="16"/>
        <w:lang w:val="en-US"/>
      </w:rPr>
      <w:t xml:space="preserve"> Mr. Martin Schuldt, </w:t>
    </w:r>
    <w:r w:rsidRPr="00F60E19">
      <w:rPr>
        <w:rFonts w:ascii="Arial" w:hAnsi="Arial" w:cs="Arial"/>
        <w:bCs/>
        <w:i/>
        <w:iCs/>
        <w:color w:val="404040"/>
        <w:sz w:val="16"/>
        <w:szCs w:val="16"/>
        <w:lang w:val="en-US"/>
      </w:rPr>
      <w:t>Cargill;</w:t>
    </w:r>
    <w:r w:rsidRPr="00F60E19">
      <w:rPr>
        <w:rFonts w:ascii="Arial" w:hAnsi="Arial" w:cs="Arial"/>
        <w:b/>
        <w:bCs/>
        <w:i/>
        <w:iCs/>
        <w:color w:val="404040"/>
        <w:sz w:val="16"/>
        <w:szCs w:val="16"/>
        <w:lang w:val="en-US"/>
      </w:rPr>
      <w:t xml:space="preserve"> Mr. Evgeniy Shevchenko, </w:t>
    </w:r>
    <w:r w:rsidRPr="00F60E19">
      <w:rPr>
        <w:rFonts w:ascii="Arial" w:hAnsi="Arial" w:cs="Arial"/>
        <w:bCs/>
        <w:i/>
        <w:iCs/>
        <w:color w:val="404040"/>
        <w:sz w:val="16"/>
        <w:szCs w:val="16"/>
        <w:lang w:val="en-US"/>
      </w:rPr>
      <w:t>Carlsberg.</w:t>
    </w:r>
  </w:p>
  <w:p w:rsidR="00F60E19" w:rsidRPr="004A140D" w:rsidRDefault="00A05307" w:rsidP="00F60E19">
    <w:pPr>
      <w:spacing w:after="0"/>
      <w:ind w:left="540" w:hanging="1530"/>
      <w:jc w:val="both"/>
      <w:rPr>
        <w:rFonts w:ascii="Arial" w:hAnsi="Arial" w:cs="Arial"/>
        <w:b/>
        <w:bCs/>
        <w:i/>
        <w:iCs/>
        <w:color w:val="404040"/>
        <w:sz w:val="16"/>
        <w:szCs w:val="16"/>
      </w:rPr>
    </w:pPr>
    <w:proofErr w:type="gramStart"/>
    <w:r w:rsidRPr="004A140D">
      <w:rPr>
        <w:rFonts w:ascii="Arial" w:hAnsi="Arial" w:cs="Arial"/>
        <w:b/>
        <w:bCs/>
        <w:i/>
        <w:iCs/>
        <w:color w:val="404040"/>
        <w:sz w:val="16"/>
        <w:szCs w:val="16"/>
      </w:rPr>
      <w:t xml:space="preserve">President:   </w:t>
    </w:r>
    <w:proofErr w:type="gramEnd"/>
    <w:r w:rsidRPr="004A140D">
      <w:rPr>
        <w:rFonts w:ascii="Arial" w:hAnsi="Arial" w:cs="Arial"/>
        <w:b/>
        <w:bCs/>
        <w:i/>
        <w:iCs/>
        <w:color w:val="404040"/>
        <w:sz w:val="16"/>
        <w:szCs w:val="16"/>
      </w:rPr>
      <w:t xml:space="preserve">         Mr. Andy Hunder</w:t>
    </w:r>
  </w:p>
  <w:p w:rsidR="00F60E19" w:rsidRDefault="00A05307" w:rsidP="00F60E19">
    <w:pPr>
      <w:pStyle w:val="Footer"/>
      <w:ind w:left="540" w:hanging="153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8F0" w:rsidRDefault="00A053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1641" o:spid="_x0000_s1026" type="#_x0000_t136" style="position:absolute;margin-left:0;margin-top:0;width:412.2pt;height:247.3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1F2" w:rsidRDefault="00A05307">
    <w:pPr>
      <w:pStyle w:val="Header"/>
    </w:pPr>
    <w:r>
      <w:rPr>
        <w:noProof/>
      </w:rPr>
      <w:drawing>
        <wp:anchor distT="0" distB="0" distL="114300" distR="114300" simplePos="0" relativeHeight="251662336" behindDoc="0" locked="0" layoutInCell="1" allowOverlap="1" wp14:anchorId="4CF4BB7E" wp14:editId="63C99D33">
          <wp:simplePos x="0" y="0"/>
          <wp:positionH relativeFrom="column">
            <wp:posOffset>-937260</wp:posOffset>
          </wp:positionH>
          <wp:positionV relativeFrom="page">
            <wp:posOffset>102870</wp:posOffset>
          </wp:positionV>
          <wp:extent cx="7000875" cy="838200"/>
          <wp:effectExtent l="0" t="0" r="9525" b="0"/>
          <wp:wrapNone/>
          <wp:docPr id="19" name="Picture 19" descr="\\NATASHA\jpg2\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TASHA\jpg2\test1.jpg"/>
                  <pic:cNvPicPr>
                    <a:picLocks noChangeAspect="1" noChangeArrowheads="1"/>
                  </pic:cNvPicPr>
                </pic:nvPicPr>
                <pic:blipFill>
                  <a:blip r:embed="rId1">
                    <a:extLst>
                      <a:ext uri="{28A0092B-C50C-407E-A947-70E740481C1C}">
                        <a14:useLocalDpi xmlns:a14="http://schemas.microsoft.com/office/drawing/2010/main" val="0"/>
                      </a:ext>
                    </a:extLst>
                  </a:blip>
                  <a:srcRect l="3435" t="24812" r="3738" b="9023"/>
                  <a:stretch>
                    <a:fillRect/>
                  </a:stretch>
                </pic:blipFill>
                <pic:spPr bwMode="auto">
                  <a:xfrm>
                    <a:off x="0" y="0"/>
                    <a:ext cx="700087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21F2" w:rsidRDefault="00A05307">
    <w:pPr>
      <w:pStyle w:val="Header"/>
    </w:pPr>
  </w:p>
  <w:p w:rsidR="00E621F2" w:rsidRDefault="00A05307">
    <w:pPr>
      <w:pStyle w:val="Header"/>
    </w:pPr>
  </w:p>
  <w:p w:rsidR="003B48F0" w:rsidRDefault="00A053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1642" o:spid="_x0000_s1027" type="#_x0000_t136" style="position:absolute;margin-left:0;margin-top:0;width:412.2pt;height:247.3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8F0" w:rsidRDefault="00A053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1640" o:spid="_x0000_s1025" type="#_x0000_t136" style="position:absolute;margin-left:0;margin-top:0;width:412.2pt;height:247.3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24594"/>
    <w:multiLevelType w:val="hybridMultilevel"/>
    <w:tmpl w:val="B8565B26"/>
    <w:lvl w:ilvl="0" w:tplc="A7828EE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D44B01"/>
    <w:multiLevelType w:val="hybridMultilevel"/>
    <w:tmpl w:val="5C988E56"/>
    <w:lvl w:ilvl="0" w:tplc="E18E84E8">
      <w:start w:val="1"/>
      <w:numFmt w:val="decimal"/>
      <w:lvlText w:val="%1."/>
      <w:lvlJc w:val="left"/>
      <w:pPr>
        <w:ind w:left="90" w:hanging="360"/>
      </w:pPr>
      <w:rPr>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58CA782C"/>
    <w:multiLevelType w:val="hybridMultilevel"/>
    <w:tmpl w:val="081092DE"/>
    <w:lvl w:ilvl="0" w:tplc="1D8CC9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521C7"/>
    <w:multiLevelType w:val="hybridMultilevel"/>
    <w:tmpl w:val="1196F648"/>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5B6D40E2"/>
    <w:multiLevelType w:val="hybridMultilevel"/>
    <w:tmpl w:val="C72EC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307"/>
    <w:rsid w:val="003A204F"/>
    <w:rsid w:val="00A05307"/>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72CD2"/>
  <w15:chartTrackingRefBased/>
  <w15:docId w15:val="{54779F19-F93E-43C6-8595-74E6A07C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307"/>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307"/>
    <w:rPr>
      <w:lang w:val="ru-RU"/>
    </w:rPr>
  </w:style>
  <w:style w:type="paragraph" w:styleId="Footer">
    <w:name w:val="footer"/>
    <w:basedOn w:val="Normal"/>
    <w:link w:val="FooterChar"/>
    <w:uiPriority w:val="99"/>
    <w:unhideWhenUsed/>
    <w:rsid w:val="00A05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307"/>
    <w:rPr>
      <w:lang w:val="ru-RU"/>
    </w:rPr>
  </w:style>
  <w:style w:type="paragraph" w:styleId="ListParagraph">
    <w:name w:val="List Paragraph"/>
    <w:basedOn w:val="Normal"/>
    <w:uiPriority w:val="34"/>
    <w:qFormat/>
    <w:rsid w:val="00A05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9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Vladislava Levakina</dc:creator>
  <cp:keywords/>
  <dc:description/>
  <cp:lastModifiedBy>Vladislava Levakina</cp:lastModifiedBy>
  <cp:revision>1</cp:revision>
  <dcterms:created xsi:type="dcterms:W3CDTF">2017-12-06T12:14:00Z</dcterms:created>
  <dcterms:modified xsi:type="dcterms:W3CDTF">2017-12-06T12:24:00Z</dcterms:modified>
</cp:coreProperties>
</file>