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4" w:rsidRPr="00D33ADE" w:rsidRDefault="00966714" w:rsidP="002A46F9"/>
    <w:p w:rsidR="00340629" w:rsidRPr="00D33ADE" w:rsidRDefault="009522E6" w:rsidP="002A46F9">
      <w:r w:rsidRPr="00D33ADE">
        <w:t>№17</w:t>
      </w:r>
      <w:r w:rsidR="00340629" w:rsidRPr="00D33ADE">
        <w:t>-</w:t>
      </w:r>
    </w:p>
    <w:p w:rsidR="00340629" w:rsidRPr="00D33ADE" w:rsidRDefault="00340629" w:rsidP="002A46F9">
      <w:r w:rsidRPr="00D33ADE">
        <w:t xml:space="preserve">від </w:t>
      </w:r>
      <w:r w:rsidR="00926D59">
        <w:t>27</w:t>
      </w:r>
      <w:r w:rsidR="009522E6" w:rsidRPr="00D33ADE">
        <w:t xml:space="preserve"> лютого</w:t>
      </w:r>
      <w:r w:rsidRPr="00D33ADE">
        <w:t xml:space="preserve"> 201</w:t>
      </w:r>
      <w:r w:rsidR="009522E6" w:rsidRPr="00D33ADE">
        <w:t>7</w:t>
      </w:r>
      <w:r w:rsidRPr="00D33ADE">
        <w:t xml:space="preserve">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340629" w:rsidRPr="00D33ADE" w:rsidTr="00E442E4">
        <w:tc>
          <w:tcPr>
            <w:tcW w:w="5069" w:type="dxa"/>
            <w:shd w:val="clear" w:color="auto" w:fill="auto"/>
          </w:tcPr>
          <w:p w:rsidR="00340629" w:rsidRPr="00D33ADE" w:rsidRDefault="00340629" w:rsidP="002A46F9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40629" w:rsidRPr="00D33ADE" w:rsidTr="00F47F3D">
              <w:tc>
                <w:tcPr>
                  <w:tcW w:w="236" w:type="dxa"/>
                  <w:shd w:val="clear" w:color="auto" w:fill="auto"/>
                </w:tcPr>
                <w:p w:rsidR="00340629" w:rsidRPr="00D33ADE" w:rsidRDefault="00340629" w:rsidP="002A46F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D33ADE" w:rsidRDefault="00340629" w:rsidP="002A46F9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340629" w:rsidRPr="00D33ADE" w:rsidRDefault="00340629" w:rsidP="002A46F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D33ADE" w:rsidRDefault="00340629" w:rsidP="002A46F9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ED02DD" w:rsidRPr="00D33ADE" w:rsidRDefault="00ED02DD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D33ADE" w:rsidRPr="00D33ADE" w:rsidRDefault="00D33ADE" w:rsidP="00D33ADE">
                  <w:pPr>
                    <w:rPr>
                      <w:rFonts w:eastAsia="Calibri"/>
                      <w:b/>
                      <w:szCs w:val="22"/>
                    </w:rPr>
                  </w:pPr>
                  <w:r w:rsidRPr="00D33ADE">
                    <w:rPr>
                      <w:rFonts w:eastAsia="Calibri"/>
                      <w:b/>
                      <w:szCs w:val="22"/>
                    </w:rPr>
                    <w:t>Голові Комітету Верховної Ради України з питань податкової та митної політики</w:t>
                  </w:r>
                </w:p>
                <w:p w:rsidR="00D33ADE" w:rsidRPr="00D33ADE" w:rsidRDefault="00D33ADE" w:rsidP="00D33ADE">
                  <w:pPr>
                    <w:rPr>
                      <w:rFonts w:eastAsia="Calibri"/>
                      <w:b/>
                      <w:szCs w:val="22"/>
                    </w:rPr>
                  </w:pPr>
                  <w:r w:rsidRPr="00D33ADE">
                    <w:rPr>
                      <w:rFonts w:eastAsia="Calibri"/>
                      <w:b/>
                      <w:szCs w:val="22"/>
                    </w:rPr>
                    <w:t xml:space="preserve">Н.П. </w:t>
                  </w:r>
                  <w:proofErr w:type="spellStart"/>
                  <w:r w:rsidRPr="00D33ADE">
                    <w:rPr>
                      <w:rFonts w:eastAsia="Calibri"/>
                      <w:b/>
                      <w:szCs w:val="22"/>
                    </w:rPr>
                    <w:t>Южаніній</w:t>
                  </w:r>
                  <w:proofErr w:type="spellEnd"/>
                  <w:r w:rsidRPr="00D33ADE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340629" w:rsidRPr="00D33ADE" w:rsidRDefault="00340629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340629" w:rsidRPr="00D33ADE" w:rsidRDefault="00340629" w:rsidP="002A46F9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D33ADE" w:rsidRPr="00D33ADE" w:rsidRDefault="00D33ADE" w:rsidP="00D33ADE">
      <w:pPr>
        <w:jc w:val="both"/>
        <w:rPr>
          <w:rFonts w:eastAsia="Calibri"/>
          <w:i/>
          <w:sz w:val="22"/>
          <w:lang w:eastAsia="en-US"/>
        </w:rPr>
      </w:pPr>
      <w:r w:rsidRPr="00D33ADE">
        <w:rPr>
          <w:rFonts w:eastAsia="Calibri"/>
          <w:i/>
          <w:sz w:val="22"/>
          <w:lang w:eastAsia="en-US"/>
        </w:rPr>
        <w:t>Про надання пропозицій</w:t>
      </w:r>
      <w:r w:rsidRPr="00D33ADE">
        <w:rPr>
          <w:rFonts w:eastAsia="Calibri"/>
          <w:i/>
          <w:sz w:val="22"/>
          <w:lang w:eastAsia="en-US"/>
        </w:rPr>
        <w:t xml:space="preserve"> </w:t>
      </w:r>
      <w:r w:rsidRPr="00D33ADE">
        <w:rPr>
          <w:rFonts w:eastAsia="Calibri"/>
          <w:i/>
          <w:sz w:val="22"/>
          <w:lang w:eastAsia="en-US"/>
        </w:rPr>
        <w:t xml:space="preserve">щодо </w:t>
      </w:r>
    </w:p>
    <w:p w:rsidR="00340629" w:rsidRPr="00D33ADE" w:rsidRDefault="00D33ADE" w:rsidP="00D33ADE">
      <w:pPr>
        <w:jc w:val="both"/>
        <w:rPr>
          <w:rFonts w:eastAsia="Calibri"/>
          <w:i/>
          <w:sz w:val="22"/>
          <w:lang w:eastAsia="en-US"/>
        </w:rPr>
      </w:pPr>
      <w:r w:rsidRPr="00D33ADE">
        <w:rPr>
          <w:rFonts w:eastAsia="Calibri"/>
          <w:i/>
          <w:sz w:val="22"/>
          <w:lang w:eastAsia="en-US"/>
        </w:rPr>
        <w:t>удосконалення податкового законодавства</w:t>
      </w:r>
    </w:p>
    <w:p w:rsidR="00340629" w:rsidRPr="00D33ADE" w:rsidRDefault="00340629" w:rsidP="002A46F9">
      <w:pPr>
        <w:jc w:val="both"/>
        <w:rPr>
          <w:rFonts w:eastAsia="Calibri"/>
          <w:i/>
          <w:sz w:val="22"/>
          <w:lang w:eastAsia="en-US"/>
        </w:rPr>
      </w:pPr>
    </w:p>
    <w:p w:rsidR="00D33ADE" w:rsidRPr="00D33ADE" w:rsidRDefault="00D33ADE" w:rsidP="00D33ADE">
      <w:pPr>
        <w:jc w:val="center"/>
        <w:rPr>
          <w:b/>
        </w:rPr>
      </w:pPr>
      <w:r w:rsidRPr="00D33ADE">
        <w:rPr>
          <w:b/>
        </w:rPr>
        <w:t>Шановна Ніно Петрівно!</w:t>
      </w:r>
    </w:p>
    <w:p w:rsidR="00340629" w:rsidRPr="00D33ADE" w:rsidRDefault="00340629" w:rsidP="002A46F9">
      <w:pPr>
        <w:rPr>
          <w:lang w:eastAsia="en-US"/>
        </w:rPr>
      </w:pPr>
    </w:p>
    <w:p w:rsidR="00D33ADE" w:rsidRPr="004324E7" w:rsidRDefault="001802E5" w:rsidP="001F6128">
      <w:pPr>
        <w:spacing w:before="120"/>
        <w:ind w:firstLine="720"/>
        <w:jc w:val="both"/>
      </w:pPr>
      <w:r w:rsidRPr="004324E7"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</w:t>
      </w:r>
      <w:r w:rsidR="00D33ADE" w:rsidRPr="004324E7">
        <w:t>звертає</w:t>
      </w:r>
      <w:r w:rsidR="004324E7" w:rsidRPr="004324E7">
        <w:t>мось</w:t>
      </w:r>
      <w:r w:rsidR="00D33ADE" w:rsidRPr="004324E7">
        <w:t xml:space="preserve"> до Вас </w:t>
      </w:r>
      <w:r w:rsidR="004324E7" w:rsidRPr="004324E7">
        <w:t>стосовно</w:t>
      </w:r>
      <w:r w:rsidR="00D33ADE" w:rsidRPr="004324E7">
        <w:t xml:space="preserve"> врахування наступних пропозицій.</w:t>
      </w:r>
    </w:p>
    <w:p w:rsidR="00D33ADE" w:rsidRPr="004324E7" w:rsidRDefault="00D33ADE" w:rsidP="001F6128">
      <w:pPr>
        <w:pStyle w:val="ac"/>
        <w:spacing w:before="120" w:beforeAutospacing="0" w:after="0" w:afterAutospacing="0"/>
        <w:ind w:firstLine="720"/>
        <w:jc w:val="both"/>
        <w:rPr>
          <w:color w:val="000000" w:themeColor="text1"/>
        </w:rPr>
      </w:pPr>
      <w:r w:rsidRPr="004324E7">
        <w:t xml:space="preserve">Законом України «Про внесення змін до Податкового кодексу України щодо покращення інвестиційного клімату в Україні» </w:t>
      </w:r>
      <w:r w:rsidR="004324E7" w:rsidRPr="004324E7">
        <w:rPr>
          <w:shd w:val="clear" w:color="auto" w:fill="FFFFFF"/>
        </w:rPr>
        <w:t>від</w:t>
      </w:r>
      <w:r w:rsidR="004324E7" w:rsidRPr="004324E7">
        <w:rPr>
          <w:rStyle w:val="apple-converted-space"/>
          <w:shd w:val="clear" w:color="auto" w:fill="FFFFFF"/>
        </w:rPr>
        <w:t> </w:t>
      </w:r>
      <w:r w:rsidR="004324E7" w:rsidRPr="004324E7">
        <w:rPr>
          <w:bdr w:val="none" w:sz="0" w:space="0" w:color="auto" w:frame="1"/>
          <w:shd w:val="clear" w:color="auto" w:fill="FFFFFF"/>
        </w:rPr>
        <w:t>21 грудня 2016</w:t>
      </w:r>
      <w:r w:rsidR="004324E7" w:rsidRPr="004324E7">
        <w:rPr>
          <w:rStyle w:val="apple-converted-space"/>
          <w:color w:val="004386"/>
          <w:shd w:val="clear" w:color="auto" w:fill="FFFFFF"/>
        </w:rPr>
        <w:t> </w:t>
      </w:r>
      <w:r w:rsidR="004324E7" w:rsidRPr="004324E7">
        <w:rPr>
          <w:rStyle w:val="apple-converted-space"/>
          <w:shd w:val="clear" w:color="auto" w:fill="FFFFFF"/>
        </w:rPr>
        <w:t xml:space="preserve">року </w:t>
      </w:r>
      <w:r w:rsidRPr="004324E7">
        <w:rPr>
          <w:shd w:val="clear" w:color="auto" w:fill="FFFFFF"/>
        </w:rPr>
        <w:t>№</w:t>
      </w:r>
      <w:r w:rsidRPr="004324E7">
        <w:rPr>
          <w:bCs/>
          <w:bdr w:val="none" w:sz="0" w:space="0" w:color="auto" w:frame="1"/>
          <w:shd w:val="clear" w:color="auto" w:fill="FFFFFF"/>
        </w:rPr>
        <w:t>1797-VIII</w:t>
      </w:r>
      <w:r w:rsidRPr="004324E7">
        <w:t xml:space="preserve"> </w:t>
      </w:r>
      <w:proofErr w:type="spellStart"/>
      <w:r w:rsidRPr="004324E7">
        <w:rPr>
          <w:rStyle w:val="apple-converted-space"/>
          <w:shd w:val="clear" w:color="auto" w:fill="FFFFFF"/>
        </w:rPr>
        <w:t>внесено</w:t>
      </w:r>
      <w:proofErr w:type="spellEnd"/>
      <w:r w:rsidRPr="004324E7">
        <w:rPr>
          <w:rStyle w:val="apple-converted-space"/>
          <w:shd w:val="clear" w:color="auto" w:fill="FFFFFF"/>
        </w:rPr>
        <w:t xml:space="preserve"> зміни до пункту </w:t>
      </w:r>
      <w:r w:rsidRPr="004324E7">
        <w:rPr>
          <w:color w:val="000000" w:themeColor="text1"/>
        </w:rPr>
        <w:t>ст.120</w:t>
      </w:r>
      <w:r w:rsidRPr="004324E7">
        <w:rPr>
          <w:color w:val="000000" w:themeColor="text1"/>
          <w:vertAlign w:val="superscript"/>
        </w:rPr>
        <w:t>1</w:t>
      </w:r>
      <w:r w:rsidRPr="004324E7">
        <w:rPr>
          <w:color w:val="000000" w:themeColor="text1"/>
        </w:rPr>
        <w:t>.1 П</w:t>
      </w:r>
      <w:r w:rsidRPr="004324E7">
        <w:rPr>
          <w:color w:val="000000"/>
        </w:rPr>
        <w:t>одаткового кодексу України (далі</w:t>
      </w:r>
      <w:r w:rsidR="004324E7">
        <w:rPr>
          <w:color w:val="000000"/>
        </w:rPr>
        <w:t xml:space="preserve"> </w:t>
      </w:r>
      <w:r w:rsidR="004324E7" w:rsidRPr="004324E7">
        <w:t xml:space="preserve">– </w:t>
      </w:r>
      <w:r w:rsidRPr="004324E7">
        <w:rPr>
          <w:color w:val="000000"/>
        </w:rPr>
        <w:t>ПКУ), відповідно до якої була передбачена відповідальність з</w:t>
      </w:r>
      <w:r w:rsidRPr="004324E7">
        <w:rPr>
          <w:color w:val="000000" w:themeColor="text1"/>
        </w:rPr>
        <w:t>а порушення строків реєстрації в Єдиному реєстрі податкових накладних (далі –</w:t>
      </w:r>
      <w:r w:rsidR="004324E7">
        <w:rPr>
          <w:color w:val="000000" w:themeColor="text1"/>
        </w:rPr>
        <w:t xml:space="preserve"> </w:t>
      </w:r>
      <w:r w:rsidRPr="004324E7">
        <w:rPr>
          <w:color w:val="000000" w:themeColor="text1"/>
        </w:rPr>
        <w:t xml:space="preserve">ЄРПН) </w:t>
      </w:r>
      <w:r w:rsidRPr="004324E7">
        <w:rPr>
          <w:b/>
          <w:color w:val="000000" w:themeColor="text1"/>
        </w:rPr>
        <w:t>всіх податкових накладних (</w:t>
      </w:r>
      <w:r w:rsidR="004324E7">
        <w:rPr>
          <w:b/>
          <w:color w:val="000000" w:themeColor="text1"/>
        </w:rPr>
        <w:t>на</w:t>
      </w:r>
      <w:r w:rsidRPr="004324E7">
        <w:rPr>
          <w:b/>
          <w:color w:val="000000" w:themeColor="text1"/>
        </w:rPr>
        <w:t xml:space="preserve">далі </w:t>
      </w:r>
      <w:r w:rsidR="004324E7" w:rsidRPr="004324E7">
        <w:t xml:space="preserve">– </w:t>
      </w:r>
      <w:r w:rsidRPr="004324E7">
        <w:rPr>
          <w:b/>
          <w:color w:val="000000" w:themeColor="text1"/>
        </w:rPr>
        <w:t xml:space="preserve">ПН), </w:t>
      </w:r>
      <w:r w:rsidR="004324E7">
        <w:rPr>
          <w:b/>
          <w:color w:val="000000" w:themeColor="text1"/>
        </w:rPr>
        <w:t>у</w:t>
      </w:r>
      <w:r w:rsidRPr="004324E7">
        <w:rPr>
          <w:b/>
          <w:color w:val="000000" w:themeColor="text1"/>
        </w:rPr>
        <w:t xml:space="preserve"> т</w:t>
      </w:r>
      <w:r w:rsidR="004324E7">
        <w:rPr>
          <w:b/>
          <w:color w:val="000000" w:themeColor="text1"/>
        </w:rPr>
        <w:t xml:space="preserve">ому </w:t>
      </w:r>
      <w:r w:rsidRPr="004324E7">
        <w:rPr>
          <w:b/>
          <w:color w:val="000000" w:themeColor="text1"/>
        </w:rPr>
        <w:t>ч</w:t>
      </w:r>
      <w:r w:rsidR="004324E7">
        <w:rPr>
          <w:b/>
          <w:color w:val="000000" w:themeColor="text1"/>
        </w:rPr>
        <w:t>ислі</w:t>
      </w:r>
      <w:r w:rsidRPr="004324E7">
        <w:rPr>
          <w:color w:val="000000" w:themeColor="text1"/>
        </w:rPr>
        <w:t xml:space="preserve"> </w:t>
      </w:r>
      <w:r w:rsidR="004324E7">
        <w:rPr>
          <w:b/>
          <w:color w:val="000000" w:themeColor="text1"/>
        </w:rPr>
        <w:t>складених на неплатників ПДВ</w:t>
      </w:r>
      <w:r w:rsidRPr="004324E7">
        <w:rPr>
          <w:b/>
          <w:color w:val="000000" w:themeColor="text1"/>
        </w:rPr>
        <w:t xml:space="preserve"> зведених податкових накладних. </w:t>
      </w:r>
      <w:r w:rsidRPr="004324E7">
        <w:rPr>
          <w:color w:val="000000" w:themeColor="text1"/>
        </w:rPr>
        <w:t>Як виключення з правила ст. 120</w:t>
      </w:r>
      <w:r w:rsidRPr="004324E7">
        <w:rPr>
          <w:color w:val="000000" w:themeColor="text1"/>
          <w:vertAlign w:val="superscript"/>
        </w:rPr>
        <w:t>1</w:t>
      </w:r>
      <w:r w:rsidRPr="004324E7">
        <w:rPr>
          <w:color w:val="000000" w:themeColor="text1"/>
        </w:rPr>
        <w:t>.1 ПКУ</w:t>
      </w:r>
      <w:r w:rsidRPr="004324E7">
        <w:rPr>
          <w:color w:val="000000"/>
        </w:rPr>
        <w:t xml:space="preserve"> </w:t>
      </w:r>
      <w:r w:rsidRPr="004324E7">
        <w:rPr>
          <w:color w:val="000000" w:themeColor="text1"/>
        </w:rPr>
        <w:t xml:space="preserve">не застосовуються штрафи за </w:t>
      </w:r>
      <w:proofErr w:type="spellStart"/>
      <w:r w:rsidRPr="004324E7">
        <w:rPr>
          <w:color w:val="000000" w:themeColor="text1"/>
        </w:rPr>
        <w:t>нереєстрацію</w:t>
      </w:r>
      <w:proofErr w:type="spellEnd"/>
      <w:r w:rsidRPr="004324E7">
        <w:rPr>
          <w:color w:val="000000" w:themeColor="text1"/>
        </w:rPr>
        <w:t>, порушення строків реєстрації ПН</w:t>
      </w:r>
      <w:r w:rsidRPr="004324E7">
        <w:rPr>
          <w:b/>
          <w:color w:val="000000" w:themeColor="text1"/>
        </w:rPr>
        <w:t xml:space="preserve">, </w:t>
      </w:r>
      <w:r w:rsidRPr="004324E7">
        <w:rPr>
          <w:color w:val="000000" w:themeColor="text1"/>
        </w:rPr>
        <w:t>складених на постачання товарів/послуг для операцій: які звільнені від оподаткування або які оподатковуються за нульовою ставкою.</w:t>
      </w:r>
    </w:p>
    <w:p w:rsidR="00D33ADE" w:rsidRPr="004324E7" w:rsidRDefault="001F6128" w:rsidP="001F6128">
      <w:pPr>
        <w:pStyle w:val="ac"/>
        <w:spacing w:before="120" w:beforeAutospacing="0" w:after="0" w:afterAutospacing="0"/>
        <w:ind w:firstLine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Проте компанії-члени Палати щомісяця складають</w:t>
      </w:r>
      <w:r w:rsidR="00D33ADE" w:rsidRPr="004324E7">
        <w:rPr>
          <w:color w:val="000000" w:themeColor="text1"/>
        </w:rPr>
        <w:t xml:space="preserve"> зведену податкову накладну за зобов’язаннями згідно ст. 199 ПКУ у зв’язку із використанням придбаних товарів/послуг як в оподатковуваних операціях, так і неоподатковуваних ПДВ операціях (</w:t>
      </w:r>
      <w:r>
        <w:rPr>
          <w:color w:val="000000" w:themeColor="text1"/>
        </w:rPr>
        <w:t>на</w:t>
      </w:r>
      <w:r w:rsidR="00D33ADE" w:rsidRPr="004324E7">
        <w:rPr>
          <w:color w:val="000000" w:themeColor="text1"/>
        </w:rPr>
        <w:t>далі – розподіл)</w:t>
      </w:r>
      <w:r w:rsidR="00D33ADE" w:rsidRPr="004324E7">
        <w:rPr>
          <w:color w:val="000000" w:themeColor="text1"/>
          <w:shd w:val="clear" w:color="auto" w:fill="FFFFFF"/>
        </w:rPr>
        <w:t xml:space="preserve">. </w:t>
      </w:r>
      <w:r w:rsidR="00D33ADE" w:rsidRPr="004324E7">
        <w:rPr>
          <w:color w:val="000000" w:themeColor="text1"/>
        </w:rPr>
        <w:t>Така податкова накладна складається не пізніше о</w:t>
      </w:r>
      <w:r w:rsidR="00D33ADE" w:rsidRPr="004324E7">
        <w:rPr>
          <w:color w:val="000000" w:themeColor="text1"/>
          <w:shd w:val="clear" w:color="auto" w:fill="FFFFFF"/>
        </w:rPr>
        <w:t>станнього дня звітного (податкового) періоду та</w:t>
      </w:r>
      <w:r w:rsidR="00D33ADE" w:rsidRPr="004324E7">
        <w:rPr>
          <w:b/>
          <w:color w:val="000000" w:themeColor="text1"/>
          <w:shd w:val="clear" w:color="auto" w:fill="FFFFFF"/>
        </w:rPr>
        <w:t xml:space="preserve"> </w:t>
      </w:r>
      <w:r w:rsidR="00D33ADE" w:rsidRPr="004324E7">
        <w:rPr>
          <w:color w:val="000000" w:themeColor="text1"/>
        </w:rPr>
        <w:t xml:space="preserve">підлягає реєстрації в ЄРПН за загальновстановленими ПКУ правилами </w:t>
      </w:r>
      <w:r w:rsidR="00D33ADE" w:rsidRPr="004324E7">
        <w:rPr>
          <w:bCs/>
          <w:color w:val="000000" w:themeColor="text1"/>
        </w:rPr>
        <w:t>до</w:t>
      </w:r>
      <w:r w:rsidR="00D33ADE" w:rsidRPr="004324E7">
        <w:rPr>
          <w:b/>
          <w:bCs/>
          <w:color w:val="000000" w:themeColor="text1"/>
        </w:rPr>
        <w:t xml:space="preserve"> 15 числа (включно) місяця,</w:t>
      </w:r>
      <w:r w:rsidR="00D33ADE" w:rsidRPr="004324E7">
        <w:rPr>
          <w:b/>
          <w:color w:val="000000" w:themeColor="text1"/>
        </w:rPr>
        <w:t xml:space="preserve"> наступного за місяцем, в якому вони були складені.</w:t>
      </w:r>
    </w:p>
    <w:p w:rsidR="00D33ADE" w:rsidRPr="004324E7" w:rsidRDefault="00D33ADE" w:rsidP="001F6128">
      <w:pPr>
        <w:spacing w:before="120"/>
        <w:ind w:firstLine="720"/>
        <w:jc w:val="both"/>
        <w:rPr>
          <w:b/>
          <w:color w:val="000000" w:themeColor="text1"/>
        </w:rPr>
      </w:pPr>
      <w:r w:rsidRPr="004324E7">
        <w:rPr>
          <w:bCs/>
          <w:color w:val="000000" w:themeColor="text1"/>
        </w:rPr>
        <w:t>Водночас пост</w:t>
      </w:r>
      <w:r w:rsidR="001F6128">
        <w:rPr>
          <w:bCs/>
          <w:color w:val="000000" w:themeColor="text1"/>
        </w:rPr>
        <w:t xml:space="preserve">ачальники таких товарів/послуг, </w:t>
      </w:r>
      <w:r w:rsidRPr="004324E7">
        <w:rPr>
          <w:bCs/>
          <w:color w:val="000000" w:themeColor="text1"/>
        </w:rPr>
        <w:t>щ</w:t>
      </w:r>
      <w:r w:rsidR="001F6128">
        <w:rPr>
          <w:bCs/>
          <w:color w:val="000000" w:themeColor="text1"/>
        </w:rPr>
        <w:t xml:space="preserve">о приймають участь у розподілі, </w:t>
      </w:r>
      <w:r w:rsidRPr="004324E7">
        <w:rPr>
          <w:bCs/>
          <w:color w:val="000000" w:themeColor="text1"/>
        </w:rPr>
        <w:t xml:space="preserve">реєструють ПН  в ЄРПН також включно до </w:t>
      </w:r>
      <w:r w:rsidRPr="004324E7">
        <w:rPr>
          <w:b/>
          <w:bCs/>
          <w:color w:val="000000" w:themeColor="text1"/>
        </w:rPr>
        <w:t>15 числа (включно) місяця,</w:t>
      </w:r>
      <w:r w:rsidRPr="004324E7">
        <w:rPr>
          <w:b/>
          <w:color w:val="000000" w:themeColor="text1"/>
        </w:rPr>
        <w:t xml:space="preserve"> наступного за місяцем, в якому вони були складені.</w:t>
      </w:r>
    </w:p>
    <w:p w:rsidR="00D33ADE" w:rsidRPr="004324E7" w:rsidRDefault="00D33ADE" w:rsidP="001F6128">
      <w:pPr>
        <w:spacing w:before="120"/>
        <w:ind w:firstLine="720"/>
        <w:jc w:val="both"/>
        <w:rPr>
          <w:bCs/>
          <w:color w:val="000000" w:themeColor="text1"/>
        </w:rPr>
      </w:pPr>
      <w:r w:rsidRPr="004324E7">
        <w:rPr>
          <w:bCs/>
          <w:color w:val="000000" w:themeColor="text1"/>
        </w:rPr>
        <w:t xml:space="preserve">Враховуючи значні об’єми постачань та часу на обробку податкових накладних, на практиці </w:t>
      </w:r>
      <w:r w:rsidR="001F6128">
        <w:rPr>
          <w:bCs/>
          <w:color w:val="000000" w:themeColor="text1"/>
        </w:rPr>
        <w:t>компанії-члени Палати</w:t>
      </w:r>
      <w:r w:rsidRPr="004324E7">
        <w:rPr>
          <w:bCs/>
          <w:color w:val="000000" w:themeColor="text1"/>
        </w:rPr>
        <w:t xml:space="preserve"> фактично на дату реєстрації зведеної податкової накладної на 15 число календарного місяця, наступного за </w:t>
      </w:r>
      <w:r w:rsidR="001F6128">
        <w:rPr>
          <w:bCs/>
          <w:color w:val="000000" w:themeColor="text1"/>
        </w:rPr>
        <w:t>місяцем складення ПН, не отримують</w:t>
      </w:r>
      <w:r w:rsidRPr="004324E7">
        <w:rPr>
          <w:bCs/>
          <w:color w:val="000000" w:themeColor="text1"/>
        </w:rPr>
        <w:t xml:space="preserve"> ще всіх даних щодо сформованого податкового кредиту за попередній місяць, зокрема щодо зареєстрованих ПДВ накладних від своїх постачальників. </w:t>
      </w:r>
    </w:p>
    <w:p w:rsidR="00D33ADE" w:rsidRPr="004324E7" w:rsidRDefault="00D33ADE" w:rsidP="001F6128">
      <w:pPr>
        <w:spacing w:before="120"/>
        <w:ind w:firstLine="720"/>
        <w:jc w:val="both"/>
        <w:rPr>
          <w:rFonts w:eastAsiaTheme="minorHAnsi"/>
          <w:color w:val="000000" w:themeColor="text1"/>
        </w:rPr>
      </w:pPr>
      <w:r w:rsidRPr="004324E7">
        <w:rPr>
          <w:bCs/>
          <w:color w:val="000000" w:themeColor="text1"/>
        </w:rPr>
        <w:t xml:space="preserve">Тому на останній день реєстрації в ЄРПН зведеної ПН (на 15 число місяця, </w:t>
      </w:r>
      <w:r w:rsidRPr="004324E7">
        <w:rPr>
          <w:color w:val="000000" w:themeColor="text1"/>
        </w:rPr>
        <w:t xml:space="preserve">наступного за місяцем складання зведеної ПН) </w:t>
      </w:r>
      <w:r w:rsidR="001F6128">
        <w:rPr>
          <w:bCs/>
          <w:color w:val="000000" w:themeColor="text1"/>
        </w:rPr>
        <w:t>компанії-члени Палати</w:t>
      </w:r>
      <w:r w:rsidRPr="004324E7">
        <w:rPr>
          <w:bCs/>
          <w:color w:val="000000" w:themeColor="text1"/>
        </w:rPr>
        <w:t xml:space="preserve"> </w:t>
      </w:r>
      <w:r w:rsidR="001F6128">
        <w:rPr>
          <w:bCs/>
          <w:color w:val="000000" w:themeColor="text1"/>
        </w:rPr>
        <w:t>фізично не можуть</w:t>
      </w:r>
      <w:r w:rsidRPr="004324E7">
        <w:rPr>
          <w:bCs/>
          <w:color w:val="000000" w:themeColor="text1"/>
        </w:rPr>
        <w:t xml:space="preserve"> </w:t>
      </w:r>
      <w:r w:rsidR="001F6128" w:rsidRPr="004324E7">
        <w:rPr>
          <w:bCs/>
          <w:color w:val="000000" w:themeColor="text1"/>
        </w:rPr>
        <w:t>коректо</w:t>
      </w:r>
      <w:r w:rsidRPr="004324E7">
        <w:rPr>
          <w:bCs/>
          <w:color w:val="000000" w:themeColor="text1"/>
        </w:rPr>
        <w:t xml:space="preserve"> визначити податкові зобов`язання з ПДВ. </w:t>
      </w:r>
    </w:p>
    <w:p w:rsidR="00D33ADE" w:rsidRPr="004324E7" w:rsidRDefault="00D33ADE" w:rsidP="001F6128">
      <w:pPr>
        <w:spacing w:before="120"/>
        <w:ind w:firstLine="720"/>
        <w:jc w:val="both"/>
        <w:rPr>
          <w:color w:val="000000" w:themeColor="text1"/>
        </w:rPr>
      </w:pPr>
      <w:r w:rsidRPr="004324E7">
        <w:rPr>
          <w:color w:val="000000" w:themeColor="text1"/>
        </w:rPr>
        <w:lastRenderedPageBreak/>
        <w:t>Фактично повноцінна обробка всіх отриманих та зареєстрованих в ЄРПН ПН в</w:t>
      </w:r>
      <w:r w:rsidR="001F6128">
        <w:rPr>
          <w:color w:val="000000" w:themeColor="text1"/>
        </w:rPr>
        <w:t xml:space="preserve">ід постачальників здійснюється </w:t>
      </w:r>
      <w:r w:rsidRPr="004324E7">
        <w:rPr>
          <w:color w:val="000000" w:themeColor="text1"/>
        </w:rPr>
        <w:t>до 19 числа місяця, наступного за звітним, тобто за день до граничного строку подачі декларації з ПДВ. Складання зведеної ПН в ЄРПН з порушенням встановленого законодавством строку призводить до застосування штрафів згідно ст. ст. 120</w:t>
      </w:r>
      <w:r w:rsidRPr="004324E7">
        <w:rPr>
          <w:color w:val="000000" w:themeColor="text1"/>
          <w:vertAlign w:val="superscript"/>
        </w:rPr>
        <w:t>1</w:t>
      </w:r>
      <w:r w:rsidRPr="004324E7">
        <w:rPr>
          <w:color w:val="000000" w:themeColor="text1"/>
        </w:rPr>
        <w:t>.1 ПКУ.</w:t>
      </w:r>
    </w:p>
    <w:p w:rsidR="00D33ADE" w:rsidRPr="004324E7" w:rsidRDefault="001F6128" w:rsidP="001F6128">
      <w:pPr>
        <w:spacing w:before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У цьому зв’язку, в</w:t>
      </w:r>
      <w:r w:rsidR="00D33ADE" w:rsidRPr="004324E7">
        <w:rPr>
          <w:color w:val="000000" w:themeColor="text1"/>
        </w:rPr>
        <w:t>важаємо недоцільним застосування зазн</w:t>
      </w:r>
      <w:r>
        <w:rPr>
          <w:color w:val="000000" w:themeColor="text1"/>
        </w:rPr>
        <w:t>ачених штрафів до платників ПДВ</w:t>
      </w:r>
      <w:r w:rsidR="00D33ADE" w:rsidRPr="004324E7">
        <w:rPr>
          <w:color w:val="000000" w:themeColor="text1"/>
        </w:rPr>
        <w:t xml:space="preserve"> за порушення строків реєстрації в ЄРПН зведених ПН, які складаються згідно ст.199 ПКУ. Тим більше, що такі ПН ніяк не впливають на формування ПДВ кредиту іншими платниками ПДВ. Крім того</w:t>
      </w:r>
      <w:r>
        <w:rPr>
          <w:color w:val="000000" w:themeColor="text1"/>
        </w:rPr>
        <w:t>,</w:t>
      </w:r>
      <w:r w:rsidR="00D33ADE" w:rsidRPr="004324E7">
        <w:rPr>
          <w:color w:val="000000" w:themeColor="text1"/>
        </w:rPr>
        <w:t xml:space="preserve"> </w:t>
      </w:r>
      <w:r>
        <w:rPr>
          <w:color w:val="000000" w:themeColor="text1"/>
        </w:rPr>
        <w:t>згідно норм ПКУ платник податку-</w:t>
      </w:r>
      <w:r w:rsidR="00D33ADE" w:rsidRPr="004324E7">
        <w:rPr>
          <w:color w:val="000000" w:themeColor="text1"/>
        </w:rPr>
        <w:t xml:space="preserve">постачальник зобов`язаний відобразити податкові зобов`язання з ПДВ в ПДВ декларації та сплатити ПДВ до бюджету незалежно від </w:t>
      </w:r>
      <w:r>
        <w:rPr>
          <w:color w:val="000000" w:themeColor="text1"/>
        </w:rPr>
        <w:t xml:space="preserve">факту реєстрації ним складених </w:t>
      </w:r>
      <w:r w:rsidR="00D33ADE" w:rsidRPr="004324E7">
        <w:rPr>
          <w:color w:val="000000" w:themeColor="text1"/>
        </w:rPr>
        <w:t>ПН в ЄРПН.</w:t>
      </w:r>
    </w:p>
    <w:p w:rsidR="00D33ADE" w:rsidRPr="004324E7" w:rsidRDefault="00D33ADE" w:rsidP="001F6128">
      <w:pPr>
        <w:spacing w:before="120"/>
        <w:ind w:firstLine="720"/>
        <w:jc w:val="both"/>
        <w:rPr>
          <w:color w:val="000000" w:themeColor="text1"/>
        </w:rPr>
      </w:pPr>
      <w:r w:rsidRPr="004324E7">
        <w:rPr>
          <w:color w:val="000000" w:themeColor="text1"/>
        </w:rPr>
        <w:t xml:space="preserve">Таким чином, </w:t>
      </w:r>
      <w:proofErr w:type="spellStart"/>
      <w:r w:rsidRPr="004324E7">
        <w:rPr>
          <w:color w:val="000000" w:themeColor="text1"/>
        </w:rPr>
        <w:t>нереєстрація</w:t>
      </w:r>
      <w:proofErr w:type="spellEnd"/>
      <w:r w:rsidRPr="004324E7">
        <w:rPr>
          <w:color w:val="000000" w:themeColor="text1"/>
        </w:rPr>
        <w:t>, порушення строку реєстрації зведеної ПН в ЄРПН, складеної за ст. 199 ПКУ, не призводить до ненадходження  коштів до бюджету.</w:t>
      </w:r>
    </w:p>
    <w:p w:rsidR="00D33ADE" w:rsidRPr="004324E7" w:rsidRDefault="00D33ADE" w:rsidP="001F6128">
      <w:pPr>
        <w:spacing w:before="120"/>
        <w:ind w:firstLine="720"/>
        <w:jc w:val="both"/>
        <w:rPr>
          <w:color w:val="000000" w:themeColor="text1"/>
        </w:rPr>
      </w:pPr>
      <w:r w:rsidRPr="004324E7">
        <w:rPr>
          <w:color w:val="000000" w:themeColor="text1"/>
        </w:rPr>
        <w:t>З огляду на зазначене вище, пропонуємо перелік випадків, в яких штрафні санкції за ст.</w:t>
      </w:r>
      <w:r w:rsidR="001F6128">
        <w:rPr>
          <w:color w:val="000000" w:themeColor="text1"/>
        </w:rPr>
        <w:t>120</w:t>
      </w:r>
      <w:r w:rsidRPr="001F6128">
        <w:rPr>
          <w:color w:val="000000" w:themeColor="text1"/>
          <w:vertAlign w:val="superscript"/>
        </w:rPr>
        <w:t>1</w:t>
      </w:r>
      <w:r w:rsidRPr="004324E7">
        <w:rPr>
          <w:color w:val="000000" w:themeColor="text1"/>
        </w:rPr>
        <w:t xml:space="preserve"> ПКУ не застосовуються, доповнити операціями складання зведених ПН відповідно до ст. 199 ПКУ.</w:t>
      </w:r>
    </w:p>
    <w:p w:rsidR="00D33ADE" w:rsidRPr="004324E7" w:rsidRDefault="00D33ADE" w:rsidP="001F6128">
      <w:pPr>
        <w:spacing w:before="120"/>
        <w:ind w:firstLine="720"/>
        <w:jc w:val="both"/>
        <w:rPr>
          <w:color w:val="000000" w:themeColor="text1"/>
        </w:rPr>
      </w:pPr>
      <w:r w:rsidRPr="004324E7">
        <w:rPr>
          <w:color w:val="000000" w:themeColor="text1"/>
        </w:rPr>
        <w:t xml:space="preserve">У зв`язку з цим пропонуємо </w:t>
      </w:r>
      <w:proofErr w:type="spellStart"/>
      <w:r w:rsidRPr="004324E7">
        <w:rPr>
          <w:color w:val="000000" w:themeColor="text1"/>
        </w:rPr>
        <w:t>внести</w:t>
      </w:r>
      <w:proofErr w:type="spellEnd"/>
      <w:r w:rsidRPr="004324E7">
        <w:rPr>
          <w:color w:val="000000" w:themeColor="text1"/>
        </w:rPr>
        <w:t xml:space="preserve"> </w:t>
      </w:r>
      <w:r w:rsidR="001F6128">
        <w:rPr>
          <w:color w:val="000000" w:themeColor="text1"/>
        </w:rPr>
        <w:t xml:space="preserve">відповідні </w:t>
      </w:r>
      <w:r w:rsidRPr="004324E7">
        <w:rPr>
          <w:color w:val="000000" w:themeColor="text1"/>
        </w:rPr>
        <w:t>зміни до ст. 120</w:t>
      </w:r>
      <w:r w:rsidRPr="004324E7">
        <w:rPr>
          <w:color w:val="000000" w:themeColor="text1"/>
          <w:vertAlign w:val="superscript"/>
        </w:rPr>
        <w:t>1</w:t>
      </w:r>
      <w:r w:rsidRPr="004324E7">
        <w:rPr>
          <w:color w:val="000000" w:themeColor="text1"/>
        </w:rPr>
        <w:t>.1 ПКУ (</w:t>
      </w:r>
      <w:r w:rsidR="008C3C71">
        <w:rPr>
          <w:color w:val="000000" w:themeColor="text1"/>
        </w:rPr>
        <w:t>додаються</w:t>
      </w:r>
      <w:r w:rsidRPr="004324E7">
        <w:rPr>
          <w:color w:val="000000" w:themeColor="text1"/>
        </w:rPr>
        <w:t>).</w:t>
      </w:r>
    </w:p>
    <w:p w:rsidR="00D33ADE" w:rsidRDefault="00D33ADE" w:rsidP="001F6128">
      <w:pPr>
        <w:spacing w:before="120" w:after="120"/>
        <w:ind w:firstLine="720"/>
        <w:jc w:val="both"/>
        <w:rPr>
          <w:color w:val="000000" w:themeColor="text1"/>
        </w:rPr>
      </w:pPr>
      <w:r w:rsidRPr="004324E7">
        <w:rPr>
          <w:color w:val="000000" w:themeColor="text1"/>
        </w:rPr>
        <w:t>Зазд</w:t>
      </w:r>
      <w:r w:rsidR="001F6128">
        <w:rPr>
          <w:color w:val="000000" w:themeColor="text1"/>
        </w:rPr>
        <w:t>ал</w:t>
      </w:r>
      <w:r w:rsidRPr="004324E7">
        <w:rPr>
          <w:color w:val="000000" w:themeColor="text1"/>
        </w:rPr>
        <w:t>егідь вдячні за розгляд наших пропозицій.</w:t>
      </w:r>
      <w:bookmarkStart w:id="0" w:name="_GoBack"/>
      <w:bookmarkEnd w:id="0"/>
    </w:p>
    <w:p w:rsidR="00340629" w:rsidRPr="004324E7" w:rsidRDefault="00340629" w:rsidP="001F6128">
      <w:pPr>
        <w:spacing w:after="120"/>
        <w:ind w:firstLine="720"/>
        <w:jc w:val="both"/>
        <w:rPr>
          <w:color w:val="000000"/>
          <w:bdr w:val="none" w:sz="0" w:space="0" w:color="auto" w:frame="1"/>
        </w:rPr>
      </w:pPr>
      <w:r w:rsidRPr="004324E7">
        <w:rPr>
          <w:color w:val="000000"/>
          <w:bdr w:val="none" w:sz="0" w:space="0" w:color="auto" w:frame="1"/>
        </w:rPr>
        <w:t xml:space="preserve">У разі виникнення будь-яких запитань щодо цього </w:t>
      </w:r>
      <w:r w:rsidR="004B0865">
        <w:rPr>
          <w:color w:val="000000"/>
          <w:bdr w:val="none" w:sz="0" w:space="0" w:color="auto" w:frame="1"/>
        </w:rPr>
        <w:t>листа,</w:t>
      </w:r>
      <w:r w:rsidRPr="004324E7">
        <w:rPr>
          <w:color w:val="000000"/>
          <w:bdr w:val="none" w:sz="0" w:space="0" w:color="auto" w:frame="1"/>
        </w:rPr>
        <w:t xml:space="preserve"> просимо Вас визначити відповідальну особу, яка зможе звернутися за телефоном 490-5800 та за електронною </w:t>
      </w:r>
      <w:proofErr w:type="spellStart"/>
      <w:r w:rsidRPr="004324E7">
        <w:rPr>
          <w:color w:val="000000"/>
          <w:bdr w:val="none" w:sz="0" w:space="0" w:color="auto" w:frame="1"/>
        </w:rPr>
        <w:t>адресою</w:t>
      </w:r>
      <w:proofErr w:type="spellEnd"/>
      <w:r w:rsidRPr="004324E7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4324E7">
          <w:rPr>
            <w:rStyle w:val="a9"/>
            <w:bdr w:val="none" w:sz="0" w:space="0" w:color="auto" w:frame="1"/>
          </w:rPr>
          <w:t>oprokhorovych@chamber.ua</w:t>
        </w:r>
      </w:hyperlink>
      <w:r w:rsidRPr="004324E7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4324E7">
        <w:t>оподаткування та митна політика</w:t>
      </w:r>
      <w:r w:rsidRPr="004324E7">
        <w:rPr>
          <w:color w:val="000000"/>
          <w:bdr w:val="none" w:sz="0" w:space="0" w:color="auto" w:frame="1"/>
        </w:rPr>
        <w:t xml:space="preserve">). </w:t>
      </w:r>
    </w:p>
    <w:p w:rsidR="00340629" w:rsidRPr="004324E7" w:rsidRDefault="00340629" w:rsidP="002A46F9">
      <w:pPr>
        <w:spacing w:before="120" w:after="120"/>
        <w:ind w:firstLine="709"/>
        <w:jc w:val="both"/>
      </w:pPr>
    </w:p>
    <w:p w:rsidR="00340629" w:rsidRPr="004324E7" w:rsidRDefault="00340629" w:rsidP="002A46F9">
      <w:pPr>
        <w:jc w:val="both"/>
        <w:rPr>
          <w:b/>
        </w:rPr>
      </w:pPr>
      <w:r w:rsidRPr="004324E7">
        <w:rPr>
          <w:b/>
        </w:rPr>
        <w:t>З глибокою повагою та найкращими побажаннями,</w:t>
      </w:r>
    </w:p>
    <w:p w:rsidR="00340629" w:rsidRPr="004324E7" w:rsidRDefault="00340629" w:rsidP="002A46F9">
      <w:pPr>
        <w:jc w:val="both"/>
      </w:pPr>
    </w:p>
    <w:p w:rsidR="00E96BEC" w:rsidRPr="004324E7" w:rsidRDefault="00340629" w:rsidP="002A46F9">
      <w:pPr>
        <w:jc w:val="both"/>
        <w:rPr>
          <w:b/>
        </w:rPr>
      </w:pPr>
      <w:r w:rsidRPr="004324E7">
        <w:rPr>
          <w:rStyle w:val="ab"/>
          <w:color w:val="000000"/>
        </w:rPr>
        <w:t>Президент</w:t>
      </w:r>
      <w:r w:rsidRPr="004324E7">
        <w:rPr>
          <w:rStyle w:val="ab"/>
          <w:color w:val="000000"/>
        </w:rPr>
        <w:tab/>
      </w:r>
      <w:r w:rsidRPr="004324E7">
        <w:rPr>
          <w:rStyle w:val="ab"/>
          <w:color w:val="000000"/>
        </w:rPr>
        <w:tab/>
      </w:r>
      <w:r w:rsidRPr="004324E7">
        <w:rPr>
          <w:rStyle w:val="ab"/>
          <w:color w:val="000000"/>
        </w:rPr>
        <w:tab/>
      </w:r>
      <w:r w:rsidRPr="004324E7">
        <w:rPr>
          <w:b/>
        </w:rPr>
        <w:tab/>
      </w:r>
      <w:r w:rsidRPr="004324E7">
        <w:rPr>
          <w:b/>
        </w:rPr>
        <w:tab/>
      </w:r>
      <w:r w:rsidRPr="004324E7">
        <w:rPr>
          <w:b/>
        </w:rPr>
        <w:tab/>
      </w:r>
      <w:r w:rsidRPr="004324E7">
        <w:rPr>
          <w:b/>
        </w:rPr>
        <w:tab/>
      </w:r>
      <w:r w:rsidRPr="004324E7">
        <w:rPr>
          <w:b/>
        </w:rPr>
        <w:tab/>
        <w:t xml:space="preserve">                                </w:t>
      </w:r>
      <w:r w:rsidR="006D6D91" w:rsidRPr="004324E7">
        <w:rPr>
          <w:b/>
        </w:rPr>
        <w:t xml:space="preserve"> </w:t>
      </w:r>
      <w:r w:rsidRPr="004324E7">
        <w:rPr>
          <w:b/>
        </w:rPr>
        <w:t xml:space="preserve"> Андрій </w:t>
      </w:r>
      <w:proofErr w:type="spellStart"/>
      <w:r w:rsidRPr="004324E7">
        <w:rPr>
          <w:b/>
        </w:rPr>
        <w:t>Гундер</w:t>
      </w:r>
      <w:proofErr w:type="spellEnd"/>
      <w:r w:rsidRPr="004324E7">
        <w:rPr>
          <w:b/>
        </w:rPr>
        <w:t xml:space="preserve"> </w:t>
      </w:r>
    </w:p>
    <w:p w:rsidR="00D33ADE" w:rsidRPr="004324E7" w:rsidRDefault="00D33ADE" w:rsidP="002A46F9">
      <w:pPr>
        <w:jc w:val="both"/>
        <w:rPr>
          <w:b/>
        </w:rPr>
      </w:pPr>
    </w:p>
    <w:p w:rsidR="00D33ADE" w:rsidRPr="004324E7" w:rsidRDefault="00D33ADE">
      <w:pPr>
        <w:rPr>
          <w:b/>
        </w:rPr>
      </w:pPr>
      <w:r w:rsidRPr="004324E7">
        <w:rPr>
          <w:b/>
        </w:rPr>
        <w:br w:type="page"/>
      </w:r>
    </w:p>
    <w:p w:rsidR="00D33ADE" w:rsidRDefault="00512B81" w:rsidP="00512B81">
      <w:pPr>
        <w:ind w:left="5670"/>
      </w:pPr>
      <w:r w:rsidRPr="00512B81">
        <w:lastRenderedPageBreak/>
        <w:t>Додаток до листа</w:t>
      </w:r>
      <w:r>
        <w:rPr>
          <w:b/>
          <w:color w:val="000000" w:themeColor="text1"/>
        </w:rPr>
        <w:t xml:space="preserve"> </w:t>
      </w:r>
      <w:r w:rsidRPr="004324E7">
        <w:t>Американської торгівельної палати в Україні</w:t>
      </w:r>
    </w:p>
    <w:p w:rsidR="00512B81" w:rsidRPr="00D33ADE" w:rsidRDefault="00512B81" w:rsidP="00512B81">
      <w:pPr>
        <w:ind w:left="5670"/>
        <w:rPr>
          <w:b/>
          <w:color w:val="000000" w:themeColor="text1"/>
        </w:rPr>
      </w:pPr>
      <w:r>
        <w:t xml:space="preserve">від 27.02.2017 № </w:t>
      </w:r>
    </w:p>
    <w:p w:rsidR="00D33ADE" w:rsidRPr="00D33ADE" w:rsidRDefault="00D33ADE" w:rsidP="00D33ADE">
      <w:pPr>
        <w:jc w:val="center"/>
        <w:rPr>
          <w:b/>
          <w:color w:val="000000" w:themeColor="text1"/>
        </w:rPr>
      </w:pPr>
    </w:p>
    <w:p w:rsidR="00D33ADE" w:rsidRPr="00D33ADE" w:rsidRDefault="00D33ADE" w:rsidP="00D33ADE">
      <w:pPr>
        <w:jc w:val="center"/>
        <w:rPr>
          <w:b/>
          <w:color w:val="000000" w:themeColor="text1"/>
        </w:rPr>
      </w:pPr>
      <w:r w:rsidRPr="00D33ADE">
        <w:rPr>
          <w:b/>
          <w:color w:val="000000" w:themeColor="text1"/>
        </w:rPr>
        <w:t xml:space="preserve">Порівняльна таблиця до проекту Закону України </w:t>
      </w:r>
    </w:p>
    <w:p w:rsidR="00D33ADE" w:rsidRPr="00D33ADE" w:rsidRDefault="00D33ADE" w:rsidP="00D33ADE">
      <w:pPr>
        <w:jc w:val="center"/>
        <w:rPr>
          <w:color w:val="000000" w:themeColor="text1"/>
        </w:rPr>
      </w:pPr>
      <w:r w:rsidRPr="00D33ADE">
        <w:rPr>
          <w:b/>
          <w:color w:val="000000" w:themeColor="text1"/>
        </w:rPr>
        <w:t>«Про внесення змін до Податкового кодексу України»</w:t>
      </w:r>
      <w:r w:rsidRPr="00D33ADE">
        <w:rPr>
          <w:b/>
          <w:color w:val="000000" w:themeColor="text1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  <w:gridCol w:w="4864"/>
      </w:tblGrid>
      <w:tr w:rsidR="00D33ADE" w:rsidRPr="00D33ADE" w:rsidTr="00D33ADE">
        <w:trPr>
          <w:trHeight w:val="357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DE" w:rsidRPr="00D33ADE" w:rsidRDefault="00D33ADE">
            <w:pPr>
              <w:tabs>
                <w:tab w:val="left" w:pos="1270"/>
              </w:tabs>
              <w:spacing w:before="120" w:after="120"/>
              <w:ind w:firstLine="2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3ADE">
              <w:rPr>
                <w:b/>
                <w:color w:val="000000" w:themeColor="text1"/>
              </w:rPr>
              <w:t>Зміст положення (норми) чинного законодавства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DE" w:rsidRPr="00D33ADE" w:rsidRDefault="00D33ADE">
            <w:pPr>
              <w:spacing w:before="120" w:after="120"/>
              <w:ind w:firstLine="2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3ADE">
              <w:rPr>
                <w:b/>
                <w:color w:val="000000" w:themeColor="text1"/>
              </w:rPr>
              <w:t xml:space="preserve">Зміст відповідного положення (норми) проекту </w:t>
            </w:r>
            <w:proofErr w:type="spellStart"/>
            <w:r w:rsidRPr="00D33ADE">
              <w:rPr>
                <w:b/>
                <w:color w:val="000000" w:themeColor="text1"/>
              </w:rPr>
              <w:t>акта</w:t>
            </w:r>
            <w:proofErr w:type="spellEnd"/>
          </w:p>
        </w:tc>
      </w:tr>
      <w:tr w:rsidR="00D33ADE" w:rsidRPr="00D33ADE" w:rsidTr="00D33ADE">
        <w:trPr>
          <w:trHeight w:val="3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DE" w:rsidRPr="00D33ADE" w:rsidRDefault="00D33ADE">
            <w:pPr>
              <w:spacing w:before="120" w:after="120"/>
              <w:ind w:firstLine="28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3ADE">
              <w:rPr>
                <w:b/>
                <w:color w:val="000000" w:themeColor="text1"/>
              </w:rPr>
              <w:t>ПОДАТКОВИЙ КОДЕКС УКРАЇНИ</w:t>
            </w:r>
          </w:p>
        </w:tc>
      </w:tr>
      <w:tr w:rsidR="00D33ADE" w:rsidRPr="00D33ADE" w:rsidTr="00D33ADE">
        <w:trPr>
          <w:trHeight w:val="357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E" w:rsidRPr="00D33ADE" w:rsidRDefault="00D33ADE">
            <w:pPr>
              <w:jc w:val="both"/>
              <w:rPr>
                <w:rFonts w:cstheme="minorBidi"/>
                <w:b/>
                <w:color w:val="000000" w:themeColor="text1"/>
              </w:rPr>
            </w:pPr>
            <w:r w:rsidRPr="00D33ADE">
              <w:rPr>
                <w:b/>
                <w:color w:val="000000" w:themeColor="text1"/>
              </w:rPr>
              <w:t>120</w:t>
            </w:r>
            <w:r w:rsidRPr="00D33ADE">
              <w:rPr>
                <w:b/>
                <w:color w:val="000000" w:themeColor="text1"/>
                <w:vertAlign w:val="superscript"/>
              </w:rPr>
              <w:t>1</w:t>
            </w:r>
            <w:r w:rsidRPr="00D33ADE">
              <w:rPr>
                <w:b/>
                <w:color w:val="000000" w:themeColor="text1"/>
              </w:rPr>
              <w:t>. 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обов'язкових реквізитів податкової накладної</w:t>
            </w:r>
          </w:p>
          <w:p w:rsidR="00D33ADE" w:rsidRPr="00D33ADE" w:rsidRDefault="00D33ADE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400EB3" w:rsidRDefault="00400EB3">
            <w:pPr>
              <w:jc w:val="both"/>
              <w:rPr>
                <w:color w:val="000000" w:themeColor="text1"/>
              </w:rPr>
            </w:pPr>
          </w:p>
          <w:p w:rsidR="00D33ADE" w:rsidRPr="00D33ADE" w:rsidRDefault="00D33ADE">
            <w:pPr>
              <w:jc w:val="both"/>
              <w:rPr>
                <w:color w:val="000000" w:themeColor="text1"/>
              </w:rPr>
            </w:pPr>
            <w:r w:rsidRPr="00D33ADE">
              <w:rPr>
                <w:color w:val="000000" w:themeColor="text1"/>
              </w:rPr>
              <w:t>120</w:t>
            </w:r>
            <w:r w:rsidRPr="00D33ADE">
              <w:rPr>
                <w:color w:val="000000" w:themeColor="text1"/>
                <w:vertAlign w:val="superscript"/>
              </w:rPr>
              <w:t>1</w:t>
            </w:r>
            <w:r w:rsidRPr="00D33ADE">
              <w:rPr>
                <w:color w:val="000000" w:themeColor="text1"/>
              </w:rPr>
              <w:t>.1. Порушення платниками податку на додану вартість граничного строку, передбаченого статтею 201 цього Кодексу, для реєстрації податкової накладної та/або розрахунку коригування до такої податкової накладної в Єдиному реєстрі податкових накладних (крім податкової накладної, що не надається отримувачу (покупцю), складеної на постачання товарів/послуг для операцій: які звільнені від оподаткування або які оподатковуються за нульовою ставкою</w:t>
            </w:r>
            <w:r w:rsidRPr="00D33ADE">
              <w:rPr>
                <w:b/>
                <w:color w:val="000000" w:themeColor="text1"/>
              </w:rPr>
              <w:t>)</w:t>
            </w:r>
            <w:r w:rsidRPr="00D33ADE">
              <w:rPr>
                <w:color w:val="000000" w:themeColor="text1"/>
              </w:rPr>
              <w:t xml:space="preserve"> тягне за собою накладення на платника податку на додану вартість, на якого відповідно до вимог статей 192 та 201 цього Кодексу покладено обов'язок щодо такої реєстрації, штрафу в розмірі:</w:t>
            </w:r>
          </w:p>
          <w:p w:rsidR="00400EB3" w:rsidRDefault="00400EB3">
            <w:pPr>
              <w:jc w:val="both"/>
              <w:rPr>
                <w:color w:val="000000" w:themeColor="text1"/>
              </w:rPr>
            </w:pPr>
          </w:p>
          <w:p w:rsidR="00400EB3" w:rsidRDefault="00400EB3">
            <w:pPr>
              <w:jc w:val="both"/>
              <w:rPr>
                <w:color w:val="000000" w:themeColor="text1"/>
              </w:rPr>
            </w:pPr>
          </w:p>
          <w:p w:rsidR="00400EB3" w:rsidRDefault="00400EB3">
            <w:pPr>
              <w:jc w:val="both"/>
              <w:rPr>
                <w:color w:val="000000" w:themeColor="text1"/>
              </w:rPr>
            </w:pPr>
          </w:p>
          <w:p w:rsidR="00D33ADE" w:rsidRPr="00D33ADE" w:rsidRDefault="00D33ADE">
            <w:pPr>
              <w:jc w:val="both"/>
              <w:rPr>
                <w:color w:val="000000" w:themeColor="text1"/>
              </w:rPr>
            </w:pPr>
            <w:r w:rsidRPr="00D33ADE">
              <w:rPr>
                <w:color w:val="000000" w:themeColor="text1"/>
              </w:rPr>
              <w:t>…..</w:t>
            </w:r>
          </w:p>
          <w:p w:rsidR="00D33ADE" w:rsidRPr="00D33ADE" w:rsidRDefault="00D33ADE">
            <w:pPr>
              <w:jc w:val="both"/>
              <w:rPr>
                <w:color w:val="000000" w:themeColor="text1"/>
              </w:rPr>
            </w:pPr>
          </w:p>
          <w:p w:rsidR="00D33ADE" w:rsidRPr="00D33ADE" w:rsidRDefault="00D33ADE">
            <w:pPr>
              <w:jc w:val="both"/>
              <w:rPr>
                <w:color w:val="000000" w:themeColor="text1"/>
              </w:rPr>
            </w:pPr>
            <w:r w:rsidRPr="00D33ADE">
              <w:rPr>
                <w:color w:val="000000" w:themeColor="text1"/>
              </w:rPr>
              <w:t>120</w:t>
            </w:r>
            <w:r w:rsidRPr="00D33ADE">
              <w:rPr>
                <w:color w:val="000000" w:themeColor="text1"/>
                <w:vertAlign w:val="superscript"/>
              </w:rPr>
              <w:t>1</w:t>
            </w:r>
            <w:r w:rsidRPr="00D33ADE">
              <w:rPr>
                <w:color w:val="000000" w:themeColor="text1"/>
              </w:rPr>
              <w:t xml:space="preserve">.2. Відсутність реєстрації протягом граничного строку, передбаченого статтею 201 цього Кодексу, податкової накладної та/або розрахунку коригування до такої податкової накладної в Єдиному реєстрі податкових накладних (крім податкової накладної, що не надається отримувачу (покупцю), складеної на </w:t>
            </w:r>
            <w:r w:rsidRPr="00D33ADE">
              <w:rPr>
                <w:color w:val="000000" w:themeColor="text1"/>
              </w:rPr>
              <w:lastRenderedPageBreak/>
              <w:t>постачання товарів/послуг для операцій: які звільнені від оподаткування або які оподатковуються за нульовою ставкою), що зазначена у податковому повідомленні - рішенні, складеному за результатами перевірки контролюючого органу, - тягне за собою накладення на платника податку штрафу в розмірі 50 відсотків суми податкових зобов'язань з податку на додану вартість, зазначеної у такій податковій накладній та/або розрахунку коригування до податкової накладної або від суми податку на додану вартість, нарахованого за операцією з постачання товарів/послуг, якщо податкову накладну на таку операцію не складено. У разі зупинення реєстрації податкової накладної / розрахунку коригування в Єдиному реєстрі податкових накладних згідно з пунктом 201.16 статті 201 цього Кодексу штрафні санкції, передбачені цим пунктом, не застосовуються на період зупинення такої реєстрації до прийняття відповідного рішення щодо відновлення реєстрації таких податкових накладних / розрахунків коригування згідно з підпунктом 201.16.4 пункту 201.16 статті 201 цього Кодексу.</w:t>
            </w:r>
          </w:p>
          <w:p w:rsidR="00D33ADE" w:rsidRPr="00D33ADE" w:rsidRDefault="00D33ADE">
            <w:pPr>
              <w:jc w:val="both"/>
              <w:rPr>
                <w:color w:val="000000" w:themeColor="text1"/>
              </w:rPr>
            </w:pPr>
          </w:p>
          <w:p w:rsidR="00D33ADE" w:rsidRPr="00D33ADE" w:rsidRDefault="00D33ADE">
            <w:pPr>
              <w:ind w:firstLine="284"/>
              <w:jc w:val="both"/>
              <w:rPr>
                <w:b/>
                <w:color w:val="000000" w:themeColor="text1"/>
              </w:rPr>
            </w:pPr>
          </w:p>
          <w:p w:rsidR="00D33ADE" w:rsidRPr="00D33ADE" w:rsidRDefault="00D33ADE">
            <w:pPr>
              <w:ind w:firstLine="284"/>
              <w:jc w:val="both"/>
              <w:rPr>
                <w:b/>
                <w:color w:val="000000" w:themeColor="text1"/>
              </w:rPr>
            </w:pPr>
          </w:p>
          <w:p w:rsidR="00D33ADE" w:rsidRPr="00D33ADE" w:rsidRDefault="00D33ADE">
            <w:pPr>
              <w:ind w:firstLine="284"/>
              <w:jc w:val="both"/>
              <w:rPr>
                <w:b/>
                <w:color w:val="000000" w:themeColor="text1"/>
              </w:rPr>
            </w:pPr>
          </w:p>
          <w:p w:rsidR="00D33ADE" w:rsidRPr="00D33ADE" w:rsidRDefault="00D33ADE">
            <w:pPr>
              <w:ind w:firstLine="284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E" w:rsidRPr="00D33ADE" w:rsidRDefault="00D33ADE">
            <w:pPr>
              <w:jc w:val="both"/>
              <w:rPr>
                <w:rFonts w:cstheme="minorBidi"/>
                <w:b/>
                <w:color w:val="000000" w:themeColor="text1"/>
              </w:rPr>
            </w:pPr>
            <w:r w:rsidRPr="00D33ADE">
              <w:rPr>
                <w:b/>
                <w:color w:val="000000" w:themeColor="text1"/>
              </w:rPr>
              <w:lastRenderedPageBreak/>
              <w:t>120</w:t>
            </w:r>
            <w:r w:rsidRPr="00D33ADE">
              <w:rPr>
                <w:b/>
                <w:color w:val="000000" w:themeColor="text1"/>
                <w:vertAlign w:val="superscript"/>
              </w:rPr>
              <w:t>1</w:t>
            </w:r>
            <w:r w:rsidRPr="00D33ADE">
              <w:rPr>
                <w:b/>
                <w:color w:val="000000" w:themeColor="text1"/>
              </w:rPr>
              <w:t>. 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обов'язкових реквізитів податкової накладної</w:t>
            </w:r>
          </w:p>
          <w:p w:rsidR="00400EB3" w:rsidRDefault="00400EB3">
            <w:pPr>
              <w:jc w:val="both"/>
              <w:rPr>
                <w:color w:val="000000" w:themeColor="text1"/>
              </w:rPr>
            </w:pPr>
          </w:p>
          <w:p w:rsidR="00D33ADE" w:rsidRPr="00D33ADE" w:rsidRDefault="00D33ADE">
            <w:pPr>
              <w:jc w:val="both"/>
              <w:rPr>
                <w:b/>
                <w:color w:val="000000" w:themeColor="text1"/>
              </w:rPr>
            </w:pPr>
            <w:r w:rsidRPr="00D33ADE">
              <w:rPr>
                <w:color w:val="000000" w:themeColor="text1"/>
              </w:rPr>
              <w:t>120</w:t>
            </w:r>
            <w:r w:rsidRPr="00D33ADE">
              <w:rPr>
                <w:color w:val="000000" w:themeColor="text1"/>
                <w:vertAlign w:val="superscript"/>
              </w:rPr>
              <w:t>1</w:t>
            </w:r>
            <w:r w:rsidRPr="00D33ADE">
              <w:rPr>
                <w:color w:val="000000" w:themeColor="text1"/>
              </w:rPr>
              <w:t xml:space="preserve">.1. Порушення платниками податку на додану вартість граничного строку, передбаченого статтею 201 цього Кодексу, для реєстрації податкової накладної та/або розрахунку коригування до такої податкової накладної в Єдиному реєстрі податкових накладних </w:t>
            </w:r>
            <w:r w:rsidRPr="00D33ADE">
              <w:rPr>
                <w:b/>
                <w:color w:val="000000" w:themeColor="text1"/>
              </w:rPr>
              <w:t>(</w:t>
            </w:r>
            <w:r w:rsidRPr="00D33ADE">
              <w:rPr>
                <w:b/>
                <w:color w:val="000000" w:themeColor="text1"/>
                <w:u w:val="single"/>
              </w:rPr>
              <w:t>крім зведеної податкової накладної, складеної згідно з ст. 199 ПКУ;</w:t>
            </w:r>
            <w:r w:rsidRPr="00D33ADE">
              <w:rPr>
                <w:b/>
                <w:color w:val="000000" w:themeColor="text1"/>
              </w:rPr>
              <w:t xml:space="preserve"> податкової накладної, складеної на постачання товарів/послуг для операцій: які звільнені від оподаткування або які оподатковуються за нульовою ставкою)</w:t>
            </w:r>
            <w:r w:rsidRPr="00D33ADE">
              <w:rPr>
                <w:color w:val="000000" w:themeColor="text1"/>
              </w:rPr>
              <w:t xml:space="preserve"> тягне за собою накладення на платника податку на додану вартість, на якого відповідно до вимог статей 192 та 201 цього Кодексу покладено обов'язок щодо такої реєстрації, штрафу в розмірі:</w:t>
            </w:r>
          </w:p>
          <w:p w:rsidR="00400EB3" w:rsidRDefault="00400EB3">
            <w:pPr>
              <w:jc w:val="both"/>
              <w:rPr>
                <w:color w:val="000000" w:themeColor="text1"/>
              </w:rPr>
            </w:pPr>
          </w:p>
          <w:p w:rsidR="00D33ADE" w:rsidRPr="00D33ADE" w:rsidRDefault="00D33ADE">
            <w:pPr>
              <w:jc w:val="both"/>
              <w:rPr>
                <w:color w:val="000000" w:themeColor="text1"/>
              </w:rPr>
            </w:pPr>
            <w:r w:rsidRPr="00D33ADE">
              <w:rPr>
                <w:color w:val="000000" w:themeColor="text1"/>
              </w:rPr>
              <w:t>…..</w:t>
            </w:r>
          </w:p>
          <w:p w:rsidR="00400EB3" w:rsidRDefault="00400EB3">
            <w:pPr>
              <w:jc w:val="both"/>
              <w:rPr>
                <w:color w:val="000000" w:themeColor="text1"/>
              </w:rPr>
            </w:pPr>
          </w:p>
          <w:p w:rsidR="00D33ADE" w:rsidRPr="00D33ADE" w:rsidRDefault="00D33ADE">
            <w:pPr>
              <w:jc w:val="both"/>
              <w:rPr>
                <w:color w:val="000000" w:themeColor="text1"/>
              </w:rPr>
            </w:pPr>
            <w:r w:rsidRPr="00D33ADE">
              <w:rPr>
                <w:color w:val="000000" w:themeColor="text1"/>
              </w:rPr>
              <w:t>120</w:t>
            </w:r>
            <w:r w:rsidRPr="00D33ADE">
              <w:rPr>
                <w:color w:val="000000" w:themeColor="text1"/>
                <w:vertAlign w:val="superscript"/>
              </w:rPr>
              <w:t>1</w:t>
            </w:r>
            <w:r w:rsidRPr="00D33ADE">
              <w:rPr>
                <w:color w:val="000000" w:themeColor="text1"/>
              </w:rPr>
              <w:t xml:space="preserve">.2. Відсутність реєстрації протягом граничного строку, передбаченого статтею 201 цього Кодексу, податкової накладної та/або розрахунку коригування до такої податкової накладної в Єдиному реєстрі податкових накладних </w:t>
            </w:r>
            <w:r w:rsidRPr="00D33ADE">
              <w:rPr>
                <w:b/>
                <w:color w:val="000000" w:themeColor="text1"/>
              </w:rPr>
              <w:t>(</w:t>
            </w:r>
            <w:r w:rsidRPr="00D33ADE">
              <w:rPr>
                <w:b/>
                <w:color w:val="000000" w:themeColor="text1"/>
                <w:u w:val="single"/>
              </w:rPr>
              <w:t xml:space="preserve">крім зведеної податкової накладної, складеної згідно з </w:t>
            </w:r>
            <w:r w:rsidRPr="00D33ADE">
              <w:rPr>
                <w:b/>
                <w:color w:val="000000" w:themeColor="text1"/>
                <w:u w:val="single"/>
              </w:rPr>
              <w:lastRenderedPageBreak/>
              <w:t>ст. 199 ПКУ;</w:t>
            </w:r>
            <w:r w:rsidR="00400EB3">
              <w:rPr>
                <w:b/>
                <w:color w:val="000000" w:themeColor="text1"/>
              </w:rPr>
              <w:t xml:space="preserve"> </w:t>
            </w:r>
            <w:r w:rsidRPr="00D33ADE">
              <w:rPr>
                <w:b/>
                <w:color w:val="000000" w:themeColor="text1"/>
              </w:rPr>
              <w:t>податкової накладної, складеної на постачання товарів/послуг для операцій: які звільнені від оподаткування або які оподатковуються за нульовою ставкою)</w:t>
            </w:r>
            <w:r w:rsidRPr="00400EB3">
              <w:rPr>
                <w:color w:val="000000" w:themeColor="text1"/>
              </w:rPr>
              <w:t xml:space="preserve">, що </w:t>
            </w:r>
            <w:r w:rsidRPr="00D33ADE">
              <w:rPr>
                <w:color w:val="000000" w:themeColor="text1"/>
              </w:rPr>
              <w:t>зазначена у податковому повідомленні - рішенні, складеному за результатами перевірки контролюючого органу, - тягне за собою накладення на платника податку штрафу в розмірі 50 відсотків суми податкових зобов'язань з податку на додану вартість, зазначеної у такій податковій накладній та/або розрахунку коригування до податкової накладної або від суми податку на додану вартість, нарахованого за операцією з постачання товарів/послуг, якщо податкову накладну на таку операцію не складено. У разі зупинення реєстрації податкової накладної / розрахунку коригування в Єдиному реєстрі податкових накладних згідно з пунктом 201.16 статті 201 цього Кодексу штрафні санкції, передбачені цим пунктом, не застосовуються на період зупинення такої реєстрації до прийняття відповідного рішення щодо відновлення реєстрації таких податкових накладних / розрахунків коригування згідно з підпунктом 201.16.4 пункту 201.16 статті 201 цього Кодексу.</w:t>
            </w:r>
          </w:p>
          <w:p w:rsidR="00D33ADE" w:rsidRPr="00D33ADE" w:rsidRDefault="00D33ADE">
            <w:pPr>
              <w:jc w:val="both"/>
              <w:rPr>
                <w:color w:val="000000" w:themeColor="text1"/>
              </w:rPr>
            </w:pPr>
          </w:p>
          <w:p w:rsidR="00D33ADE" w:rsidRPr="00D33ADE" w:rsidRDefault="00D33ADE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D33ADE" w:rsidRPr="00D33ADE" w:rsidRDefault="00D33ADE" w:rsidP="00D33ADE">
      <w:pPr>
        <w:ind w:left="-567" w:firstLine="720"/>
        <w:rPr>
          <w:rFonts w:asciiTheme="minorHAnsi" w:eastAsiaTheme="minorHAnsi" w:hAnsiTheme="minorHAnsi" w:cstheme="minorBidi"/>
          <w:i/>
          <w:color w:val="000000" w:themeColor="text1"/>
          <w:sz w:val="22"/>
          <w:szCs w:val="22"/>
        </w:rPr>
      </w:pPr>
    </w:p>
    <w:p w:rsidR="00D33ADE" w:rsidRPr="00D33ADE" w:rsidRDefault="00D33ADE" w:rsidP="00D33ADE">
      <w:pPr>
        <w:spacing w:before="120"/>
        <w:ind w:left="-142"/>
        <w:jc w:val="both"/>
        <w:rPr>
          <w:color w:val="000000" w:themeColor="text1"/>
        </w:rPr>
      </w:pPr>
    </w:p>
    <w:p w:rsidR="00D33ADE" w:rsidRPr="00D33ADE" w:rsidRDefault="00D33ADE" w:rsidP="00D33ADE">
      <w:pPr>
        <w:rPr>
          <w:rFonts w:asciiTheme="minorHAnsi" w:hAnsiTheme="minorHAnsi" w:cstheme="minorBidi"/>
        </w:rPr>
      </w:pPr>
    </w:p>
    <w:p w:rsidR="00D33ADE" w:rsidRPr="00D33ADE" w:rsidRDefault="00D33ADE" w:rsidP="002A46F9">
      <w:pPr>
        <w:jc w:val="both"/>
        <w:rPr>
          <w:b/>
        </w:rPr>
      </w:pPr>
    </w:p>
    <w:sectPr w:rsidR="00D33ADE" w:rsidRPr="00D33ADE" w:rsidSect="00A97B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70" w:rsidRDefault="00502870" w:rsidP="00742BAD">
      <w:r>
        <w:separator/>
      </w:r>
    </w:p>
  </w:endnote>
  <w:endnote w:type="continuationSeparator" w:id="0">
    <w:p w:rsidR="00502870" w:rsidRDefault="00502870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4" w:rsidRDefault="000603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A0" w:rsidRPr="00EA068F" w:rsidRDefault="008657A0" w:rsidP="008657A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8657A0" w:rsidRPr="00FD004B" w:rsidRDefault="008657A0" w:rsidP="008657A0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Кері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Надія Васильєва, </w:t>
    </w:r>
    <w:r w:rsidRPr="00EF1159">
      <w:rPr>
        <w:rFonts w:ascii="Arial" w:hAnsi="Arial" w:cs="Arial"/>
        <w:i/>
        <w:color w:val="0F243E"/>
        <w:sz w:val="16"/>
        <w:szCs w:val="16"/>
      </w:rPr>
      <w:t>“Майкрософт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Скарбник; Олег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Секретар; Сергій Чорний, </w:t>
    </w:r>
    <w:r w:rsidRPr="00EF1159">
      <w:rPr>
        <w:rFonts w:ascii="Arial" w:hAnsi="Arial" w:cs="Arial"/>
        <w:i/>
        <w:color w:val="0F243E"/>
        <w:sz w:val="16"/>
        <w:szCs w:val="16"/>
      </w:rPr>
      <w:t>“Бейкер і Макензі”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Юридичний радник;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Стівен Фішер, </w:t>
    </w:r>
    <w:r w:rsidRPr="00EF1159">
      <w:rPr>
        <w:rFonts w:ascii="Arial" w:hAnsi="Arial" w:cs="Arial"/>
        <w:i/>
        <w:color w:val="0F243E"/>
        <w:sz w:val="16"/>
        <w:szCs w:val="16"/>
      </w:rPr>
      <w:t>"СІТІ";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"Каргілл".</w:t>
    </w:r>
  </w:p>
  <w:p w:rsidR="008657A0" w:rsidRPr="00C35D47" w:rsidRDefault="008657A0" w:rsidP="008657A0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4" w:rsidRDefault="00060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70" w:rsidRDefault="00502870" w:rsidP="00742BAD">
      <w:r>
        <w:separator/>
      </w:r>
    </w:p>
  </w:footnote>
  <w:footnote w:type="continuationSeparator" w:id="0">
    <w:p w:rsidR="00502870" w:rsidRDefault="00502870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4" w:rsidRDefault="0006034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274" o:spid="_x0000_s2050" type="#_x0000_t136" style="position:absolute;margin-left:0;margin-top:0;width:506.75pt;height:20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060344" w:rsidP="008657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275" o:spid="_x0000_s2051" type="#_x0000_t136" style="position:absolute;margin-left:0;margin-top:0;width:506.75pt;height:20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8657A0">
      <w:rPr>
        <w:noProof/>
        <w:lang w:val="en-US" w:eastAsia="en-US"/>
      </w:rPr>
      <w:drawing>
        <wp:inline distT="0" distB="0" distL="0" distR="0">
          <wp:extent cx="6667500" cy="714375"/>
          <wp:effectExtent l="0" t="0" r="0" b="9525"/>
          <wp:docPr id="1" name="Рисунок 1" descr="c_u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u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2314" cy="72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328" w:rsidRPr="00847328" w:rsidRDefault="00847328" w:rsidP="00847328">
    <w:pPr>
      <w:pStyle w:val="a3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4" w:rsidRDefault="0006034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273" o:spid="_x0000_s2049" type="#_x0000_t136" style="position:absolute;margin-left:0;margin-top:0;width:506.75pt;height:20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;visibility:visible;mso-wrap-style:square" o:bullet="t">
        <v:imagedata r:id="rId1" o:title=""/>
      </v:shape>
    </w:pict>
  </w:numPicBullet>
  <w:abstractNum w:abstractNumId="0">
    <w:nsid w:val="046C5DA9"/>
    <w:multiLevelType w:val="hybridMultilevel"/>
    <w:tmpl w:val="4C3E6122"/>
    <w:lvl w:ilvl="0" w:tplc="8F22B1EC">
      <w:start w:val="240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6307"/>
    <w:multiLevelType w:val="hybridMultilevel"/>
    <w:tmpl w:val="9ED26978"/>
    <w:lvl w:ilvl="0" w:tplc="769E1C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9"/>
  </w:num>
  <w:num w:numId="11">
    <w:abstractNumId w:val="7"/>
  </w:num>
  <w:num w:numId="12">
    <w:abstractNumId w:val="2"/>
  </w:num>
  <w:num w:numId="13">
    <w:abstractNumId w:val="20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17ACA"/>
    <w:rsid w:val="0002094A"/>
    <w:rsid w:val="000209B7"/>
    <w:rsid w:val="00022B83"/>
    <w:rsid w:val="0004037E"/>
    <w:rsid w:val="00040FBE"/>
    <w:rsid w:val="000426AB"/>
    <w:rsid w:val="000429DF"/>
    <w:rsid w:val="00047D13"/>
    <w:rsid w:val="00055E8B"/>
    <w:rsid w:val="000563D0"/>
    <w:rsid w:val="00060344"/>
    <w:rsid w:val="00065140"/>
    <w:rsid w:val="00067386"/>
    <w:rsid w:val="000712AD"/>
    <w:rsid w:val="000713D1"/>
    <w:rsid w:val="00072CB3"/>
    <w:rsid w:val="00075E66"/>
    <w:rsid w:val="000764D8"/>
    <w:rsid w:val="00082B03"/>
    <w:rsid w:val="0008718A"/>
    <w:rsid w:val="00090086"/>
    <w:rsid w:val="00091728"/>
    <w:rsid w:val="000A5203"/>
    <w:rsid w:val="000B0DBE"/>
    <w:rsid w:val="000C1FA2"/>
    <w:rsid w:val="000C3606"/>
    <w:rsid w:val="000C3DEB"/>
    <w:rsid w:val="000D18EA"/>
    <w:rsid w:val="000D54DB"/>
    <w:rsid w:val="000E1D29"/>
    <w:rsid w:val="000E3826"/>
    <w:rsid w:val="000E63EE"/>
    <w:rsid w:val="000E6FDD"/>
    <w:rsid w:val="000F0214"/>
    <w:rsid w:val="000F2D2D"/>
    <w:rsid w:val="000F30BD"/>
    <w:rsid w:val="00107751"/>
    <w:rsid w:val="00110408"/>
    <w:rsid w:val="001121F8"/>
    <w:rsid w:val="001129C6"/>
    <w:rsid w:val="001144A8"/>
    <w:rsid w:val="001214A0"/>
    <w:rsid w:val="0012374D"/>
    <w:rsid w:val="00135255"/>
    <w:rsid w:val="00135591"/>
    <w:rsid w:val="001368E3"/>
    <w:rsid w:val="0014059B"/>
    <w:rsid w:val="0015132D"/>
    <w:rsid w:val="00154087"/>
    <w:rsid w:val="00165464"/>
    <w:rsid w:val="00167C1D"/>
    <w:rsid w:val="0017082C"/>
    <w:rsid w:val="00170DAB"/>
    <w:rsid w:val="00173309"/>
    <w:rsid w:val="00176FC0"/>
    <w:rsid w:val="001802E5"/>
    <w:rsid w:val="00182929"/>
    <w:rsid w:val="0018462B"/>
    <w:rsid w:val="0018481A"/>
    <w:rsid w:val="001949C6"/>
    <w:rsid w:val="001A079C"/>
    <w:rsid w:val="001A49ED"/>
    <w:rsid w:val="001A7A1C"/>
    <w:rsid w:val="001B1E0E"/>
    <w:rsid w:val="001C1914"/>
    <w:rsid w:val="001C5DFB"/>
    <w:rsid w:val="001C6787"/>
    <w:rsid w:val="001E3CE4"/>
    <w:rsid w:val="001F2EDF"/>
    <w:rsid w:val="001F6128"/>
    <w:rsid w:val="001F6D29"/>
    <w:rsid w:val="00201D61"/>
    <w:rsid w:val="00204B14"/>
    <w:rsid w:val="002055F9"/>
    <w:rsid w:val="00206E58"/>
    <w:rsid w:val="002129E8"/>
    <w:rsid w:val="00215A38"/>
    <w:rsid w:val="002250C8"/>
    <w:rsid w:val="00230124"/>
    <w:rsid w:val="002424FC"/>
    <w:rsid w:val="002722B6"/>
    <w:rsid w:val="002819F1"/>
    <w:rsid w:val="00286295"/>
    <w:rsid w:val="00293BCD"/>
    <w:rsid w:val="00294906"/>
    <w:rsid w:val="002A1E61"/>
    <w:rsid w:val="002A2A76"/>
    <w:rsid w:val="002A46F9"/>
    <w:rsid w:val="002B416F"/>
    <w:rsid w:val="002B41E3"/>
    <w:rsid w:val="002B60F0"/>
    <w:rsid w:val="002C06AF"/>
    <w:rsid w:val="002C2A85"/>
    <w:rsid w:val="002D1292"/>
    <w:rsid w:val="002E03FB"/>
    <w:rsid w:val="002E1592"/>
    <w:rsid w:val="002F10D6"/>
    <w:rsid w:val="002F3370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46CE2"/>
    <w:rsid w:val="00350E18"/>
    <w:rsid w:val="0036110F"/>
    <w:rsid w:val="0036249D"/>
    <w:rsid w:val="0036794C"/>
    <w:rsid w:val="00377540"/>
    <w:rsid w:val="00385169"/>
    <w:rsid w:val="00386D3A"/>
    <w:rsid w:val="00387FFC"/>
    <w:rsid w:val="003979A2"/>
    <w:rsid w:val="003A1F50"/>
    <w:rsid w:val="003B511D"/>
    <w:rsid w:val="003B5ED9"/>
    <w:rsid w:val="003B74BB"/>
    <w:rsid w:val="003C1500"/>
    <w:rsid w:val="003C5FF7"/>
    <w:rsid w:val="003D520D"/>
    <w:rsid w:val="003D6133"/>
    <w:rsid w:val="003E256D"/>
    <w:rsid w:val="003E4E18"/>
    <w:rsid w:val="003F0939"/>
    <w:rsid w:val="003F7D10"/>
    <w:rsid w:val="00400EB3"/>
    <w:rsid w:val="00402F84"/>
    <w:rsid w:val="00404E0F"/>
    <w:rsid w:val="00410837"/>
    <w:rsid w:val="00411DF4"/>
    <w:rsid w:val="00413B48"/>
    <w:rsid w:val="00420ED4"/>
    <w:rsid w:val="004324E7"/>
    <w:rsid w:val="004329B3"/>
    <w:rsid w:val="004329E6"/>
    <w:rsid w:val="004364BC"/>
    <w:rsid w:val="00440422"/>
    <w:rsid w:val="00442194"/>
    <w:rsid w:val="0045328F"/>
    <w:rsid w:val="00465F45"/>
    <w:rsid w:val="00466C22"/>
    <w:rsid w:val="00472201"/>
    <w:rsid w:val="00484E55"/>
    <w:rsid w:val="00487357"/>
    <w:rsid w:val="00487B06"/>
    <w:rsid w:val="00496C90"/>
    <w:rsid w:val="00497FFD"/>
    <w:rsid w:val="004A043D"/>
    <w:rsid w:val="004B0865"/>
    <w:rsid w:val="004B4344"/>
    <w:rsid w:val="004B4D55"/>
    <w:rsid w:val="004B64F6"/>
    <w:rsid w:val="004C0963"/>
    <w:rsid w:val="004C15D3"/>
    <w:rsid w:val="004C3FCF"/>
    <w:rsid w:val="004C6007"/>
    <w:rsid w:val="004D1369"/>
    <w:rsid w:val="004D278F"/>
    <w:rsid w:val="004D6EDB"/>
    <w:rsid w:val="004E394C"/>
    <w:rsid w:val="004E53EF"/>
    <w:rsid w:val="004E7215"/>
    <w:rsid w:val="004F34E8"/>
    <w:rsid w:val="00502870"/>
    <w:rsid w:val="0050730B"/>
    <w:rsid w:val="00512B81"/>
    <w:rsid w:val="00522676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8338E"/>
    <w:rsid w:val="00590E60"/>
    <w:rsid w:val="00593A86"/>
    <w:rsid w:val="005A0673"/>
    <w:rsid w:val="005A27B1"/>
    <w:rsid w:val="005A6A22"/>
    <w:rsid w:val="005B66B8"/>
    <w:rsid w:val="005C0201"/>
    <w:rsid w:val="005C2BC3"/>
    <w:rsid w:val="005C35C7"/>
    <w:rsid w:val="005D0C5B"/>
    <w:rsid w:val="005D49FE"/>
    <w:rsid w:val="005D7303"/>
    <w:rsid w:val="005E64FC"/>
    <w:rsid w:val="005E7B0A"/>
    <w:rsid w:val="005F1110"/>
    <w:rsid w:val="006007A6"/>
    <w:rsid w:val="00612DEE"/>
    <w:rsid w:val="00612EE6"/>
    <w:rsid w:val="00615BFD"/>
    <w:rsid w:val="00624983"/>
    <w:rsid w:val="0064250F"/>
    <w:rsid w:val="00642A4C"/>
    <w:rsid w:val="0064737E"/>
    <w:rsid w:val="00682652"/>
    <w:rsid w:val="00682C77"/>
    <w:rsid w:val="0068417E"/>
    <w:rsid w:val="006A0F1F"/>
    <w:rsid w:val="006A48BA"/>
    <w:rsid w:val="006A63D0"/>
    <w:rsid w:val="006B26A5"/>
    <w:rsid w:val="006C6ED9"/>
    <w:rsid w:val="006D02CA"/>
    <w:rsid w:val="006D63E3"/>
    <w:rsid w:val="006D6942"/>
    <w:rsid w:val="006D6D91"/>
    <w:rsid w:val="006E0B96"/>
    <w:rsid w:val="006E0DC7"/>
    <w:rsid w:val="00712510"/>
    <w:rsid w:val="00722997"/>
    <w:rsid w:val="007325B2"/>
    <w:rsid w:val="00742BAD"/>
    <w:rsid w:val="0076187F"/>
    <w:rsid w:val="00765CFE"/>
    <w:rsid w:val="00781397"/>
    <w:rsid w:val="00784D33"/>
    <w:rsid w:val="00784D53"/>
    <w:rsid w:val="0078776B"/>
    <w:rsid w:val="007939AA"/>
    <w:rsid w:val="007A2437"/>
    <w:rsid w:val="007A2E22"/>
    <w:rsid w:val="007A465A"/>
    <w:rsid w:val="007C2209"/>
    <w:rsid w:val="007C4A88"/>
    <w:rsid w:val="007C500B"/>
    <w:rsid w:val="007C508D"/>
    <w:rsid w:val="007D0A93"/>
    <w:rsid w:val="007D65F6"/>
    <w:rsid w:val="007E1FAE"/>
    <w:rsid w:val="007E5E5D"/>
    <w:rsid w:val="007E6323"/>
    <w:rsid w:val="007E7B79"/>
    <w:rsid w:val="007F3122"/>
    <w:rsid w:val="007F31E2"/>
    <w:rsid w:val="007F381B"/>
    <w:rsid w:val="007F691E"/>
    <w:rsid w:val="00803852"/>
    <w:rsid w:val="008066BB"/>
    <w:rsid w:val="00807AD4"/>
    <w:rsid w:val="00812F63"/>
    <w:rsid w:val="008135B8"/>
    <w:rsid w:val="00813CD7"/>
    <w:rsid w:val="00822E86"/>
    <w:rsid w:val="008253F3"/>
    <w:rsid w:val="00826CC3"/>
    <w:rsid w:val="008332BF"/>
    <w:rsid w:val="00834080"/>
    <w:rsid w:val="008379AC"/>
    <w:rsid w:val="00837CAC"/>
    <w:rsid w:val="008406CF"/>
    <w:rsid w:val="00847328"/>
    <w:rsid w:val="008509D2"/>
    <w:rsid w:val="00851029"/>
    <w:rsid w:val="0085755E"/>
    <w:rsid w:val="008657A0"/>
    <w:rsid w:val="00866DC7"/>
    <w:rsid w:val="00876D67"/>
    <w:rsid w:val="00877CFB"/>
    <w:rsid w:val="008821A7"/>
    <w:rsid w:val="00887600"/>
    <w:rsid w:val="0089188B"/>
    <w:rsid w:val="0089440A"/>
    <w:rsid w:val="008A6C42"/>
    <w:rsid w:val="008B0CB1"/>
    <w:rsid w:val="008B4252"/>
    <w:rsid w:val="008C17A6"/>
    <w:rsid w:val="008C32A0"/>
    <w:rsid w:val="008C3C71"/>
    <w:rsid w:val="008C457F"/>
    <w:rsid w:val="008D45A8"/>
    <w:rsid w:val="008D61F5"/>
    <w:rsid w:val="008D7BE7"/>
    <w:rsid w:val="008E18A2"/>
    <w:rsid w:val="008F264B"/>
    <w:rsid w:val="008F712D"/>
    <w:rsid w:val="009029FE"/>
    <w:rsid w:val="00912808"/>
    <w:rsid w:val="00913EF0"/>
    <w:rsid w:val="009165BF"/>
    <w:rsid w:val="00920E9D"/>
    <w:rsid w:val="0092529A"/>
    <w:rsid w:val="00926D59"/>
    <w:rsid w:val="00933FA5"/>
    <w:rsid w:val="0093791A"/>
    <w:rsid w:val="00943E60"/>
    <w:rsid w:val="00947846"/>
    <w:rsid w:val="009522E6"/>
    <w:rsid w:val="009553F2"/>
    <w:rsid w:val="00965AA4"/>
    <w:rsid w:val="00966714"/>
    <w:rsid w:val="00973BDE"/>
    <w:rsid w:val="009751DE"/>
    <w:rsid w:val="00980DE8"/>
    <w:rsid w:val="00990EA9"/>
    <w:rsid w:val="009A0B4F"/>
    <w:rsid w:val="009A3AA3"/>
    <w:rsid w:val="009A4C99"/>
    <w:rsid w:val="009B0E3C"/>
    <w:rsid w:val="009B2C07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54CD"/>
    <w:rsid w:val="00A4627F"/>
    <w:rsid w:val="00A479EB"/>
    <w:rsid w:val="00A521C9"/>
    <w:rsid w:val="00A61CA9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0758"/>
    <w:rsid w:val="00AF3B32"/>
    <w:rsid w:val="00B05663"/>
    <w:rsid w:val="00B05BD1"/>
    <w:rsid w:val="00B15706"/>
    <w:rsid w:val="00B31BAD"/>
    <w:rsid w:val="00B32412"/>
    <w:rsid w:val="00B33EF2"/>
    <w:rsid w:val="00B35E9D"/>
    <w:rsid w:val="00B37528"/>
    <w:rsid w:val="00B4097A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8453D"/>
    <w:rsid w:val="00BA16F8"/>
    <w:rsid w:val="00BA1718"/>
    <w:rsid w:val="00BA584D"/>
    <w:rsid w:val="00BA7398"/>
    <w:rsid w:val="00BB3A6A"/>
    <w:rsid w:val="00BB48EA"/>
    <w:rsid w:val="00BC5D44"/>
    <w:rsid w:val="00BD1FE1"/>
    <w:rsid w:val="00BD2ADB"/>
    <w:rsid w:val="00BD2FF7"/>
    <w:rsid w:val="00BD4DF2"/>
    <w:rsid w:val="00BD6B77"/>
    <w:rsid w:val="00BE65BC"/>
    <w:rsid w:val="00BE692C"/>
    <w:rsid w:val="00BF3690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361E3"/>
    <w:rsid w:val="00C40FA3"/>
    <w:rsid w:val="00C534D2"/>
    <w:rsid w:val="00C5587F"/>
    <w:rsid w:val="00C5750B"/>
    <w:rsid w:val="00C76D36"/>
    <w:rsid w:val="00C80404"/>
    <w:rsid w:val="00C82144"/>
    <w:rsid w:val="00C879B8"/>
    <w:rsid w:val="00C976E7"/>
    <w:rsid w:val="00CA1616"/>
    <w:rsid w:val="00CA6F7B"/>
    <w:rsid w:val="00CA6FBF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3ADE"/>
    <w:rsid w:val="00D35429"/>
    <w:rsid w:val="00D37CEF"/>
    <w:rsid w:val="00D54B7C"/>
    <w:rsid w:val="00D60563"/>
    <w:rsid w:val="00D631F6"/>
    <w:rsid w:val="00D67749"/>
    <w:rsid w:val="00D71F0F"/>
    <w:rsid w:val="00D71F8C"/>
    <w:rsid w:val="00D73591"/>
    <w:rsid w:val="00D801F9"/>
    <w:rsid w:val="00D865DE"/>
    <w:rsid w:val="00D942BF"/>
    <w:rsid w:val="00DA1CCE"/>
    <w:rsid w:val="00DB2235"/>
    <w:rsid w:val="00DB5AB3"/>
    <w:rsid w:val="00DB67E5"/>
    <w:rsid w:val="00E10551"/>
    <w:rsid w:val="00E114C1"/>
    <w:rsid w:val="00E1793E"/>
    <w:rsid w:val="00E25243"/>
    <w:rsid w:val="00E33D24"/>
    <w:rsid w:val="00E3630A"/>
    <w:rsid w:val="00E441CD"/>
    <w:rsid w:val="00E450CA"/>
    <w:rsid w:val="00E45B8B"/>
    <w:rsid w:val="00E54F78"/>
    <w:rsid w:val="00E616CC"/>
    <w:rsid w:val="00E67AE6"/>
    <w:rsid w:val="00E76058"/>
    <w:rsid w:val="00E83BB7"/>
    <w:rsid w:val="00E9331F"/>
    <w:rsid w:val="00E96BEC"/>
    <w:rsid w:val="00EA068F"/>
    <w:rsid w:val="00EA2ACF"/>
    <w:rsid w:val="00EA2D5C"/>
    <w:rsid w:val="00EA68C8"/>
    <w:rsid w:val="00EB3263"/>
    <w:rsid w:val="00EB7C0A"/>
    <w:rsid w:val="00EC0D5E"/>
    <w:rsid w:val="00EC2270"/>
    <w:rsid w:val="00ED02DD"/>
    <w:rsid w:val="00ED2E7E"/>
    <w:rsid w:val="00ED417D"/>
    <w:rsid w:val="00ED4439"/>
    <w:rsid w:val="00EE0ADE"/>
    <w:rsid w:val="00EE1FBA"/>
    <w:rsid w:val="00EE23C4"/>
    <w:rsid w:val="00EE6B78"/>
    <w:rsid w:val="00EF4394"/>
    <w:rsid w:val="00EF687E"/>
    <w:rsid w:val="00F0296B"/>
    <w:rsid w:val="00F02E8D"/>
    <w:rsid w:val="00F06722"/>
    <w:rsid w:val="00F068AF"/>
    <w:rsid w:val="00F12354"/>
    <w:rsid w:val="00F201BF"/>
    <w:rsid w:val="00F2084A"/>
    <w:rsid w:val="00F255F1"/>
    <w:rsid w:val="00F2590A"/>
    <w:rsid w:val="00F35C5A"/>
    <w:rsid w:val="00F36506"/>
    <w:rsid w:val="00F36AD4"/>
    <w:rsid w:val="00F3741E"/>
    <w:rsid w:val="00F37D3D"/>
    <w:rsid w:val="00F41B9D"/>
    <w:rsid w:val="00F41E06"/>
    <w:rsid w:val="00F47F3D"/>
    <w:rsid w:val="00F50210"/>
    <w:rsid w:val="00F51C36"/>
    <w:rsid w:val="00F6789E"/>
    <w:rsid w:val="00F73978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0129"/>
    <w:rsid w:val="00F9346C"/>
    <w:rsid w:val="00F964CE"/>
    <w:rsid w:val="00FA613B"/>
    <w:rsid w:val="00FA6945"/>
    <w:rsid w:val="00FA6E91"/>
    <w:rsid w:val="00FC2E1C"/>
    <w:rsid w:val="00FD004B"/>
    <w:rsid w:val="00FD623F"/>
    <w:rsid w:val="00FD6E6F"/>
    <w:rsid w:val="00FE2172"/>
    <w:rsid w:val="00FE4C93"/>
    <w:rsid w:val="00FE66E5"/>
    <w:rsid w:val="00FF0A2A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10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1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67F349F-D9EF-4B37-B9F6-A3C55648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12</cp:revision>
  <cp:lastPrinted>2016-10-18T14:02:00Z</cp:lastPrinted>
  <dcterms:created xsi:type="dcterms:W3CDTF">2017-02-27T14:25:00Z</dcterms:created>
  <dcterms:modified xsi:type="dcterms:W3CDTF">2017-02-27T14:39:00Z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