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732" w:rsidRPr="0005046B" w:rsidRDefault="00D67732" w:rsidP="005E5679"/>
    <w:tbl>
      <w:tblPr>
        <w:tblW w:w="10773" w:type="dxa"/>
        <w:tblLook w:val="04A0" w:firstRow="1" w:lastRow="0" w:firstColumn="1" w:lastColumn="0" w:noHBand="0" w:noVBand="1"/>
      </w:tblPr>
      <w:tblGrid>
        <w:gridCol w:w="5103"/>
        <w:gridCol w:w="5670"/>
      </w:tblGrid>
      <w:tr w:rsidR="000676F6" w:rsidRPr="005502DF" w:rsidTr="00095677">
        <w:tc>
          <w:tcPr>
            <w:tcW w:w="5103" w:type="dxa"/>
            <w:shd w:val="clear" w:color="auto" w:fill="auto"/>
          </w:tcPr>
          <w:p w:rsidR="00611287" w:rsidRPr="00611287" w:rsidRDefault="00611287" w:rsidP="005E5679">
            <w:pPr>
              <w:rPr>
                <w:lang w:val="ru-RU"/>
              </w:rPr>
            </w:pPr>
            <w:r w:rsidRPr="00611287">
              <w:rPr>
                <w:lang w:val="ru-RU"/>
              </w:rPr>
              <w:t>№17-</w:t>
            </w:r>
          </w:p>
          <w:p w:rsidR="00C27572" w:rsidRPr="0005046B" w:rsidRDefault="002E6510" w:rsidP="005E5679">
            <w:r w:rsidRPr="00611287">
              <w:rPr>
                <w:lang w:val="ru-RU"/>
              </w:rPr>
              <w:t>1</w:t>
            </w:r>
            <w:r w:rsidR="00883898" w:rsidRPr="00611287">
              <w:rPr>
                <w:lang w:val="en-US"/>
              </w:rPr>
              <w:t>9</w:t>
            </w:r>
            <w:r w:rsidR="00C27572" w:rsidRPr="00611287">
              <w:t xml:space="preserve"> </w:t>
            </w:r>
            <w:r w:rsidR="00883898" w:rsidRPr="00611287">
              <w:t>жовтня</w:t>
            </w:r>
            <w:r w:rsidR="00C27572" w:rsidRPr="00611287">
              <w:t xml:space="preserve"> 2017 року</w:t>
            </w:r>
          </w:p>
        </w:tc>
        <w:tc>
          <w:tcPr>
            <w:tcW w:w="5670" w:type="dxa"/>
            <w:shd w:val="clear" w:color="auto" w:fill="auto"/>
          </w:tcPr>
          <w:p w:rsidR="007043FB" w:rsidRPr="005502DF" w:rsidRDefault="005502DF" w:rsidP="005E5679">
            <w:pPr>
              <w:rPr>
                <w:b/>
              </w:rPr>
            </w:pPr>
            <w:r w:rsidRPr="005502DF">
              <w:rPr>
                <w:b/>
              </w:rPr>
              <w:t xml:space="preserve">Міністру фінансів України </w:t>
            </w:r>
          </w:p>
          <w:p w:rsidR="005502DF" w:rsidRPr="005502DF" w:rsidRDefault="005502DF" w:rsidP="005E5679">
            <w:pPr>
              <w:rPr>
                <w:b/>
              </w:rPr>
            </w:pPr>
            <w:r w:rsidRPr="005502DF">
              <w:rPr>
                <w:b/>
              </w:rPr>
              <w:t xml:space="preserve">Данилюку </w:t>
            </w:r>
            <w:r w:rsidR="00611287">
              <w:rPr>
                <w:b/>
              </w:rPr>
              <w:t>О.О.</w:t>
            </w:r>
          </w:p>
          <w:p w:rsidR="007043FB" w:rsidRPr="005502DF" w:rsidRDefault="007043FB" w:rsidP="005E5679">
            <w:pPr>
              <w:rPr>
                <w:b/>
              </w:rPr>
            </w:pPr>
          </w:p>
          <w:p w:rsidR="00B9428C" w:rsidRPr="005502DF" w:rsidRDefault="00B9428C" w:rsidP="00611287">
            <w:pPr>
              <w:rPr>
                <w:b/>
              </w:rPr>
            </w:pPr>
          </w:p>
        </w:tc>
      </w:tr>
    </w:tbl>
    <w:p w:rsidR="000676F6" w:rsidRPr="0005046B" w:rsidRDefault="000676F6" w:rsidP="005E5679"/>
    <w:p w:rsidR="00611287" w:rsidRPr="00611287" w:rsidRDefault="00B9617B" w:rsidP="005E5679">
      <w:pPr>
        <w:rPr>
          <w:i/>
        </w:rPr>
      </w:pPr>
      <w:r w:rsidRPr="00611287">
        <w:rPr>
          <w:i/>
        </w:rPr>
        <w:t>Щодо</w:t>
      </w:r>
      <w:r w:rsidR="00611287" w:rsidRPr="00611287">
        <w:rPr>
          <w:i/>
        </w:rPr>
        <w:t xml:space="preserve"> Проект Закону "Про внесення змін до </w:t>
      </w:r>
    </w:p>
    <w:p w:rsidR="00611287" w:rsidRPr="00611287" w:rsidRDefault="00611287" w:rsidP="005E5679">
      <w:pPr>
        <w:rPr>
          <w:i/>
        </w:rPr>
      </w:pPr>
      <w:r w:rsidRPr="00611287">
        <w:rPr>
          <w:i/>
        </w:rPr>
        <w:t xml:space="preserve">пункту 56 підрозділу 2 розділу XX </w:t>
      </w:r>
    </w:p>
    <w:p w:rsidR="00611287" w:rsidRPr="00611287" w:rsidRDefault="00611287" w:rsidP="005E5679">
      <w:pPr>
        <w:rPr>
          <w:i/>
        </w:rPr>
      </w:pPr>
      <w:r w:rsidRPr="00611287">
        <w:rPr>
          <w:i/>
        </w:rPr>
        <w:t xml:space="preserve">«Перехідні положення» Податкового кодексу </w:t>
      </w:r>
    </w:p>
    <w:p w:rsidR="00611287" w:rsidRPr="00611287" w:rsidRDefault="00611287" w:rsidP="005E5679">
      <w:pPr>
        <w:rPr>
          <w:i/>
        </w:rPr>
      </w:pPr>
      <w:r w:rsidRPr="00611287">
        <w:rPr>
          <w:i/>
        </w:rPr>
        <w:t xml:space="preserve">України щодо Тимчасового реєстру заяв про </w:t>
      </w:r>
    </w:p>
    <w:p w:rsidR="00C27572" w:rsidRDefault="00611287" w:rsidP="005E5679">
      <w:pPr>
        <w:rPr>
          <w:i/>
        </w:rPr>
      </w:pPr>
      <w:r w:rsidRPr="00611287">
        <w:rPr>
          <w:i/>
        </w:rPr>
        <w:t>повернення суми бюджетного відшкодування"</w:t>
      </w:r>
      <w:r w:rsidR="00B9617B" w:rsidRPr="0005046B">
        <w:rPr>
          <w:i/>
        </w:rPr>
        <w:t xml:space="preserve"> </w:t>
      </w:r>
    </w:p>
    <w:p w:rsidR="00F93BCC" w:rsidRPr="00F93BCC" w:rsidRDefault="00F93BCC" w:rsidP="005E5679">
      <w:pPr>
        <w:rPr>
          <w:b/>
        </w:rPr>
      </w:pPr>
    </w:p>
    <w:p w:rsidR="00C27572" w:rsidRPr="00F93BCC" w:rsidRDefault="00BD5D02" w:rsidP="00F93BCC">
      <w:pPr>
        <w:jc w:val="center"/>
        <w:rPr>
          <w:b/>
          <w:i/>
        </w:rPr>
      </w:pPr>
      <w:r>
        <w:rPr>
          <w:b/>
          <w:i/>
        </w:rPr>
        <w:t>Шановний Олександре Олександровичу</w:t>
      </w:r>
      <w:r w:rsidR="00F93BCC" w:rsidRPr="00F93BCC">
        <w:rPr>
          <w:b/>
          <w:i/>
        </w:rPr>
        <w:t>!</w:t>
      </w:r>
    </w:p>
    <w:p w:rsidR="00C27572" w:rsidRPr="0005046B" w:rsidRDefault="00C27572" w:rsidP="005E5679">
      <w:pPr>
        <w:jc w:val="center"/>
        <w:rPr>
          <w:b/>
          <w:i/>
        </w:rPr>
      </w:pPr>
    </w:p>
    <w:p w:rsidR="00F93BCC" w:rsidRDefault="00F93BCC" w:rsidP="00BD5D02">
      <w:pPr>
        <w:ind w:firstLine="708"/>
        <w:jc w:val="both"/>
      </w:pPr>
      <w:r w:rsidRPr="00F93BCC">
        <w:t>Від імені Ради Директорів Американської торгіве</w:t>
      </w:r>
      <w:r w:rsidR="00BD5D02">
        <w:t xml:space="preserve">льної палати в Україні (далі – </w:t>
      </w:r>
      <w:r w:rsidRPr="00BD5D02">
        <w:t>Палата</w:t>
      </w:r>
      <w:r w:rsidRPr="00F93BCC">
        <w:t xml:space="preserve">) та компаній-членів висловлюємо Вам свою глибоку повагу та звертаємось із наступним. </w:t>
      </w:r>
    </w:p>
    <w:p w:rsidR="00F93BCC" w:rsidRDefault="00F93BCC" w:rsidP="00F93BCC">
      <w:pPr>
        <w:jc w:val="both"/>
      </w:pPr>
    </w:p>
    <w:p w:rsidR="00ED0455" w:rsidRPr="008172BE" w:rsidRDefault="00862367" w:rsidP="008172BE">
      <w:pPr>
        <w:ind w:firstLine="708"/>
        <w:jc w:val="both"/>
      </w:pPr>
      <w:r>
        <w:t xml:space="preserve">Перш за все, хотіли б висловити подяку за ті зміни, які </w:t>
      </w:r>
      <w:r w:rsidR="001A1C22">
        <w:t xml:space="preserve">були </w:t>
      </w:r>
      <w:r w:rsidR="005E64F9">
        <w:t>здійснені для формування прозорої та ефективної системи  бюджет</w:t>
      </w:r>
      <w:r w:rsidR="001A1C22">
        <w:t xml:space="preserve">ного </w:t>
      </w:r>
      <w:r w:rsidR="005E64F9">
        <w:t xml:space="preserve">відшкодування. Зокрема, </w:t>
      </w:r>
      <w:r w:rsidR="0011349F">
        <w:t>наразі поточний Реєстр заяв ро повернення сум бюджетного відшкодуванн</w:t>
      </w:r>
      <w:r w:rsidR="00C3173F">
        <w:t xml:space="preserve">я працює злагоджено і ефективно, і поточні суми бюджетного відшкодування </w:t>
      </w:r>
      <w:r w:rsidR="00D76F29">
        <w:t xml:space="preserve">дійсно </w:t>
      </w:r>
      <w:r w:rsidR="00C3173F">
        <w:t>у встановлені законом строки повертаються бізнесу.</w:t>
      </w:r>
      <w:r w:rsidR="008172BE" w:rsidRPr="008172BE">
        <w:t xml:space="preserve"> </w:t>
      </w:r>
    </w:p>
    <w:p w:rsidR="0011349F" w:rsidRDefault="0011349F" w:rsidP="00F93BCC">
      <w:pPr>
        <w:jc w:val="both"/>
      </w:pPr>
    </w:p>
    <w:p w:rsidR="0011349F" w:rsidRDefault="00F96CA3" w:rsidP="008172BE">
      <w:pPr>
        <w:ind w:firstLine="708"/>
        <w:jc w:val="both"/>
      </w:pPr>
      <w:r>
        <w:t xml:space="preserve">Однак, певне занепокоєння викликають події, що відбуваються навколо Тимчасового реєстру заяв про повернення сум бюджетного відшкодування, за яким повинні були повертатися «старі суми» бюджетного відшкодування, що утворилися до </w:t>
      </w:r>
      <w:r w:rsidR="00B309BB">
        <w:t>01.02.2016 р. Такий реєстр, всупереч приписам закону</w:t>
      </w:r>
      <w:r w:rsidR="00CA3CF2">
        <w:t>,</w:t>
      </w:r>
      <w:r w:rsidR="00B309BB">
        <w:t xml:space="preserve"> досі не створено, а суб’єкти законодавчої ініціативи вже в другий раз намагаються внести зміни до Податкового кодексу України </w:t>
      </w:r>
      <w:r w:rsidR="009E2887">
        <w:t>для зміни впровадженої чинним законом прозової системи.</w:t>
      </w:r>
    </w:p>
    <w:p w:rsidR="00ED0455" w:rsidRDefault="00ED0455" w:rsidP="00F93BCC">
      <w:pPr>
        <w:jc w:val="both"/>
      </w:pPr>
    </w:p>
    <w:p w:rsidR="004E2834" w:rsidRPr="004E2834" w:rsidRDefault="009E2887" w:rsidP="004E7E80">
      <w:pPr>
        <w:ind w:firstLine="708"/>
        <w:jc w:val="both"/>
      </w:pPr>
      <w:r>
        <w:t xml:space="preserve">Зокрема, </w:t>
      </w:r>
      <w:r w:rsidR="004E2834" w:rsidRPr="004E2834">
        <w:t xml:space="preserve">Проектом Закону про внесення змін до Закону України «Про державний бюджет України на 2017 рік» № 6600 від 21.06.2017 в редакції до другого читання законодавець </w:t>
      </w:r>
      <w:r w:rsidR="004E2834">
        <w:t>вперше</w:t>
      </w:r>
      <w:r w:rsidR="004E2834" w:rsidRPr="004E2834">
        <w:t xml:space="preserve"> намагався змінити порядок відшкодування сум ПДВ, сформованих за «старі періоди», шляхом оформлення облігацій внутрішньої державної позики з терміном обігу 5 років. Проте, 13.07.2017 року Верховна Рада України прийняла такий законопроект, відхиливши цю поправку. </w:t>
      </w:r>
    </w:p>
    <w:p w:rsidR="00ED0455" w:rsidRPr="00F93BCC" w:rsidRDefault="00ED0455" w:rsidP="00F93BCC">
      <w:pPr>
        <w:jc w:val="both"/>
      </w:pPr>
    </w:p>
    <w:p w:rsidR="00130616" w:rsidRPr="00130616" w:rsidRDefault="004E2834" w:rsidP="004E7E80">
      <w:pPr>
        <w:ind w:firstLine="708"/>
        <w:jc w:val="both"/>
      </w:pPr>
      <w:r>
        <w:t xml:space="preserve">Наразі, </w:t>
      </w:r>
      <w:r w:rsidR="00670497">
        <w:t>П</w:t>
      </w:r>
      <w:r w:rsidR="000524A2" w:rsidRPr="000524A2">
        <w:t>а</w:t>
      </w:r>
      <w:r w:rsidR="00670497">
        <w:t xml:space="preserve">лата висловлює своє глибоке занепокоєння </w:t>
      </w:r>
      <w:r w:rsidR="00130616">
        <w:t xml:space="preserve">оприлюдненням </w:t>
      </w:r>
      <w:r w:rsidR="00130616" w:rsidRPr="00130616">
        <w:t xml:space="preserve">29.01.2017 р. на офіційному веб-сайті Міністерства фінансів України </w:t>
      </w:r>
      <w:r w:rsidR="00D76F29">
        <w:t xml:space="preserve">ще одного </w:t>
      </w:r>
      <w:r w:rsidR="00130616" w:rsidRPr="00130616">
        <w:t>Проект</w:t>
      </w:r>
      <w:r w:rsidR="00D76F29">
        <w:t>у</w:t>
      </w:r>
      <w:r w:rsidR="00130616" w:rsidRPr="00130616">
        <w:t xml:space="preserve"> Закону України "Про внесення змін до пункту 56 підрозділу 2 розділу XX «Перехідні положення» Податкового кодексу України щодо Тимчасового реєстру заяв про повернення суми бюджетного відшкодування" (надалі – «</w:t>
      </w:r>
      <w:r w:rsidR="00012871" w:rsidRPr="00012871">
        <w:rPr>
          <w:b/>
        </w:rPr>
        <w:t>Проект закону</w:t>
      </w:r>
      <w:r w:rsidR="00130616" w:rsidRPr="00130616">
        <w:t>»).</w:t>
      </w:r>
    </w:p>
    <w:p w:rsidR="00857FD7" w:rsidRDefault="00857FD7" w:rsidP="00857FD7">
      <w:pPr>
        <w:jc w:val="both"/>
      </w:pPr>
    </w:p>
    <w:p w:rsidR="00761244" w:rsidRDefault="00012871" w:rsidP="004E7E80">
      <w:pPr>
        <w:ind w:firstLine="708"/>
        <w:jc w:val="both"/>
      </w:pPr>
      <w:r>
        <w:t>З</w:t>
      </w:r>
      <w:r w:rsidR="00761244">
        <w:t xml:space="preserve">апропонованим </w:t>
      </w:r>
      <w:r>
        <w:t xml:space="preserve">Проектом закону </w:t>
      </w:r>
      <w:r w:rsidR="00761244" w:rsidRPr="00761244">
        <w:t>пропонується внести зміни до п. 56 Підрозділу 2 Перехідних положень ПК України</w:t>
      </w:r>
      <w:r w:rsidR="00CF3601">
        <w:t xml:space="preserve"> щодо порядку формування Тимчасового реєстру </w:t>
      </w:r>
      <w:r w:rsidR="006837B5">
        <w:t xml:space="preserve">заяв </w:t>
      </w:r>
      <w:r w:rsidR="00CF3601" w:rsidRPr="00EA7DC3">
        <w:t xml:space="preserve">про повернення суми бюджетного відшкодування </w:t>
      </w:r>
      <w:r w:rsidR="00CF3601">
        <w:t xml:space="preserve"> (надалі – «</w:t>
      </w:r>
      <w:r w:rsidR="00CF3601" w:rsidRPr="00A43642">
        <w:rPr>
          <w:b/>
        </w:rPr>
        <w:t>Тимчасовий реєстр</w:t>
      </w:r>
      <w:r w:rsidR="00CF3601">
        <w:t>»), до якого повинні потрапити заяви</w:t>
      </w:r>
      <w:r w:rsidR="006837B5">
        <w:t xml:space="preserve"> подані до 01.02.2016 року, та за якими не здійснено відшкодування станом на 01.01.2017 р.</w:t>
      </w:r>
    </w:p>
    <w:p w:rsidR="00D22169" w:rsidRDefault="004E7E80" w:rsidP="006837B5">
      <w:pPr>
        <w:jc w:val="both"/>
      </w:pPr>
      <w:r>
        <w:tab/>
      </w:r>
    </w:p>
    <w:p w:rsidR="006837B5" w:rsidRDefault="001C6644" w:rsidP="004E7E80">
      <w:pPr>
        <w:ind w:firstLine="708"/>
        <w:jc w:val="both"/>
      </w:pPr>
      <w:r>
        <w:t xml:space="preserve">Комітет висловлює глибоке занепокоєння фактом підготовки та розміщення </w:t>
      </w:r>
      <w:r w:rsidR="002E4915">
        <w:t xml:space="preserve">вказаного </w:t>
      </w:r>
      <w:r w:rsidR="004D5ECB">
        <w:t>Проекту закону</w:t>
      </w:r>
      <w:r w:rsidRPr="001C6644">
        <w:t xml:space="preserve"> </w:t>
      </w:r>
      <w:r w:rsidR="002E4915">
        <w:t xml:space="preserve">у зв’язку із його недоцільністю, погіршенням становища платників та </w:t>
      </w:r>
      <w:r w:rsidR="002F0628">
        <w:t xml:space="preserve">ставлення під сумнів таким </w:t>
      </w:r>
      <w:r w:rsidR="002C4538">
        <w:t>Проектом закону</w:t>
      </w:r>
      <w:r w:rsidR="002F0628">
        <w:t xml:space="preserve"> існуючої чинної процедури.</w:t>
      </w:r>
      <w:r w:rsidR="004778DC">
        <w:t xml:space="preserve"> Наразі відсутні будь-які об’єктивні підстави для внесення змін до існуючої процедури</w:t>
      </w:r>
      <w:r w:rsidR="00EA6E15">
        <w:t>.</w:t>
      </w:r>
    </w:p>
    <w:p w:rsidR="003D7266" w:rsidRDefault="003D7266" w:rsidP="006837B5">
      <w:pPr>
        <w:jc w:val="both"/>
      </w:pPr>
    </w:p>
    <w:p w:rsidR="003D7266" w:rsidRDefault="00A903F0" w:rsidP="004E7E80">
      <w:pPr>
        <w:ind w:firstLine="708"/>
        <w:jc w:val="both"/>
      </w:pPr>
      <w:r>
        <w:lastRenderedPageBreak/>
        <w:t>Вказаний</w:t>
      </w:r>
      <w:r w:rsidR="003D7266">
        <w:t xml:space="preserve"> Проект закону ми розглядаємо як </w:t>
      </w:r>
      <w:r>
        <w:t xml:space="preserve">такий, що не </w:t>
      </w:r>
      <w:r w:rsidR="003C24FD">
        <w:t xml:space="preserve">відповідає духу </w:t>
      </w:r>
      <w:r w:rsidR="00416B0C">
        <w:t>запровадження ре</w:t>
      </w:r>
      <w:r w:rsidR="006344A5">
        <w:t>єстрів</w:t>
      </w:r>
      <w:r w:rsidR="00416B0C">
        <w:t xml:space="preserve"> бюджетного відшкодування. </w:t>
      </w:r>
      <w:r w:rsidR="007838D5">
        <w:t>З</w:t>
      </w:r>
      <w:r w:rsidR="007838D5" w:rsidRPr="007838D5">
        <w:t xml:space="preserve">міни, запропоновані </w:t>
      </w:r>
      <w:r w:rsidR="006344A5">
        <w:t>Проектом закону</w:t>
      </w:r>
      <w:r w:rsidR="007838D5" w:rsidRPr="007838D5">
        <w:t xml:space="preserve"> призведуть </w:t>
      </w:r>
      <w:r w:rsidR="00456D6A">
        <w:t xml:space="preserve">до приховування реальної картини щодо сум до відшкодування за «старими» періодами, </w:t>
      </w:r>
      <w:r w:rsidR="007838D5" w:rsidRPr="00456D6A">
        <w:t>надання можливості маніпулювати з черговістю здійснення бюджетного відшкодування «старих» періодів,</w:t>
      </w:r>
      <w:r w:rsidR="007838D5" w:rsidRPr="007838D5">
        <w:t xml:space="preserve"> здійснювати його в «ручному режимі», що в результаті нівелює саму ідею запровадження реєстру – зведення бюджетного відшкодування до автоматичної процедури з максимальним виключенням людського фактору.</w:t>
      </w:r>
    </w:p>
    <w:p w:rsidR="003D7266" w:rsidRDefault="003D7266" w:rsidP="006837B5">
      <w:pPr>
        <w:jc w:val="both"/>
      </w:pPr>
    </w:p>
    <w:p w:rsidR="006921E2" w:rsidRDefault="004E7E80" w:rsidP="004E7E80">
      <w:pPr>
        <w:ind w:firstLine="708"/>
        <w:jc w:val="both"/>
      </w:pPr>
      <w:r>
        <w:t>У</w:t>
      </w:r>
      <w:r w:rsidR="00456D6A">
        <w:t xml:space="preserve"> той же час</w:t>
      </w:r>
      <w:r w:rsidR="00A82264">
        <w:t xml:space="preserve">, </w:t>
      </w:r>
      <w:r w:rsidR="006921E2">
        <w:t xml:space="preserve">чинна процедура </w:t>
      </w:r>
      <w:r w:rsidR="00456D6A">
        <w:t>за діючим зараз законом</w:t>
      </w:r>
      <w:r w:rsidR="00A15427">
        <w:t xml:space="preserve"> </w:t>
      </w:r>
      <w:r w:rsidR="006921E2">
        <w:t>державними органами</w:t>
      </w:r>
      <w:r w:rsidR="00456D6A">
        <w:t xml:space="preserve"> не виконується</w:t>
      </w:r>
      <w:r w:rsidR="006921E2">
        <w:t xml:space="preserve">. </w:t>
      </w:r>
    </w:p>
    <w:p w:rsidR="006921E2" w:rsidRDefault="006921E2" w:rsidP="006837B5">
      <w:pPr>
        <w:jc w:val="both"/>
      </w:pPr>
    </w:p>
    <w:p w:rsidR="003F6C2D" w:rsidRDefault="00C3063F" w:rsidP="004E7E80">
      <w:pPr>
        <w:ind w:firstLine="708"/>
        <w:jc w:val="both"/>
      </w:pPr>
      <w:r>
        <w:t>Зокрема</w:t>
      </w:r>
      <w:r w:rsidRPr="00C3063F">
        <w:t xml:space="preserve">, </w:t>
      </w:r>
      <w:r>
        <w:t xml:space="preserve">чинним </w:t>
      </w:r>
      <w:r w:rsidRPr="00C3063F">
        <w:t>п. 56 Підрозділу 2 Перехідних положень ПК України закріплено, що заяви про бюджетне відшкодування, подані до 01.02.2016 р. та за якими станом на 01.01.2017 р. суми ПДВ не відшкодовані з бюджету – потрапляють до Тимчасового реєстру</w:t>
      </w:r>
      <w:r w:rsidR="003F6C2D">
        <w:t>.</w:t>
      </w:r>
    </w:p>
    <w:p w:rsidR="003F6C2D" w:rsidRDefault="003F6C2D" w:rsidP="00C3063F">
      <w:pPr>
        <w:jc w:val="both"/>
      </w:pPr>
    </w:p>
    <w:p w:rsidR="002C317F" w:rsidRPr="00456D6A" w:rsidRDefault="003F6C2D" w:rsidP="004E7E80">
      <w:pPr>
        <w:ind w:firstLine="708"/>
        <w:jc w:val="both"/>
      </w:pPr>
      <w:r w:rsidRPr="00456D6A">
        <w:t xml:space="preserve">Такий </w:t>
      </w:r>
      <w:r w:rsidR="006215E6" w:rsidRPr="00456D6A">
        <w:t>Тимчасовий</w:t>
      </w:r>
      <w:r w:rsidRPr="00456D6A">
        <w:t xml:space="preserve"> реєстр</w:t>
      </w:r>
      <w:r w:rsidR="00C3063F" w:rsidRPr="00456D6A">
        <w:t xml:space="preserve"> повинен був </w:t>
      </w:r>
      <w:r w:rsidR="00456D6A">
        <w:t xml:space="preserve">за вказаним положенням закону </w:t>
      </w:r>
      <w:r w:rsidR="00C3063F" w:rsidRPr="00456D6A">
        <w:t>бути сформований до 01 лютого 2017 року.</w:t>
      </w:r>
      <w:r w:rsidR="006215E6" w:rsidRPr="00456D6A">
        <w:t xml:space="preserve"> </w:t>
      </w:r>
      <w:r w:rsidR="002C317F" w:rsidRPr="00456D6A">
        <w:t xml:space="preserve">Однак, станом на дату звернення із даним листом, реальний Тимчасовий реєстр і досі не сформовано. </w:t>
      </w:r>
    </w:p>
    <w:p w:rsidR="002C317F" w:rsidRPr="00456D6A" w:rsidRDefault="002C317F" w:rsidP="002C317F">
      <w:pPr>
        <w:jc w:val="both"/>
      </w:pPr>
    </w:p>
    <w:p w:rsidR="002C317F" w:rsidRPr="00456D6A" w:rsidRDefault="002C317F" w:rsidP="004E7E80">
      <w:pPr>
        <w:ind w:firstLine="708"/>
        <w:jc w:val="both"/>
      </w:pPr>
      <w:r w:rsidRPr="00456D6A">
        <w:t xml:space="preserve">Тобто вже більше 9 місяців платники податків </w:t>
      </w:r>
      <w:r w:rsidR="00456D6A">
        <w:t xml:space="preserve">із «старими» сумами ПДВ до відшкодування </w:t>
      </w:r>
      <w:r w:rsidRPr="00456D6A">
        <w:t xml:space="preserve">через бездіяльність податкових органів і уряду позбавлені можливості </w:t>
      </w:r>
      <w:r w:rsidR="00456D6A">
        <w:t>отримати</w:t>
      </w:r>
      <w:r w:rsidRPr="00456D6A">
        <w:t xml:space="preserve"> належні їм кошти, </w:t>
      </w:r>
      <w:r w:rsidR="00456D6A">
        <w:t xml:space="preserve">заяви на відшкодування </w:t>
      </w:r>
      <w:r w:rsidRPr="00456D6A">
        <w:t xml:space="preserve">яких </w:t>
      </w:r>
      <w:r w:rsidR="00456D6A">
        <w:t xml:space="preserve">подані </w:t>
      </w:r>
      <w:r w:rsidRPr="00456D6A">
        <w:t>ще до 01.02.2016 р., тобто фактично, як мінімум, півтора роки тому чи більше.</w:t>
      </w:r>
      <w:r w:rsidR="00456D6A">
        <w:t xml:space="preserve"> Таке невиконання закону з боку державних органів не відповідає визначенню України як правової держави.</w:t>
      </w:r>
    </w:p>
    <w:p w:rsidR="002C317F" w:rsidRPr="002C317F" w:rsidRDefault="002C317F" w:rsidP="002C317F">
      <w:pPr>
        <w:jc w:val="both"/>
      </w:pPr>
    </w:p>
    <w:p w:rsidR="003C6D7C" w:rsidRDefault="002C317F" w:rsidP="004E7E80">
      <w:pPr>
        <w:ind w:firstLine="708"/>
        <w:jc w:val="both"/>
      </w:pPr>
      <w:r w:rsidRPr="002C317F">
        <w:t>Відповідно</w:t>
      </w:r>
      <w:r>
        <w:t xml:space="preserve">, наразі повинно стояти питання не </w:t>
      </w:r>
      <w:r w:rsidR="00510786">
        <w:t xml:space="preserve">про </w:t>
      </w:r>
      <w:r>
        <w:t xml:space="preserve">внесення змін до ПК України та/або зміни процедури – а питання реального виконання приписів закону, які, нажаль, </w:t>
      </w:r>
      <w:r w:rsidR="00456D6A">
        <w:t xml:space="preserve">повторимося, </w:t>
      </w:r>
      <w:r>
        <w:t xml:space="preserve">не виконуються державними органами, що завдає шкоди </w:t>
      </w:r>
      <w:r w:rsidR="003C6D7C">
        <w:t>платникам податків.</w:t>
      </w:r>
    </w:p>
    <w:p w:rsidR="003C6D7C" w:rsidRDefault="003C6D7C" w:rsidP="002C317F">
      <w:pPr>
        <w:jc w:val="both"/>
      </w:pPr>
    </w:p>
    <w:p w:rsidR="002A5B87" w:rsidRDefault="00456D6A" w:rsidP="004E7E80">
      <w:pPr>
        <w:ind w:firstLine="708"/>
        <w:jc w:val="both"/>
      </w:pPr>
      <w:r>
        <w:t>М</w:t>
      </w:r>
      <w:r w:rsidR="00024350">
        <w:t>и не бачимо</w:t>
      </w:r>
      <w:r w:rsidR="002257CF">
        <w:t xml:space="preserve"> з боку органів державної влади</w:t>
      </w:r>
      <w:r w:rsidR="00024350">
        <w:t xml:space="preserve"> </w:t>
      </w:r>
      <w:r>
        <w:t xml:space="preserve">наразі </w:t>
      </w:r>
      <w:r w:rsidR="00024350">
        <w:t xml:space="preserve">кроків </w:t>
      </w:r>
      <w:r>
        <w:t>спрямованих на виконання</w:t>
      </w:r>
      <w:r w:rsidR="00024350">
        <w:t xml:space="preserve"> приписів закону та формуванню </w:t>
      </w:r>
      <w:r w:rsidR="002257CF">
        <w:t>Тимчасового реєстру.</w:t>
      </w:r>
      <w:r w:rsidR="002A5B87">
        <w:t xml:space="preserve"> </w:t>
      </w:r>
      <w:r w:rsidR="002257CF">
        <w:t xml:space="preserve">Натомість, неодноразово висловлювались заяви про неможливість здійснення бюджетного відшкодування за Тимчасовим реєстром у зв’язку із нібито </w:t>
      </w:r>
      <w:r w:rsidR="002A5B87">
        <w:t>не</w:t>
      </w:r>
      <w:r>
        <w:t>доліками у законодавчо визначеної</w:t>
      </w:r>
      <w:r w:rsidR="002A5B87">
        <w:t xml:space="preserve"> процедурі.</w:t>
      </w:r>
    </w:p>
    <w:p w:rsidR="002A5B87" w:rsidRDefault="002A5B87" w:rsidP="002C317F">
      <w:pPr>
        <w:jc w:val="both"/>
      </w:pPr>
    </w:p>
    <w:p w:rsidR="00BA7F0C" w:rsidRDefault="002A5B87" w:rsidP="004E7E80">
      <w:pPr>
        <w:ind w:firstLine="708"/>
        <w:jc w:val="both"/>
      </w:pPr>
      <w:r>
        <w:t xml:space="preserve">Проте, про які саме недоліки іде мова – жодного разу не було уточнено. В свою чергу, </w:t>
      </w:r>
      <w:r w:rsidR="00165192">
        <w:t>процедура бюджетного від</w:t>
      </w:r>
      <w:r w:rsidR="00A15427">
        <w:t xml:space="preserve">шкодування за Тимчасом реєстром визначена </w:t>
      </w:r>
      <w:r w:rsidR="002257CF">
        <w:t xml:space="preserve"> </w:t>
      </w:r>
      <w:r w:rsidR="00A15427">
        <w:t xml:space="preserve">ПК України, </w:t>
      </w:r>
      <w:r w:rsidR="00131ACF">
        <w:t xml:space="preserve">Постановою КМУ </w:t>
      </w:r>
      <w:r w:rsidR="00131ACF" w:rsidRPr="00131ACF">
        <w:t>від 29 березня 2017 р. № 189</w:t>
      </w:r>
      <w:r w:rsidR="00131ACF">
        <w:t xml:space="preserve">, </w:t>
      </w:r>
      <w:r w:rsidR="00AB6CB1">
        <w:t xml:space="preserve">Наказом Міністерства Фінансів України </w:t>
      </w:r>
      <w:r w:rsidR="00AB6CB1" w:rsidRPr="00AB6CB1">
        <w:t>20 березня 2017 р. за N 376/30244</w:t>
      </w:r>
      <w:r w:rsidR="00131ACF">
        <w:t>.</w:t>
      </w:r>
      <w:r w:rsidR="00BE0839">
        <w:t xml:space="preserve"> </w:t>
      </w:r>
    </w:p>
    <w:p w:rsidR="00BA7F0C" w:rsidRDefault="00BA7F0C" w:rsidP="002C317F">
      <w:pPr>
        <w:jc w:val="both"/>
      </w:pPr>
    </w:p>
    <w:p w:rsidR="0069659D" w:rsidRDefault="00BE0839" w:rsidP="004E7E80">
      <w:pPr>
        <w:ind w:firstLine="708"/>
        <w:jc w:val="both"/>
      </w:pPr>
      <w:r>
        <w:t xml:space="preserve">Тому </w:t>
      </w:r>
      <w:r w:rsidR="00BA7F0C">
        <w:t>із такої позиції ми вбачаємо не наявність недостатків законодавства – а відсутність бажання виконувати закон.</w:t>
      </w:r>
      <w:r w:rsidR="004C1BFC">
        <w:t xml:space="preserve"> </w:t>
      </w:r>
      <w:r w:rsidR="0069659D">
        <w:t>В свою чергу, з боку органів державної влади вже почалися маніпуляції щодо відмови у здійсненні бюджетного відшкодування за Тимчасовим реєстром із посиланням на підготовку змін до положень ПК України.</w:t>
      </w:r>
    </w:p>
    <w:p w:rsidR="0069659D" w:rsidRDefault="0069659D" w:rsidP="002C317F">
      <w:pPr>
        <w:jc w:val="both"/>
      </w:pPr>
    </w:p>
    <w:p w:rsidR="0069659D" w:rsidRDefault="0069659D" w:rsidP="004E7E80">
      <w:pPr>
        <w:ind w:firstLine="567"/>
        <w:jc w:val="both"/>
        <w:rPr>
          <w:bCs/>
        </w:rPr>
      </w:pPr>
      <w:r>
        <w:t xml:space="preserve">Зокрема, Державна Фіскальна Служба України </w:t>
      </w:r>
      <w:r w:rsidR="00B76A82">
        <w:t xml:space="preserve">(надалі – «ДФС») </w:t>
      </w:r>
      <w:r>
        <w:t>надала ін</w:t>
      </w:r>
      <w:r w:rsidR="00AC015D">
        <w:t xml:space="preserve">дивідуальну податкову консультацію </w:t>
      </w:r>
      <w:r w:rsidR="00AC015D" w:rsidRPr="00AC015D">
        <w:rPr>
          <w:bCs/>
        </w:rPr>
        <w:t>від 05.10.2017 р. № 2141/6/99-99-12-03-02-15/ІПК</w:t>
      </w:r>
      <w:r w:rsidR="004907EC">
        <w:rPr>
          <w:bCs/>
        </w:rPr>
        <w:t xml:space="preserve"> </w:t>
      </w:r>
      <w:r w:rsidR="004907EC" w:rsidRPr="004907EC">
        <w:rPr>
          <w:bCs/>
          <w:i/>
        </w:rPr>
        <w:t>Щодо окремих питань практичного застосування норм податкового законодавства при проведенні бюджетного відшкодування ПДВ</w:t>
      </w:r>
      <w:r w:rsidR="004907EC">
        <w:rPr>
          <w:bCs/>
        </w:rPr>
        <w:t>, в якій</w:t>
      </w:r>
      <w:r w:rsidR="00B438CC">
        <w:rPr>
          <w:bCs/>
        </w:rPr>
        <w:t xml:space="preserve"> вказує (цитата):</w:t>
      </w:r>
    </w:p>
    <w:p w:rsidR="004907EC" w:rsidRDefault="004907EC" w:rsidP="002C317F">
      <w:pPr>
        <w:jc w:val="both"/>
        <w:rPr>
          <w:bCs/>
        </w:rPr>
      </w:pPr>
    </w:p>
    <w:p w:rsidR="004907EC" w:rsidRPr="00B438CC" w:rsidRDefault="004907EC" w:rsidP="00B438CC">
      <w:pPr>
        <w:ind w:left="567"/>
        <w:jc w:val="both"/>
        <w:rPr>
          <w:rFonts w:ascii="Courier New" w:hAnsi="Courier New" w:cs="Courier New"/>
          <w:b/>
          <w:bCs/>
          <w:sz w:val="22"/>
        </w:rPr>
      </w:pPr>
      <w:r>
        <w:rPr>
          <w:bCs/>
        </w:rPr>
        <w:t>«</w:t>
      </w:r>
      <w:r w:rsidRPr="00B438CC">
        <w:rPr>
          <w:rFonts w:ascii="Courier New" w:hAnsi="Courier New" w:cs="Courier New"/>
          <w:bCs/>
          <w:sz w:val="22"/>
        </w:rPr>
        <w:t xml:space="preserve">Разом з цим </w:t>
      </w:r>
      <w:r w:rsidRPr="00B438CC">
        <w:rPr>
          <w:rFonts w:ascii="Courier New" w:hAnsi="Courier New" w:cs="Courier New"/>
          <w:b/>
          <w:bCs/>
          <w:sz w:val="22"/>
        </w:rPr>
        <w:t>на сьогодні чинним законодавством не передбачено механізм відшкодування сум ПДВ, включених до Тимчасового реєстру, та структуру такого реєстру.</w:t>
      </w:r>
    </w:p>
    <w:p w:rsidR="00B438CC" w:rsidRPr="00B438CC" w:rsidRDefault="00B438CC" w:rsidP="00B438CC">
      <w:pPr>
        <w:ind w:left="567"/>
        <w:jc w:val="both"/>
        <w:rPr>
          <w:rFonts w:ascii="Courier New" w:hAnsi="Courier New" w:cs="Courier New"/>
          <w:bCs/>
          <w:sz w:val="22"/>
        </w:rPr>
      </w:pPr>
    </w:p>
    <w:p w:rsidR="004907EC" w:rsidRPr="00B438CC" w:rsidRDefault="004907EC" w:rsidP="00B438CC">
      <w:pPr>
        <w:ind w:left="567"/>
        <w:jc w:val="both"/>
        <w:rPr>
          <w:rFonts w:ascii="Courier New" w:hAnsi="Courier New" w:cs="Courier New"/>
          <w:bCs/>
          <w:sz w:val="22"/>
        </w:rPr>
      </w:pPr>
      <w:r w:rsidRPr="00B438CC">
        <w:rPr>
          <w:rFonts w:ascii="Courier New" w:hAnsi="Courier New" w:cs="Courier New"/>
          <w:bCs/>
          <w:sz w:val="22"/>
        </w:rPr>
        <w:lastRenderedPageBreak/>
        <w:t xml:space="preserve">Враховуючи необхідність врегулювання даного питання, </w:t>
      </w:r>
      <w:r w:rsidRPr="00B438CC">
        <w:rPr>
          <w:rFonts w:ascii="Courier New" w:hAnsi="Courier New" w:cs="Courier New"/>
          <w:b/>
          <w:bCs/>
          <w:sz w:val="22"/>
        </w:rPr>
        <w:t xml:space="preserve">ДФС та Мінфін спільно працюють над внесенням змін до нормативно-правових </w:t>
      </w:r>
      <w:r w:rsidRPr="00B76A82">
        <w:rPr>
          <w:rFonts w:ascii="Courier New" w:hAnsi="Courier New" w:cs="Courier New"/>
          <w:b/>
          <w:bCs/>
          <w:sz w:val="22"/>
        </w:rPr>
        <w:t>актів з метою узгодження єдиного механізму відшкодування ПДВ за заявами, які були внесені до Тимчасового реєстру відповідно до пункту 56 підрозділу 2 розділу XX "Перехідні положення" Кодексу</w:t>
      </w:r>
      <w:r w:rsidRPr="00B438CC">
        <w:rPr>
          <w:rFonts w:ascii="Courier New" w:hAnsi="Courier New" w:cs="Courier New"/>
          <w:bCs/>
          <w:sz w:val="22"/>
        </w:rPr>
        <w:t>.</w:t>
      </w:r>
      <w:r w:rsidR="00B438CC" w:rsidRPr="00B438CC">
        <w:rPr>
          <w:rFonts w:ascii="Courier New" w:hAnsi="Courier New" w:cs="Courier New"/>
          <w:bCs/>
          <w:sz w:val="22"/>
        </w:rPr>
        <w:t>»</w:t>
      </w:r>
    </w:p>
    <w:p w:rsidR="004907EC" w:rsidRPr="007043FB" w:rsidRDefault="004907EC" w:rsidP="002C317F">
      <w:pPr>
        <w:jc w:val="both"/>
      </w:pPr>
    </w:p>
    <w:p w:rsidR="002C317F" w:rsidRDefault="00B76A82" w:rsidP="004E7E80">
      <w:pPr>
        <w:ind w:firstLine="567"/>
        <w:jc w:val="both"/>
      </w:pPr>
      <w:r>
        <w:t xml:space="preserve">Тобто, замість того, щоб виконувати приписи закону, та плідно працювати над формуванням Тимчасового реєстру, </w:t>
      </w:r>
      <w:r w:rsidR="001F0D88">
        <w:t>для</w:t>
      </w:r>
      <w:r>
        <w:t>, нарешті, початк</w:t>
      </w:r>
      <w:r w:rsidR="00052549">
        <w:t xml:space="preserve">у </w:t>
      </w:r>
      <w:r>
        <w:t>здійснення бюджетного відшкодування за черговістю такого реєстру, ДФС посилається на нібито неврегульованість питання у ПК України та заплановані законодавчі зміни.</w:t>
      </w:r>
    </w:p>
    <w:p w:rsidR="00B76A82" w:rsidRDefault="00B76A82" w:rsidP="002C317F">
      <w:pPr>
        <w:jc w:val="both"/>
      </w:pPr>
    </w:p>
    <w:p w:rsidR="00B76A82" w:rsidRDefault="00B76A82" w:rsidP="004E7E80">
      <w:pPr>
        <w:ind w:firstLine="567"/>
        <w:jc w:val="both"/>
      </w:pPr>
      <w:r>
        <w:t xml:space="preserve">Проте про яку неврегульованість іде мови, коли </w:t>
      </w:r>
      <w:r w:rsidR="00FF7BEF">
        <w:t>чинним</w:t>
      </w:r>
      <w:r>
        <w:t xml:space="preserve"> </w:t>
      </w:r>
      <w:r w:rsidR="00FF7BEF" w:rsidRPr="00FF7BEF">
        <w:t>п. 56 Підрозділу 2 Перехідних положень ПК України закріплено</w:t>
      </w:r>
      <w:r w:rsidR="00FF7BEF">
        <w:t>, що (цитата):</w:t>
      </w:r>
    </w:p>
    <w:p w:rsidR="00FF7BEF" w:rsidRDefault="00FF7BEF" w:rsidP="002C317F">
      <w:pPr>
        <w:jc w:val="both"/>
      </w:pPr>
    </w:p>
    <w:p w:rsidR="00FF7BEF" w:rsidRPr="00FF7BEF" w:rsidRDefault="00FF7BEF" w:rsidP="00FF7BEF">
      <w:pPr>
        <w:ind w:left="567"/>
        <w:jc w:val="both"/>
        <w:rPr>
          <w:rFonts w:ascii="Courier New" w:hAnsi="Courier New" w:cs="Courier New"/>
          <w:sz w:val="22"/>
        </w:rPr>
      </w:pPr>
      <w:r w:rsidRPr="00FF7BEF">
        <w:rPr>
          <w:rFonts w:ascii="Courier New" w:hAnsi="Courier New" w:cs="Courier New"/>
          <w:sz w:val="22"/>
        </w:rPr>
        <w:t>«</w:t>
      </w:r>
      <w:r w:rsidRPr="00FF7BEF">
        <w:rPr>
          <w:rFonts w:ascii="Courier New" w:hAnsi="Courier New" w:cs="Courier New"/>
          <w:b/>
          <w:sz w:val="22"/>
        </w:rPr>
        <w:t>Формування, ведення та офіційне публікування Тимчасового реєстру</w:t>
      </w:r>
      <w:r w:rsidRPr="00FF7BEF">
        <w:rPr>
          <w:rFonts w:ascii="Courier New" w:hAnsi="Courier New" w:cs="Courier New"/>
          <w:sz w:val="22"/>
        </w:rPr>
        <w:t xml:space="preserve"> заяв про повернення суми бюджетного відшкодування, зазначеного у цьому пункті, </w:t>
      </w:r>
      <w:r w:rsidRPr="00D87984">
        <w:rPr>
          <w:rFonts w:ascii="Courier New" w:hAnsi="Courier New" w:cs="Courier New"/>
          <w:b/>
          <w:sz w:val="22"/>
        </w:rPr>
        <w:t>здійснюються у порядку, визначеному статтею 200 цього Кодексу</w:t>
      </w:r>
      <w:r w:rsidRPr="00FF7BEF">
        <w:rPr>
          <w:rFonts w:ascii="Courier New" w:hAnsi="Courier New" w:cs="Courier New"/>
          <w:sz w:val="22"/>
        </w:rPr>
        <w:t>.»</w:t>
      </w:r>
    </w:p>
    <w:p w:rsidR="002C317F" w:rsidRDefault="002C317F" w:rsidP="002C317F">
      <w:pPr>
        <w:jc w:val="both"/>
      </w:pPr>
    </w:p>
    <w:p w:rsidR="001C6644" w:rsidRDefault="004E7E80" w:rsidP="004E7E80">
      <w:pPr>
        <w:ind w:firstLine="567"/>
        <w:jc w:val="both"/>
      </w:pPr>
      <w:r>
        <w:t>У</w:t>
      </w:r>
      <w:r w:rsidR="00D87984">
        <w:t xml:space="preserve"> свою чергу, саме ст. 200 ПК України закріплено порядок ведення поточного Реєстру </w:t>
      </w:r>
      <w:r w:rsidR="002A26D5">
        <w:t xml:space="preserve">сум бюджетного відшкодування, яким до дрібниць, навіть до </w:t>
      </w:r>
      <w:r w:rsidR="009071F1">
        <w:t>стовпчиків</w:t>
      </w:r>
      <w:r w:rsidR="002A26D5">
        <w:t xml:space="preserve">, </w:t>
      </w:r>
      <w:r w:rsidR="009071F1">
        <w:t>закріплено порядок ведення Реєстру та порядок здійснення бюджетного відшкодування за ним.</w:t>
      </w:r>
    </w:p>
    <w:p w:rsidR="009071F1" w:rsidRDefault="009071F1" w:rsidP="00761244">
      <w:pPr>
        <w:jc w:val="both"/>
      </w:pPr>
    </w:p>
    <w:p w:rsidR="009071F1" w:rsidRPr="00334E57" w:rsidRDefault="009071F1" w:rsidP="004E7E80">
      <w:pPr>
        <w:ind w:firstLine="567"/>
        <w:jc w:val="both"/>
      </w:pPr>
      <w:r>
        <w:t>Відповідно</w:t>
      </w:r>
      <w:r w:rsidRPr="00334E57">
        <w:t>, Порядок ведення поточного Реєстру = Порядок ведення Тимчасового реєстру.</w:t>
      </w:r>
      <w:r w:rsidR="00334E57">
        <w:t xml:space="preserve"> Закон передбачає саме єдність підходу.</w:t>
      </w:r>
    </w:p>
    <w:p w:rsidR="001C6644" w:rsidRDefault="001C6644" w:rsidP="00761244">
      <w:pPr>
        <w:jc w:val="both"/>
      </w:pPr>
    </w:p>
    <w:p w:rsidR="001C6644" w:rsidRDefault="004E7E80" w:rsidP="004E7E80">
      <w:pPr>
        <w:ind w:firstLine="567"/>
        <w:jc w:val="both"/>
      </w:pPr>
      <w:r>
        <w:t>У</w:t>
      </w:r>
      <w:r w:rsidR="009071F1">
        <w:t xml:space="preserve"> такому разі, чому за поточним Реєстром бюджетне відшкодування здійснюється, а за Тимчасовим – ні?</w:t>
      </w:r>
    </w:p>
    <w:p w:rsidR="001C6644" w:rsidRDefault="001C6644" w:rsidP="00761244">
      <w:pPr>
        <w:jc w:val="both"/>
      </w:pPr>
    </w:p>
    <w:p w:rsidR="00A60F23" w:rsidRDefault="00604ECE" w:rsidP="00761244">
      <w:pPr>
        <w:jc w:val="both"/>
      </w:pPr>
      <w:r>
        <w:t>І про яке «непередбачено механізму» для Тимчасового реєстру іде мова?</w:t>
      </w:r>
      <w:r w:rsidR="001F70C1">
        <w:t xml:space="preserve"> </w:t>
      </w:r>
      <w:r w:rsidR="00A60F23">
        <w:t>На це згадується народна мудрість «</w:t>
      </w:r>
      <w:r w:rsidR="00A60F23" w:rsidRPr="004C1BFC">
        <w:rPr>
          <w:i/>
          <w:iCs/>
        </w:rPr>
        <w:t>Той хто хоче – шукає можливості, хто не хоче – шукає причину.</w:t>
      </w:r>
      <w:r w:rsidR="00A60F23">
        <w:rPr>
          <w:i/>
          <w:iCs/>
        </w:rPr>
        <w:t>»</w:t>
      </w:r>
    </w:p>
    <w:p w:rsidR="00A60F23" w:rsidRDefault="00A60F23" w:rsidP="00761244">
      <w:pPr>
        <w:jc w:val="both"/>
      </w:pPr>
    </w:p>
    <w:p w:rsidR="008D3E54" w:rsidRPr="00987A20" w:rsidRDefault="00456D6A" w:rsidP="004E7E80">
      <w:pPr>
        <w:ind w:firstLine="708"/>
        <w:jc w:val="both"/>
      </w:pPr>
      <w:r>
        <w:t xml:space="preserve">Як приклад, </w:t>
      </w:r>
      <w:r w:rsidR="00B5060A">
        <w:t>воля до вирішення п</w:t>
      </w:r>
      <w:r>
        <w:t>итань із поточним відшкодуванням була, і тому питання вирішувалися.</w:t>
      </w:r>
      <w:r w:rsidR="00B5060A">
        <w:t xml:space="preserve"> Зокрема, </w:t>
      </w:r>
      <w:r w:rsidR="008D3E54" w:rsidRPr="00987A20">
        <w:t xml:space="preserve">Постановою Кабінету Міністрів України від 25.01.2017 р. № 26 було затверджено </w:t>
      </w:r>
      <w:r w:rsidR="008D3E54" w:rsidRPr="00987A20">
        <w:rPr>
          <w:i/>
        </w:rPr>
        <w:t xml:space="preserve">Порядок ведення Реєстру заяв про повернення суми бюджетного відшкодування податку на додану вартість, </w:t>
      </w:r>
      <w:r w:rsidR="008D3E54" w:rsidRPr="00987A20">
        <w:t>п. 2 преамбули якої передбачено, що (цитата):</w:t>
      </w:r>
      <w:r w:rsidR="001F70C1">
        <w:t xml:space="preserve"> </w:t>
      </w:r>
      <w:r w:rsidR="008D3E54" w:rsidRPr="00334E57">
        <w:t>«</w:t>
      </w:r>
      <w:r w:rsidR="008D3E54" w:rsidRPr="00334E57">
        <w:rPr>
          <w:rFonts w:ascii="Courier New" w:hAnsi="Courier New" w:cs="Courier New"/>
          <w:sz w:val="20"/>
        </w:rPr>
        <w:t>Установити, що до набрання чинності пунктами 1 і 3 цієї постанови бюджетне відшкодування …, здійснюється у порядку, що діяв до 1 січня 2017 року.»</w:t>
      </w:r>
      <w:r w:rsidR="00334E57">
        <w:rPr>
          <w:rFonts w:ascii="Courier New" w:hAnsi="Courier New" w:cs="Courier New"/>
          <w:sz w:val="20"/>
        </w:rPr>
        <w:t xml:space="preserve"> </w:t>
      </w:r>
      <w:r w:rsidR="008D3E54" w:rsidRPr="00987A20">
        <w:t xml:space="preserve">В свою чергу, оскільки поточний Реєстр заяв про повернення суми бюджетного відшкодування податку на додану вартість фактично зафункціонував з 01.04.2017 р. – </w:t>
      </w:r>
      <w:r w:rsidR="008D3E54" w:rsidRPr="00334E57">
        <w:t>у період з 01.01.2017 по 01.04.2017 р. бюджетне відшкодування здійснювалось за «старою» процедурою.</w:t>
      </w:r>
      <w:r w:rsidR="008D3E54" w:rsidRPr="00987A20">
        <w:t xml:space="preserve"> На такий період здійснення бюджетного відшкодування не було припинене у зв’язку із відсутністю поточного Реєстру.</w:t>
      </w:r>
    </w:p>
    <w:p w:rsidR="008D3E54" w:rsidRPr="00987A20" w:rsidRDefault="008D3E54" w:rsidP="008D3E54">
      <w:pPr>
        <w:jc w:val="both"/>
      </w:pPr>
    </w:p>
    <w:p w:rsidR="008D3E54" w:rsidRDefault="008D3E54" w:rsidP="004E7E80">
      <w:pPr>
        <w:ind w:firstLine="708"/>
        <w:jc w:val="both"/>
      </w:pPr>
      <w:r>
        <w:t xml:space="preserve">Чому ж  в такому разі бюджетне відшкодування </w:t>
      </w:r>
      <w:r w:rsidR="00334E57">
        <w:t xml:space="preserve">за «старими» заявами фактично заблоковано </w:t>
      </w:r>
      <w:r>
        <w:t xml:space="preserve">у зв’язку із відсутністю Тимчасового реєстру? </w:t>
      </w:r>
      <w:r w:rsidR="00334E57">
        <w:t>Якщо б на вирішення цього питання була політична воля, то навіть за невирішених практичних проблем із Тимчасовим реєстром міг би, по аналогії, застосовуватися такий підхід як щодо періоду до практичного запуску поточного Реєстру.</w:t>
      </w:r>
    </w:p>
    <w:p w:rsidR="00334E57" w:rsidRDefault="00334E57" w:rsidP="00761244">
      <w:pPr>
        <w:jc w:val="both"/>
      </w:pPr>
    </w:p>
    <w:p w:rsidR="00334E57" w:rsidRDefault="00B146B9" w:rsidP="004E7E80">
      <w:pPr>
        <w:ind w:firstLine="708"/>
        <w:jc w:val="both"/>
      </w:pPr>
      <w:r w:rsidRPr="00B146B9">
        <w:t xml:space="preserve">Крім того, додатково зазначимо, що </w:t>
      </w:r>
      <w:r>
        <w:t>Проект закону</w:t>
      </w:r>
      <w:r w:rsidRPr="00B146B9">
        <w:t xml:space="preserve"> у редакції, що оприлюднена наразі, </w:t>
      </w:r>
      <w:r w:rsidR="00334E57">
        <w:t xml:space="preserve">є технічно неопрацьованим, створює колізію між нормами, і навіть передбачає, всупереч Конституції, ігнорування судових рішень які набрали законної сили. </w:t>
      </w:r>
      <w:r w:rsidRPr="00B146B9">
        <w:t xml:space="preserve"> </w:t>
      </w:r>
    </w:p>
    <w:p w:rsidR="00334E57" w:rsidRDefault="00334E57" w:rsidP="00B146B9">
      <w:pPr>
        <w:jc w:val="both"/>
      </w:pPr>
    </w:p>
    <w:p w:rsidR="00B146B9" w:rsidRDefault="00334E57" w:rsidP="004E7E80">
      <w:pPr>
        <w:ind w:firstLine="708"/>
        <w:jc w:val="both"/>
      </w:pPr>
      <w:r>
        <w:lastRenderedPageBreak/>
        <w:t xml:space="preserve">Як приклад, </w:t>
      </w:r>
      <w:r w:rsidR="00B146B9" w:rsidRPr="00B146B9">
        <w:t xml:space="preserve">відповідно до </w:t>
      </w:r>
      <w:r w:rsidR="002C4538">
        <w:t>Проекту закону</w:t>
      </w:r>
      <w:r w:rsidR="00B146B9" w:rsidRPr="00B146B9">
        <w:t xml:space="preserve">, заяви про повернення суми бюджетного відшкодування </w:t>
      </w:r>
      <w:r w:rsidR="00B146B9" w:rsidRPr="00334E57">
        <w:rPr>
          <w:i/>
        </w:rPr>
        <w:t xml:space="preserve">вносяться </w:t>
      </w:r>
      <w:r w:rsidRPr="00334E57">
        <w:rPr>
          <w:i/>
        </w:rPr>
        <w:t>лише після завершення всіх процедур щодо вирішення спорів</w:t>
      </w:r>
      <w:r w:rsidR="00B146B9" w:rsidRPr="00B146B9">
        <w:t xml:space="preserve">. Разом з тим, відповідно до </w:t>
      </w:r>
      <w:r w:rsidR="002C4538">
        <w:t>Проекту закону</w:t>
      </w:r>
      <w:r w:rsidR="00B146B9" w:rsidRPr="00B146B9">
        <w:t>, чинним залишається положення п. 56 Перехідних положень ПК України про те, що «</w:t>
      </w:r>
      <w:r w:rsidR="00B146B9" w:rsidRPr="004E7E80">
        <w:t>Формування, ведення та офіційне публікування Тимчасового реєстру заяв про повернення суми бюджетного відшкодування, зазначеного у цьому пункті, здійснюються у порядку, визначеному статтею 200 цього Кодексу.»</w:t>
      </w:r>
      <w:r w:rsidRPr="004E7E80">
        <w:t xml:space="preserve"> А </w:t>
      </w:r>
      <w:r w:rsidR="00B146B9" w:rsidRPr="004E7E80">
        <w:t xml:space="preserve">п. 200.7.2 ПК України закріплює, що зави про повернення суми бюджетного відшкодування </w:t>
      </w:r>
      <w:r w:rsidR="00B146B9" w:rsidRPr="004E7E80">
        <w:rPr>
          <w:i/>
        </w:rPr>
        <w:t>вносяться у хронологічному</w:t>
      </w:r>
      <w:r w:rsidR="00B146B9" w:rsidRPr="00334E57">
        <w:rPr>
          <w:i/>
        </w:rPr>
        <w:t xml:space="preserve"> порядку їх надходження</w:t>
      </w:r>
      <w:r w:rsidR="00B146B9" w:rsidRPr="00B146B9">
        <w:t xml:space="preserve">. В такому разі, у разі прийняття </w:t>
      </w:r>
      <w:r w:rsidR="002C4538">
        <w:t>Проекту закону</w:t>
      </w:r>
      <w:r w:rsidR="00B146B9" w:rsidRPr="00B146B9">
        <w:t>, який порядок буде чинним?</w:t>
      </w:r>
    </w:p>
    <w:p w:rsidR="00334E57" w:rsidRDefault="00334E57" w:rsidP="00B146B9">
      <w:pPr>
        <w:jc w:val="both"/>
      </w:pPr>
    </w:p>
    <w:p w:rsidR="00334E57" w:rsidRDefault="00334E57" w:rsidP="004E7E80">
      <w:pPr>
        <w:ind w:firstLine="708"/>
        <w:jc w:val="both"/>
      </w:pPr>
      <w:r>
        <w:t xml:space="preserve">Однак крім явних недоліків Проекту закону, основну загрозу від нього ми бачимо в створенні ніби-то підстав для державних органів і далі зволікати з виконанням вимог встановлених діючим зараз законодавством. Адже якщо є очікування, що воно буде змінюватися, то навіщо його виконувати? </w:t>
      </w:r>
    </w:p>
    <w:p w:rsidR="00334E57" w:rsidRPr="00B146B9" w:rsidRDefault="00334E57" w:rsidP="00B146B9">
      <w:pPr>
        <w:jc w:val="both"/>
      </w:pPr>
    </w:p>
    <w:p w:rsidR="00FF7E4C" w:rsidRPr="00334E57" w:rsidRDefault="00FF7E4C" w:rsidP="004E7E80">
      <w:pPr>
        <w:ind w:firstLine="708"/>
        <w:jc w:val="both"/>
      </w:pPr>
      <w:r w:rsidRPr="00334E57">
        <w:t xml:space="preserve">У зв’язку із наведеним, </w:t>
      </w:r>
      <w:r w:rsidR="00334E57" w:rsidRPr="00334E57">
        <w:t xml:space="preserve">вважаємо реальною </w:t>
      </w:r>
      <w:r w:rsidRPr="00334E57">
        <w:t xml:space="preserve">необхідністю </w:t>
      </w:r>
      <w:r w:rsidR="00334E57" w:rsidRPr="00334E57">
        <w:t xml:space="preserve">виявлення реальної політичної волі і </w:t>
      </w:r>
      <w:r w:rsidRPr="00334E57">
        <w:t>забезпечення з боку органів державної влади якнайшвидшого реального виконання чинних законодавчих вимог по формуванню Тимчасового реєстру та здійсненню бюджетного відшкодування відповідно до визначеної черговості</w:t>
      </w:r>
      <w:r w:rsidR="00334E57" w:rsidRPr="00334E57">
        <w:t>, як це передбачено чинним законом.</w:t>
      </w:r>
    </w:p>
    <w:p w:rsidR="00F7483B" w:rsidRDefault="00F7483B" w:rsidP="00761244">
      <w:pPr>
        <w:jc w:val="both"/>
      </w:pPr>
    </w:p>
    <w:p w:rsidR="001E3CFF" w:rsidRDefault="001E3CFF" w:rsidP="00761244">
      <w:pPr>
        <w:jc w:val="both"/>
      </w:pPr>
      <w:bookmarkStart w:id="0" w:name="_GoBack"/>
      <w:bookmarkEnd w:id="0"/>
      <w:r>
        <w:t>Від такого невиконання потерпають зокрема і компанії іноземних інвесторів, які є членами Палати.</w:t>
      </w:r>
    </w:p>
    <w:p w:rsidR="002B5D7E" w:rsidRDefault="002B5D7E" w:rsidP="005E5679">
      <w:pPr>
        <w:jc w:val="both"/>
        <w:rPr>
          <w:b/>
        </w:rPr>
      </w:pPr>
    </w:p>
    <w:p w:rsidR="009B7679" w:rsidRDefault="000524A2" w:rsidP="005E5679">
      <w:pPr>
        <w:jc w:val="both"/>
      </w:pPr>
      <w:r>
        <w:t>У зв’язку із наведеним</w:t>
      </w:r>
      <w:r w:rsidR="009B7679" w:rsidRPr="00357622">
        <w:t>:</w:t>
      </w:r>
    </w:p>
    <w:p w:rsidR="00EE579C" w:rsidRPr="00357622" w:rsidRDefault="00EE579C" w:rsidP="005E5679">
      <w:pPr>
        <w:jc w:val="both"/>
      </w:pPr>
    </w:p>
    <w:p w:rsidR="002C4538" w:rsidRPr="004E7E80" w:rsidRDefault="002C4538" w:rsidP="002C4538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</w:rPr>
      </w:pPr>
      <w:r w:rsidRPr="004E7E80">
        <w:rPr>
          <w:rFonts w:ascii="Times New Roman" w:hAnsi="Times New Roman"/>
          <w:sz w:val="24"/>
        </w:rPr>
        <w:t>Закликаємо Міністерство фінансів України, Державну фіскальну службу України виконати чинні приписи п. 56 Підрозділу 2 Перехідних положень ПК України та направити усі можливі ресурси на формування Тимчасового реєстру</w:t>
      </w:r>
      <w:r w:rsidRPr="004E7E8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4E7E80">
        <w:rPr>
          <w:rFonts w:ascii="Times New Roman" w:hAnsi="Times New Roman"/>
          <w:sz w:val="24"/>
        </w:rPr>
        <w:t>заяв про повернення суми бюджетного відшкодування, його оприлюднення та здійснення бюджетного відшкодування за таким Тимчасовим реєстром</w:t>
      </w:r>
      <w:r w:rsidRPr="004E7E80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Pr="004E7E80">
        <w:rPr>
          <w:rFonts w:ascii="Times New Roman" w:hAnsi="Times New Roman"/>
          <w:sz w:val="24"/>
        </w:rPr>
        <w:t>заяв про повернення суми бюджетного відшкодування.</w:t>
      </w:r>
    </w:p>
    <w:p w:rsidR="002C4538" w:rsidRPr="004E7E80" w:rsidRDefault="002C4538" w:rsidP="002C4538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/>
          <w:sz w:val="24"/>
        </w:rPr>
      </w:pPr>
    </w:p>
    <w:p w:rsidR="0034053B" w:rsidRPr="004E7E80" w:rsidRDefault="000524A2" w:rsidP="0034053B">
      <w:pPr>
        <w:pStyle w:val="ListParagraph"/>
        <w:numPr>
          <w:ilvl w:val="0"/>
          <w:numId w:val="1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</w:rPr>
      </w:pPr>
      <w:r w:rsidRPr="004E7E80">
        <w:rPr>
          <w:rFonts w:ascii="Times New Roman" w:hAnsi="Times New Roman"/>
          <w:sz w:val="24"/>
        </w:rPr>
        <w:t xml:space="preserve">Закликаємо </w:t>
      </w:r>
      <w:r w:rsidR="0034053B" w:rsidRPr="004E7E80">
        <w:rPr>
          <w:rFonts w:ascii="Times New Roman" w:hAnsi="Times New Roman"/>
          <w:sz w:val="24"/>
        </w:rPr>
        <w:t>н</w:t>
      </w:r>
      <w:r w:rsidR="004951FD" w:rsidRPr="004E7E80">
        <w:rPr>
          <w:rFonts w:ascii="Times New Roman" w:hAnsi="Times New Roman"/>
          <w:sz w:val="24"/>
        </w:rPr>
        <w:t>е реєструвати у Верховній Раді України Проект Закону України "Про внесення змін до пункту 56 підрозділу 2 розділу XX «Перехідні положення» Податкового кодексу України щодо Тимчасового реєстру заяв про повернення суми бюджетного відшкодування" у тій редакції, як його оприлюднено 21.09.2017 р. на офіційному веб-сайті Міністерства Фінансів України.</w:t>
      </w:r>
    </w:p>
    <w:p w:rsidR="0034053B" w:rsidRDefault="0034053B" w:rsidP="0034053B">
      <w:pPr>
        <w:pStyle w:val="ListParagraph"/>
        <w:spacing w:after="0" w:line="240" w:lineRule="auto"/>
        <w:ind w:left="714"/>
        <w:contextualSpacing w:val="0"/>
        <w:jc w:val="both"/>
        <w:rPr>
          <w:rFonts w:ascii="Times New Roman" w:hAnsi="Times New Roman"/>
          <w:b/>
          <w:sz w:val="24"/>
        </w:rPr>
      </w:pPr>
    </w:p>
    <w:p w:rsidR="0034053B" w:rsidRPr="0005046B" w:rsidRDefault="0034053B" w:rsidP="005E5679">
      <w:pPr>
        <w:jc w:val="both"/>
      </w:pPr>
    </w:p>
    <w:p w:rsidR="004E7E80" w:rsidRPr="00756A9A" w:rsidRDefault="004E7E80" w:rsidP="004E7E80">
      <w:pPr>
        <w:jc w:val="both"/>
        <w:rPr>
          <w:b/>
        </w:rPr>
      </w:pPr>
      <w:r w:rsidRPr="00756A9A">
        <w:rPr>
          <w:b/>
        </w:rPr>
        <w:t>З глибокою повагою та найкращими побажаннями,</w:t>
      </w:r>
    </w:p>
    <w:p w:rsidR="004E7E80" w:rsidRPr="00756A9A" w:rsidRDefault="004E7E80" w:rsidP="004E7E80">
      <w:pPr>
        <w:jc w:val="both"/>
      </w:pPr>
    </w:p>
    <w:p w:rsidR="004E7E80" w:rsidRPr="00756A9A" w:rsidRDefault="004E7E80" w:rsidP="004E7E80">
      <w:r w:rsidRPr="00756A9A">
        <w:rPr>
          <w:b/>
        </w:rPr>
        <w:t>Президент</w:t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</w:r>
      <w:r w:rsidRPr="00756A9A">
        <w:rPr>
          <w:b/>
        </w:rPr>
        <w:tab/>
        <w:t xml:space="preserve">                       Андрій </w:t>
      </w:r>
      <w:proofErr w:type="spellStart"/>
      <w:r w:rsidRPr="00756A9A">
        <w:rPr>
          <w:b/>
        </w:rPr>
        <w:t>Гундер</w:t>
      </w:r>
      <w:proofErr w:type="spellEnd"/>
    </w:p>
    <w:p w:rsidR="004E7E80" w:rsidRDefault="004E7E80" w:rsidP="004E7E80">
      <w:pPr>
        <w:ind w:firstLine="708"/>
        <w:jc w:val="both"/>
      </w:pPr>
    </w:p>
    <w:p w:rsidR="00B9428C" w:rsidRPr="0005046B" w:rsidRDefault="00B9428C" w:rsidP="004E7E80">
      <w:pPr>
        <w:jc w:val="both"/>
      </w:pPr>
    </w:p>
    <w:sectPr w:rsidR="00B9428C" w:rsidRPr="0005046B" w:rsidSect="002B5D7E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567" w:right="567" w:bottom="567" w:left="567" w:header="1247" w:footer="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1BE" w:rsidRDefault="002831BE" w:rsidP="00742BAD">
      <w:r>
        <w:separator/>
      </w:r>
    </w:p>
  </w:endnote>
  <w:endnote w:type="continuationSeparator" w:id="0">
    <w:p w:rsidR="002831BE" w:rsidRDefault="002831BE" w:rsidP="00742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Pr="00843624" w:rsidRDefault="00056773" w:rsidP="00590E60">
    <w:pPr>
      <w:tabs>
        <w:tab w:val="left" w:pos="1170"/>
      </w:tabs>
      <w:ind w:left="1350" w:hanging="135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_________________________________________________________________________________________________________________________</w:t>
    </w:r>
  </w:p>
  <w:p w:rsidR="00056773" w:rsidRPr="00843624" w:rsidRDefault="00056773" w:rsidP="00D33472">
    <w:pPr>
      <w:ind w:left="1560" w:hanging="1560"/>
      <w:jc w:val="both"/>
      <w:rPr>
        <w:rFonts w:ascii="Arial" w:hAnsi="Arial" w:cs="Arial"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</w:rPr>
      <w:t>Рада директорів</w:t>
    </w:r>
    <w:r w:rsidRPr="00843624">
      <w:rPr>
        <w:rFonts w:ascii="Arial" w:hAnsi="Arial" w:cs="Arial"/>
        <w:i/>
        <w:color w:val="404040"/>
        <w:sz w:val="16"/>
        <w:szCs w:val="16"/>
      </w:rPr>
      <w:t xml:space="preserve">: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Гжегож Хмелярський, </w:t>
    </w:r>
    <w:r w:rsidRPr="00843624">
      <w:rPr>
        <w:rFonts w:ascii="Arial" w:hAnsi="Arial" w:cs="Arial"/>
        <w:i/>
        <w:color w:val="404040"/>
        <w:sz w:val="16"/>
        <w:szCs w:val="16"/>
      </w:rPr>
      <w:t>“МакДональдз Юкрейн”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Голова; Шевкі Аджунер, </w:t>
    </w:r>
    <w:r w:rsidRPr="00843624">
      <w:rPr>
        <w:rFonts w:ascii="Arial" w:hAnsi="Arial" w:cs="Arial"/>
        <w:i/>
        <w:color w:val="404040"/>
        <w:sz w:val="16"/>
        <w:szCs w:val="16"/>
      </w:rPr>
      <w:t>Європейський банк реконструкції та розвитку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Мартін Шумахер, </w:t>
    </w:r>
    <w:r w:rsidRPr="00843624">
      <w:rPr>
        <w:rFonts w:ascii="Arial" w:hAnsi="Arial" w:cs="Arial"/>
        <w:i/>
        <w:color w:val="404040"/>
        <w:sz w:val="16"/>
        <w:szCs w:val="16"/>
      </w:rPr>
      <w:t>"МЕТРО Кеш енд Кері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Заступник голови; Надія Васильєва, </w:t>
    </w:r>
    <w:r w:rsidRPr="00843624">
      <w:rPr>
        <w:rFonts w:ascii="Arial" w:hAnsi="Arial" w:cs="Arial"/>
        <w:i/>
        <w:color w:val="404040"/>
        <w:sz w:val="16"/>
        <w:szCs w:val="16"/>
      </w:rPr>
      <w:t>“Майкрософт Україна”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Скарбник; Олег Тимків, </w:t>
    </w:r>
    <w:r w:rsidRPr="00843624">
      <w:rPr>
        <w:rFonts w:ascii="Arial" w:hAnsi="Arial" w:cs="Arial"/>
        <w:i/>
        <w:color w:val="404040"/>
        <w:sz w:val="16"/>
        <w:szCs w:val="16"/>
      </w:rPr>
      <w:t>PwC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Секретар; Сергій Чорний, </w:t>
    </w:r>
    <w:r w:rsidRPr="00843624">
      <w:rPr>
        <w:rFonts w:ascii="Arial" w:hAnsi="Arial" w:cs="Arial"/>
        <w:i/>
        <w:color w:val="404040"/>
        <w:sz w:val="16"/>
        <w:szCs w:val="16"/>
      </w:rPr>
      <w:t>“Бейкер і Макензі”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– Юридичний радник; Ленна Кожарни, </w:t>
    </w:r>
    <w:r w:rsidRPr="00843624">
      <w:rPr>
        <w:rFonts w:ascii="Arial" w:hAnsi="Arial" w:cs="Arial"/>
        <w:i/>
        <w:color w:val="404040"/>
        <w:sz w:val="16"/>
        <w:szCs w:val="16"/>
      </w:rPr>
      <w:t>Horizon Capital;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Стівен Фішер, </w:t>
    </w:r>
    <w:r w:rsidRPr="00843624">
      <w:rPr>
        <w:rFonts w:ascii="Arial" w:hAnsi="Arial" w:cs="Arial"/>
        <w:i/>
        <w:color w:val="404040"/>
        <w:sz w:val="16"/>
        <w:szCs w:val="16"/>
      </w:rPr>
      <w:t>"СІТІ";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Євген Шевченко, </w:t>
    </w:r>
    <w:r w:rsidRPr="00843624">
      <w:rPr>
        <w:rFonts w:ascii="Arial" w:hAnsi="Arial" w:cs="Arial"/>
        <w:i/>
        <w:color w:val="404040"/>
        <w:sz w:val="16"/>
        <w:szCs w:val="16"/>
      </w:rPr>
      <w:t>Carlsberg;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Мартін Шульдт, </w:t>
    </w:r>
    <w:r w:rsidRPr="00843624">
      <w:rPr>
        <w:rFonts w:ascii="Arial" w:hAnsi="Arial" w:cs="Arial"/>
        <w:i/>
        <w:color w:val="404040"/>
        <w:sz w:val="16"/>
        <w:szCs w:val="16"/>
      </w:rPr>
      <w:t>"Каргілл".</w:t>
    </w:r>
  </w:p>
  <w:p w:rsidR="00056773" w:rsidRPr="00843624" w:rsidRDefault="00056773" w:rsidP="004C3FCF">
    <w:pPr>
      <w:ind w:left="1560" w:hanging="1560"/>
      <w:jc w:val="both"/>
      <w:rPr>
        <w:rFonts w:ascii="Arial" w:hAnsi="Arial" w:cs="Arial"/>
        <w:b/>
        <w:i/>
        <w:color w:val="404040"/>
        <w:sz w:val="16"/>
        <w:szCs w:val="16"/>
      </w:rPr>
    </w:pP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>П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резидент: </w:t>
    </w:r>
    <w:r w:rsidRPr="00843624">
      <w:rPr>
        <w:rFonts w:ascii="Arial" w:hAnsi="Arial" w:cs="Arial"/>
        <w:b/>
        <w:i/>
        <w:color w:val="404040"/>
        <w:sz w:val="16"/>
        <w:szCs w:val="16"/>
        <w:lang w:val="ru-RU"/>
      </w:rPr>
      <w:t xml:space="preserve">          </w:t>
    </w:r>
    <w:r w:rsidRPr="00843624">
      <w:rPr>
        <w:rFonts w:ascii="Arial" w:hAnsi="Arial" w:cs="Arial"/>
        <w:b/>
        <w:i/>
        <w:color w:val="404040"/>
        <w:sz w:val="16"/>
        <w:szCs w:val="16"/>
      </w:rPr>
      <w:t xml:space="preserve"> Андрій Гундер</w:t>
    </w:r>
  </w:p>
  <w:p w:rsidR="00056773" w:rsidRPr="005F4AD6" w:rsidRDefault="00056773" w:rsidP="00590E60">
    <w:pPr>
      <w:pStyle w:val="1"/>
      <w:tabs>
        <w:tab w:val="left" w:pos="1440"/>
        <w:tab w:val="left" w:pos="1560"/>
      </w:tabs>
      <w:spacing w:before="0" w:beforeAutospacing="0" w:after="0" w:afterAutospacing="0"/>
      <w:ind w:left="1350" w:hanging="1350"/>
      <w:jc w:val="both"/>
      <w:rPr>
        <w:rFonts w:ascii="Arial" w:hAnsi="Arial" w:cs="Arial"/>
        <w:b/>
        <w:i/>
        <w:color w:val="244061"/>
        <w:sz w:val="16"/>
        <w:szCs w:val="16"/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1BE" w:rsidRDefault="002831BE" w:rsidP="00742BAD">
      <w:r>
        <w:separator/>
      </w:r>
    </w:p>
  </w:footnote>
  <w:footnote w:type="continuationSeparator" w:id="0">
    <w:p w:rsidR="002831BE" w:rsidRDefault="002831BE" w:rsidP="00742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Default="00283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79" o:spid="_x0000_s2051" type="#_x0000_t136" style="position:absolute;margin-left:0;margin-top:0;width:542.4pt;height:216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Pr="00712510" w:rsidRDefault="002831BE" w:rsidP="00712510">
    <w:pPr>
      <w:pStyle w:val="Header"/>
      <w:rPr>
        <w:lang w:val="en-US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80" o:spid="_x0000_s2052" type="#_x0000_t136" style="position:absolute;margin-left:0;margin-top:0;width:542.4pt;height:216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r w:rsidR="00C92D09">
      <w:rPr>
        <w:noProof/>
        <w:lang w:val="en-US" w:eastAsia="en-U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-352425</wp:posOffset>
          </wp:positionH>
          <wp:positionV relativeFrom="page">
            <wp:posOffset>88900</wp:posOffset>
          </wp:positionV>
          <wp:extent cx="7541895" cy="939800"/>
          <wp:effectExtent l="0" t="0" r="1905" b="0"/>
          <wp:wrapNone/>
          <wp:docPr id="1" name="Рисунок 1" descr="\\NATASHA\jpg2\test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NATASHA\jpg2\test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045" b="7770"/>
                  <a:stretch>
                    <a:fillRect/>
                  </a:stretch>
                </pic:blipFill>
                <pic:spPr bwMode="auto">
                  <a:xfrm>
                    <a:off x="0" y="0"/>
                    <a:ext cx="7541895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6773" w:rsidRDefault="002831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20778" o:spid="_x0000_s2050" type="#_x0000_t136" style="position:absolute;margin-left:0;margin-top:0;width:542.4pt;height:216.95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5FBB"/>
    <w:multiLevelType w:val="hybridMultilevel"/>
    <w:tmpl w:val="9CCA6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0F44"/>
    <w:multiLevelType w:val="hybridMultilevel"/>
    <w:tmpl w:val="5A8044C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42406"/>
    <w:multiLevelType w:val="hybridMultilevel"/>
    <w:tmpl w:val="456EE1EE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01583"/>
    <w:multiLevelType w:val="hybridMultilevel"/>
    <w:tmpl w:val="99FE55E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2383F"/>
    <w:multiLevelType w:val="hybridMultilevel"/>
    <w:tmpl w:val="8946DA68"/>
    <w:lvl w:ilvl="0" w:tplc="07E2DD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5C2A"/>
    <w:multiLevelType w:val="hybridMultilevel"/>
    <w:tmpl w:val="E45C3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0671F"/>
    <w:multiLevelType w:val="hybridMultilevel"/>
    <w:tmpl w:val="D05C1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A3317"/>
    <w:multiLevelType w:val="hybridMultilevel"/>
    <w:tmpl w:val="A57E40DA"/>
    <w:lvl w:ilvl="0" w:tplc="783049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43B517A"/>
    <w:multiLevelType w:val="hybridMultilevel"/>
    <w:tmpl w:val="D4B4947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726612"/>
    <w:multiLevelType w:val="hybridMultilevel"/>
    <w:tmpl w:val="FF6A12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52EA8"/>
    <w:multiLevelType w:val="hybridMultilevel"/>
    <w:tmpl w:val="81924418"/>
    <w:lvl w:ilvl="0" w:tplc="7264EBE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4F1477B"/>
    <w:multiLevelType w:val="hybridMultilevel"/>
    <w:tmpl w:val="E7486744"/>
    <w:lvl w:ilvl="0" w:tplc="7BAAB04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94C2413"/>
    <w:multiLevelType w:val="hybridMultilevel"/>
    <w:tmpl w:val="1E0E89F2"/>
    <w:lvl w:ilvl="0" w:tplc="9326B1E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4"/>
  </w:num>
  <w:num w:numId="7">
    <w:abstractNumId w:val="11"/>
  </w:num>
  <w:num w:numId="8">
    <w:abstractNumId w:val="7"/>
  </w:num>
  <w:num w:numId="9">
    <w:abstractNumId w:val="10"/>
  </w:num>
  <w:num w:numId="10">
    <w:abstractNumId w:val="12"/>
  </w:num>
  <w:num w:numId="11">
    <w:abstractNumId w:val="5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F30"/>
    <w:rsid w:val="000049AA"/>
    <w:rsid w:val="00004A38"/>
    <w:rsid w:val="00005CAE"/>
    <w:rsid w:val="00012871"/>
    <w:rsid w:val="00013BB0"/>
    <w:rsid w:val="00013BBC"/>
    <w:rsid w:val="0001714A"/>
    <w:rsid w:val="0002094A"/>
    <w:rsid w:val="000209B7"/>
    <w:rsid w:val="00023C1C"/>
    <w:rsid w:val="00024350"/>
    <w:rsid w:val="00034946"/>
    <w:rsid w:val="000426AB"/>
    <w:rsid w:val="000429DF"/>
    <w:rsid w:val="0005046B"/>
    <w:rsid w:val="000524A2"/>
    <w:rsid w:val="00052549"/>
    <w:rsid w:val="000563D0"/>
    <w:rsid w:val="00056773"/>
    <w:rsid w:val="00057E02"/>
    <w:rsid w:val="00065140"/>
    <w:rsid w:val="000676F6"/>
    <w:rsid w:val="000712AD"/>
    <w:rsid w:val="000713D1"/>
    <w:rsid w:val="00072CB3"/>
    <w:rsid w:val="00080E45"/>
    <w:rsid w:val="00081071"/>
    <w:rsid w:val="00082473"/>
    <w:rsid w:val="00082FC7"/>
    <w:rsid w:val="00090086"/>
    <w:rsid w:val="00095677"/>
    <w:rsid w:val="00095FB6"/>
    <w:rsid w:val="000A5203"/>
    <w:rsid w:val="000A544D"/>
    <w:rsid w:val="000A7F13"/>
    <w:rsid w:val="000B02D4"/>
    <w:rsid w:val="000B0DBE"/>
    <w:rsid w:val="000B280C"/>
    <w:rsid w:val="000C3C0F"/>
    <w:rsid w:val="000C493B"/>
    <w:rsid w:val="000C4C16"/>
    <w:rsid w:val="000D18EA"/>
    <w:rsid w:val="000D24B9"/>
    <w:rsid w:val="000D4B76"/>
    <w:rsid w:val="000D7E0A"/>
    <w:rsid w:val="000E3826"/>
    <w:rsid w:val="000E63EE"/>
    <w:rsid w:val="000F3C27"/>
    <w:rsid w:val="00101118"/>
    <w:rsid w:val="00104311"/>
    <w:rsid w:val="0011156B"/>
    <w:rsid w:val="001121F8"/>
    <w:rsid w:val="0011349F"/>
    <w:rsid w:val="001144A8"/>
    <w:rsid w:val="00116E97"/>
    <w:rsid w:val="0011751D"/>
    <w:rsid w:val="00122185"/>
    <w:rsid w:val="00130616"/>
    <w:rsid w:val="00131ACF"/>
    <w:rsid w:val="001368E3"/>
    <w:rsid w:val="0014059B"/>
    <w:rsid w:val="00165192"/>
    <w:rsid w:val="00165464"/>
    <w:rsid w:val="0016691C"/>
    <w:rsid w:val="00170762"/>
    <w:rsid w:val="00173309"/>
    <w:rsid w:val="00175630"/>
    <w:rsid w:val="00175741"/>
    <w:rsid w:val="0018289C"/>
    <w:rsid w:val="00182929"/>
    <w:rsid w:val="001859B7"/>
    <w:rsid w:val="001A0927"/>
    <w:rsid w:val="001A1C22"/>
    <w:rsid w:val="001A3853"/>
    <w:rsid w:val="001A49ED"/>
    <w:rsid w:val="001A6F6D"/>
    <w:rsid w:val="001B1E0E"/>
    <w:rsid w:val="001B3E6B"/>
    <w:rsid w:val="001C5535"/>
    <w:rsid w:val="001C5DFB"/>
    <w:rsid w:val="001C6644"/>
    <w:rsid w:val="001C7124"/>
    <w:rsid w:val="001E0FE8"/>
    <w:rsid w:val="001E3CFF"/>
    <w:rsid w:val="001F0D88"/>
    <w:rsid w:val="001F2AD5"/>
    <w:rsid w:val="001F2E11"/>
    <w:rsid w:val="001F2EDF"/>
    <w:rsid w:val="001F3558"/>
    <w:rsid w:val="001F70C1"/>
    <w:rsid w:val="0020118C"/>
    <w:rsid w:val="00201D61"/>
    <w:rsid w:val="002024E6"/>
    <w:rsid w:val="00204B14"/>
    <w:rsid w:val="00211E97"/>
    <w:rsid w:val="0022412B"/>
    <w:rsid w:val="002257CF"/>
    <w:rsid w:val="00225A29"/>
    <w:rsid w:val="0023111F"/>
    <w:rsid w:val="00233043"/>
    <w:rsid w:val="002424FC"/>
    <w:rsid w:val="00247998"/>
    <w:rsid w:val="00251EB6"/>
    <w:rsid w:val="0025568E"/>
    <w:rsid w:val="00261FF9"/>
    <w:rsid w:val="002722B6"/>
    <w:rsid w:val="00281809"/>
    <w:rsid w:val="002831BE"/>
    <w:rsid w:val="00293BCD"/>
    <w:rsid w:val="00294280"/>
    <w:rsid w:val="002A1E61"/>
    <w:rsid w:val="002A26D5"/>
    <w:rsid w:val="002A5B87"/>
    <w:rsid w:val="002B416F"/>
    <w:rsid w:val="002B41E3"/>
    <w:rsid w:val="002B5D7E"/>
    <w:rsid w:val="002B60F0"/>
    <w:rsid w:val="002C317F"/>
    <w:rsid w:val="002C4538"/>
    <w:rsid w:val="002D1292"/>
    <w:rsid w:val="002D3789"/>
    <w:rsid w:val="002E1592"/>
    <w:rsid w:val="002E4915"/>
    <w:rsid w:val="002E6079"/>
    <w:rsid w:val="002E6510"/>
    <w:rsid w:val="002F0628"/>
    <w:rsid w:val="002F10D6"/>
    <w:rsid w:val="002F3DA5"/>
    <w:rsid w:val="00310407"/>
    <w:rsid w:val="003113C3"/>
    <w:rsid w:val="00311B6E"/>
    <w:rsid w:val="0031780C"/>
    <w:rsid w:val="00322A42"/>
    <w:rsid w:val="00326293"/>
    <w:rsid w:val="003323AC"/>
    <w:rsid w:val="003335FB"/>
    <w:rsid w:val="0033444C"/>
    <w:rsid w:val="00334C9B"/>
    <w:rsid w:val="00334E57"/>
    <w:rsid w:val="00336BB2"/>
    <w:rsid w:val="00337E7A"/>
    <w:rsid w:val="0034053B"/>
    <w:rsid w:val="003419C6"/>
    <w:rsid w:val="0034220D"/>
    <w:rsid w:val="0034289B"/>
    <w:rsid w:val="00357622"/>
    <w:rsid w:val="0036110F"/>
    <w:rsid w:val="00365E1F"/>
    <w:rsid w:val="00377540"/>
    <w:rsid w:val="00385169"/>
    <w:rsid w:val="00386D3A"/>
    <w:rsid w:val="00391967"/>
    <w:rsid w:val="003979A2"/>
    <w:rsid w:val="003A1F50"/>
    <w:rsid w:val="003A76E1"/>
    <w:rsid w:val="003C1500"/>
    <w:rsid w:val="003C24FD"/>
    <w:rsid w:val="003C6D7C"/>
    <w:rsid w:val="003D7266"/>
    <w:rsid w:val="003E256D"/>
    <w:rsid w:val="003E4E18"/>
    <w:rsid w:val="003F0939"/>
    <w:rsid w:val="003F2921"/>
    <w:rsid w:val="003F42EB"/>
    <w:rsid w:val="003F6C2D"/>
    <w:rsid w:val="003F7D10"/>
    <w:rsid w:val="00410837"/>
    <w:rsid w:val="00410F74"/>
    <w:rsid w:val="00411899"/>
    <w:rsid w:val="00414D21"/>
    <w:rsid w:val="00416B0C"/>
    <w:rsid w:val="00416DFE"/>
    <w:rsid w:val="00420ED4"/>
    <w:rsid w:val="004249BD"/>
    <w:rsid w:val="00432BB0"/>
    <w:rsid w:val="00447CBD"/>
    <w:rsid w:val="0045328F"/>
    <w:rsid w:val="00456D6A"/>
    <w:rsid w:val="00460A77"/>
    <w:rsid w:val="00463E99"/>
    <w:rsid w:val="00465F45"/>
    <w:rsid w:val="00471536"/>
    <w:rsid w:val="00472201"/>
    <w:rsid w:val="00473C97"/>
    <w:rsid w:val="004778DC"/>
    <w:rsid w:val="0048035E"/>
    <w:rsid w:val="00487357"/>
    <w:rsid w:val="004907EC"/>
    <w:rsid w:val="004951FD"/>
    <w:rsid w:val="004A043D"/>
    <w:rsid w:val="004A36F9"/>
    <w:rsid w:val="004A6036"/>
    <w:rsid w:val="004B4B30"/>
    <w:rsid w:val="004B4D55"/>
    <w:rsid w:val="004B5B13"/>
    <w:rsid w:val="004B64F6"/>
    <w:rsid w:val="004B6FC2"/>
    <w:rsid w:val="004C1BFC"/>
    <w:rsid w:val="004C3FCF"/>
    <w:rsid w:val="004C7016"/>
    <w:rsid w:val="004C7DE7"/>
    <w:rsid w:val="004D5ECB"/>
    <w:rsid w:val="004E2834"/>
    <w:rsid w:val="004E6837"/>
    <w:rsid w:val="004E7E80"/>
    <w:rsid w:val="004F0503"/>
    <w:rsid w:val="004F48ED"/>
    <w:rsid w:val="00510786"/>
    <w:rsid w:val="00523B29"/>
    <w:rsid w:val="00524457"/>
    <w:rsid w:val="00526E6B"/>
    <w:rsid w:val="005365FC"/>
    <w:rsid w:val="00537831"/>
    <w:rsid w:val="00537B72"/>
    <w:rsid w:val="00545DBA"/>
    <w:rsid w:val="00547C35"/>
    <w:rsid w:val="005502DF"/>
    <w:rsid w:val="00555217"/>
    <w:rsid w:val="0056346F"/>
    <w:rsid w:val="00567698"/>
    <w:rsid w:val="005717C7"/>
    <w:rsid w:val="00571D99"/>
    <w:rsid w:val="00572E3C"/>
    <w:rsid w:val="00575DF4"/>
    <w:rsid w:val="0058072A"/>
    <w:rsid w:val="00581BFA"/>
    <w:rsid w:val="00590E60"/>
    <w:rsid w:val="00591184"/>
    <w:rsid w:val="005919E2"/>
    <w:rsid w:val="005964C2"/>
    <w:rsid w:val="005A054D"/>
    <w:rsid w:val="005A0F73"/>
    <w:rsid w:val="005A27B1"/>
    <w:rsid w:val="005A67AA"/>
    <w:rsid w:val="005A76B0"/>
    <w:rsid w:val="005B7144"/>
    <w:rsid w:val="005C0201"/>
    <w:rsid w:val="005C3D84"/>
    <w:rsid w:val="005D0C5B"/>
    <w:rsid w:val="005D7303"/>
    <w:rsid w:val="005E0B5D"/>
    <w:rsid w:val="005E252E"/>
    <w:rsid w:val="005E5679"/>
    <w:rsid w:val="005E64F9"/>
    <w:rsid w:val="005F1110"/>
    <w:rsid w:val="005F12DE"/>
    <w:rsid w:val="005F200A"/>
    <w:rsid w:val="005F2067"/>
    <w:rsid w:val="005F4AD6"/>
    <w:rsid w:val="005F4D10"/>
    <w:rsid w:val="00600B33"/>
    <w:rsid w:val="00601BCC"/>
    <w:rsid w:val="00604ECE"/>
    <w:rsid w:val="00611287"/>
    <w:rsid w:val="00612DEE"/>
    <w:rsid w:val="006215E6"/>
    <w:rsid w:val="006300E9"/>
    <w:rsid w:val="006344A5"/>
    <w:rsid w:val="00642A4C"/>
    <w:rsid w:val="00642B14"/>
    <w:rsid w:val="0064737E"/>
    <w:rsid w:val="00653F6D"/>
    <w:rsid w:val="00655BA6"/>
    <w:rsid w:val="00670497"/>
    <w:rsid w:val="00672DDB"/>
    <w:rsid w:val="006742F2"/>
    <w:rsid w:val="006757E9"/>
    <w:rsid w:val="00680F5D"/>
    <w:rsid w:val="006823F1"/>
    <w:rsid w:val="00682652"/>
    <w:rsid w:val="00682C77"/>
    <w:rsid w:val="006837B5"/>
    <w:rsid w:val="0068417E"/>
    <w:rsid w:val="0069115B"/>
    <w:rsid w:val="006921E2"/>
    <w:rsid w:val="0069659D"/>
    <w:rsid w:val="006A0F1F"/>
    <w:rsid w:val="006A48BA"/>
    <w:rsid w:val="006A512C"/>
    <w:rsid w:val="006A63D0"/>
    <w:rsid w:val="006B1516"/>
    <w:rsid w:val="006B1904"/>
    <w:rsid w:val="006B1945"/>
    <w:rsid w:val="006B267A"/>
    <w:rsid w:val="006B382E"/>
    <w:rsid w:val="006C6AEB"/>
    <w:rsid w:val="006C773B"/>
    <w:rsid w:val="006C7F54"/>
    <w:rsid w:val="006D22CE"/>
    <w:rsid w:val="006D63E3"/>
    <w:rsid w:val="006D7045"/>
    <w:rsid w:val="006D7579"/>
    <w:rsid w:val="006D7A16"/>
    <w:rsid w:val="00701C1D"/>
    <w:rsid w:val="007043FB"/>
    <w:rsid w:val="00707E09"/>
    <w:rsid w:val="007100AE"/>
    <w:rsid w:val="00712510"/>
    <w:rsid w:val="0071394E"/>
    <w:rsid w:val="007172CD"/>
    <w:rsid w:val="007240B7"/>
    <w:rsid w:val="007276E5"/>
    <w:rsid w:val="00742BAD"/>
    <w:rsid w:val="00761244"/>
    <w:rsid w:val="00765CFE"/>
    <w:rsid w:val="007735F0"/>
    <w:rsid w:val="007771AC"/>
    <w:rsid w:val="00780EA3"/>
    <w:rsid w:val="007816B3"/>
    <w:rsid w:val="00781E48"/>
    <w:rsid w:val="00782072"/>
    <w:rsid w:val="007838D5"/>
    <w:rsid w:val="00792C19"/>
    <w:rsid w:val="007939AA"/>
    <w:rsid w:val="007A2AE3"/>
    <w:rsid w:val="007B1E6C"/>
    <w:rsid w:val="007B287E"/>
    <w:rsid w:val="007C2209"/>
    <w:rsid w:val="007C4A88"/>
    <w:rsid w:val="007C508D"/>
    <w:rsid w:val="007D2033"/>
    <w:rsid w:val="007E0507"/>
    <w:rsid w:val="007E094B"/>
    <w:rsid w:val="007F12FD"/>
    <w:rsid w:val="007F3122"/>
    <w:rsid w:val="007F381B"/>
    <w:rsid w:val="007F7BC9"/>
    <w:rsid w:val="00803852"/>
    <w:rsid w:val="00805961"/>
    <w:rsid w:val="00810E03"/>
    <w:rsid w:val="008135B8"/>
    <w:rsid w:val="008172BE"/>
    <w:rsid w:val="00821F0E"/>
    <w:rsid w:val="00822E86"/>
    <w:rsid w:val="00825248"/>
    <w:rsid w:val="00826787"/>
    <w:rsid w:val="00826CC3"/>
    <w:rsid w:val="00827067"/>
    <w:rsid w:val="00836B02"/>
    <w:rsid w:val="00837CAC"/>
    <w:rsid w:val="008406CF"/>
    <w:rsid w:val="00842F47"/>
    <w:rsid w:val="008432A4"/>
    <w:rsid w:val="00843624"/>
    <w:rsid w:val="008509D2"/>
    <w:rsid w:val="00851029"/>
    <w:rsid w:val="00853E01"/>
    <w:rsid w:val="008572AA"/>
    <w:rsid w:val="0085755E"/>
    <w:rsid w:val="00857E88"/>
    <w:rsid w:val="00857FD7"/>
    <w:rsid w:val="00862367"/>
    <w:rsid w:val="00876D67"/>
    <w:rsid w:val="00880B30"/>
    <w:rsid w:val="00883898"/>
    <w:rsid w:val="00886147"/>
    <w:rsid w:val="00892E53"/>
    <w:rsid w:val="008A1B6B"/>
    <w:rsid w:val="008A6C42"/>
    <w:rsid w:val="008B5F6E"/>
    <w:rsid w:val="008C32A0"/>
    <w:rsid w:val="008C457F"/>
    <w:rsid w:val="008C5884"/>
    <w:rsid w:val="008C5F96"/>
    <w:rsid w:val="008D3328"/>
    <w:rsid w:val="008D3E54"/>
    <w:rsid w:val="008D7BE7"/>
    <w:rsid w:val="008E18A2"/>
    <w:rsid w:val="008E2570"/>
    <w:rsid w:val="008E27B7"/>
    <w:rsid w:val="00905A6C"/>
    <w:rsid w:val="00906E48"/>
    <w:rsid w:val="009070DE"/>
    <w:rsid w:val="009071F1"/>
    <w:rsid w:val="00912808"/>
    <w:rsid w:val="00913AAB"/>
    <w:rsid w:val="00913BAD"/>
    <w:rsid w:val="0092279C"/>
    <w:rsid w:val="00932F3A"/>
    <w:rsid w:val="00933568"/>
    <w:rsid w:val="009416C4"/>
    <w:rsid w:val="00955523"/>
    <w:rsid w:val="00961564"/>
    <w:rsid w:val="00962133"/>
    <w:rsid w:val="0096223E"/>
    <w:rsid w:val="0096734C"/>
    <w:rsid w:val="00970E9A"/>
    <w:rsid w:val="00980DE8"/>
    <w:rsid w:val="00981272"/>
    <w:rsid w:val="00985888"/>
    <w:rsid w:val="00987A20"/>
    <w:rsid w:val="009A0B4F"/>
    <w:rsid w:val="009A711C"/>
    <w:rsid w:val="009B0A71"/>
    <w:rsid w:val="009B1FB4"/>
    <w:rsid w:val="009B60C0"/>
    <w:rsid w:val="009B6F27"/>
    <w:rsid w:val="009B7679"/>
    <w:rsid w:val="009C3EA6"/>
    <w:rsid w:val="009D064C"/>
    <w:rsid w:val="009D1CA0"/>
    <w:rsid w:val="009D325B"/>
    <w:rsid w:val="009E0ED4"/>
    <w:rsid w:val="009E2887"/>
    <w:rsid w:val="009F6C62"/>
    <w:rsid w:val="00A01FE2"/>
    <w:rsid w:val="00A11672"/>
    <w:rsid w:val="00A140D3"/>
    <w:rsid w:val="00A14BCE"/>
    <w:rsid w:val="00A15427"/>
    <w:rsid w:val="00A30D0B"/>
    <w:rsid w:val="00A3395F"/>
    <w:rsid w:val="00A3685C"/>
    <w:rsid w:val="00A43642"/>
    <w:rsid w:val="00A43A89"/>
    <w:rsid w:val="00A44A25"/>
    <w:rsid w:val="00A60F23"/>
    <w:rsid w:val="00A6453B"/>
    <w:rsid w:val="00A65BF1"/>
    <w:rsid w:val="00A671D5"/>
    <w:rsid w:val="00A70CC1"/>
    <w:rsid w:val="00A752C8"/>
    <w:rsid w:val="00A8063A"/>
    <w:rsid w:val="00A82264"/>
    <w:rsid w:val="00A853B8"/>
    <w:rsid w:val="00A903F0"/>
    <w:rsid w:val="00A93288"/>
    <w:rsid w:val="00AA5274"/>
    <w:rsid w:val="00AA5F91"/>
    <w:rsid w:val="00AA754D"/>
    <w:rsid w:val="00AB0FBB"/>
    <w:rsid w:val="00AB2B50"/>
    <w:rsid w:val="00AB42B9"/>
    <w:rsid w:val="00AB64F3"/>
    <w:rsid w:val="00AB6999"/>
    <w:rsid w:val="00AB6CB1"/>
    <w:rsid w:val="00AC015D"/>
    <w:rsid w:val="00AD0C4E"/>
    <w:rsid w:val="00AD4AC3"/>
    <w:rsid w:val="00AF3B32"/>
    <w:rsid w:val="00B073C6"/>
    <w:rsid w:val="00B117D0"/>
    <w:rsid w:val="00B12F87"/>
    <w:rsid w:val="00B146B9"/>
    <w:rsid w:val="00B30374"/>
    <w:rsid w:val="00B309BB"/>
    <w:rsid w:val="00B31003"/>
    <w:rsid w:val="00B33EF2"/>
    <w:rsid w:val="00B35E9D"/>
    <w:rsid w:val="00B37528"/>
    <w:rsid w:val="00B4344E"/>
    <w:rsid w:val="00B438CC"/>
    <w:rsid w:val="00B44E3B"/>
    <w:rsid w:val="00B46CEF"/>
    <w:rsid w:val="00B5060A"/>
    <w:rsid w:val="00B5115E"/>
    <w:rsid w:val="00B52F2E"/>
    <w:rsid w:val="00B535F8"/>
    <w:rsid w:val="00B54546"/>
    <w:rsid w:val="00B57472"/>
    <w:rsid w:val="00B65B5F"/>
    <w:rsid w:val="00B66E99"/>
    <w:rsid w:val="00B71FE4"/>
    <w:rsid w:val="00B73268"/>
    <w:rsid w:val="00B76A82"/>
    <w:rsid w:val="00B8254B"/>
    <w:rsid w:val="00B82ED5"/>
    <w:rsid w:val="00B9428C"/>
    <w:rsid w:val="00B9617B"/>
    <w:rsid w:val="00BA16F8"/>
    <w:rsid w:val="00BA7398"/>
    <w:rsid w:val="00BA7F0C"/>
    <w:rsid w:val="00BB48EA"/>
    <w:rsid w:val="00BB6B1A"/>
    <w:rsid w:val="00BC224A"/>
    <w:rsid w:val="00BC2BCC"/>
    <w:rsid w:val="00BD2FF7"/>
    <w:rsid w:val="00BD3B18"/>
    <w:rsid w:val="00BD5D02"/>
    <w:rsid w:val="00BE0839"/>
    <w:rsid w:val="00BE65BC"/>
    <w:rsid w:val="00BF12CA"/>
    <w:rsid w:val="00BF4A2A"/>
    <w:rsid w:val="00BF71B1"/>
    <w:rsid w:val="00C1019E"/>
    <w:rsid w:val="00C129D5"/>
    <w:rsid w:val="00C13862"/>
    <w:rsid w:val="00C13893"/>
    <w:rsid w:val="00C16851"/>
    <w:rsid w:val="00C206B3"/>
    <w:rsid w:val="00C24FD4"/>
    <w:rsid w:val="00C27572"/>
    <w:rsid w:val="00C3063F"/>
    <w:rsid w:val="00C3173F"/>
    <w:rsid w:val="00C31FDC"/>
    <w:rsid w:val="00C34541"/>
    <w:rsid w:val="00C3494C"/>
    <w:rsid w:val="00C35D47"/>
    <w:rsid w:val="00C40FA3"/>
    <w:rsid w:val="00C44C9C"/>
    <w:rsid w:val="00C534D2"/>
    <w:rsid w:val="00C550A8"/>
    <w:rsid w:val="00C602D6"/>
    <w:rsid w:val="00C759F3"/>
    <w:rsid w:val="00C75DA2"/>
    <w:rsid w:val="00C75E24"/>
    <w:rsid w:val="00C80F33"/>
    <w:rsid w:val="00C844CA"/>
    <w:rsid w:val="00C92D09"/>
    <w:rsid w:val="00C92F74"/>
    <w:rsid w:val="00C94390"/>
    <w:rsid w:val="00C96610"/>
    <w:rsid w:val="00C976E7"/>
    <w:rsid w:val="00CA27B7"/>
    <w:rsid w:val="00CA3CF2"/>
    <w:rsid w:val="00CB32DD"/>
    <w:rsid w:val="00CB38A4"/>
    <w:rsid w:val="00CB68E2"/>
    <w:rsid w:val="00CB76BB"/>
    <w:rsid w:val="00CC666B"/>
    <w:rsid w:val="00CD7CB4"/>
    <w:rsid w:val="00CE107D"/>
    <w:rsid w:val="00CF1D67"/>
    <w:rsid w:val="00CF2839"/>
    <w:rsid w:val="00CF3601"/>
    <w:rsid w:val="00D001ED"/>
    <w:rsid w:val="00D040F5"/>
    <w:rsid w:val="00D049FA"/>
    <w:rsid w:val="00D120A2"/>
    <w:rsid w:val="00D22169"/>
    <w:rsid w:val="00D23170"/>
    <w:rsid w:val="00D304C3"/>
    <w:rsid w:val="00D33472"/>
    <w:rsid w:val="00D33CC9"/>
    <w:rsid w:val="00D40006"/>
    <w:rsid w:val="00D47B8D"/>
    <w:rsid w:val="00D624A1"/>
    <w:rsid w:val="00D631A3"/>
    <w:rsid w:val="00D637CD"/>
    <w:rsid w:val="00D67732"/>
    <w:rsid w:val="00D67749"/>
    <w:rsid w:val="00D75D5C"/>
    <w:rsid w:val="00D76F29"/>
    <w:rsid w:val="00D865DE"/>
    <w:rsid w:val="00D87984"/>
    <w:rsid w:val="00D942BF"/>
    <w:rsid w:val="00D96AC0"/>
    <w:rsid w:val="00DA09EF"/>
    <w:rsid w:val="00DD1D7A"/>
    <w:rsid w:val="00DD4B38"/>
    <w:rsid w:val="00DD5319"/>
    <w:rsid w:val="00DD6497"/>
    <w:rsid w:val="00DE1A26"/>
    <w:rsid w:val="00DE24A5"/>
    <w:rsid w:val="00DF433D"/>
    <w:rsid w:val="00DF542D"/>
    <w:rsid w:val="00DF6F8D"/>
    <w:rsid w:val="00E01987"/>
    <w:rsid w:val="00E02FC3"/>
    <w:rsid w:val="00E06E10"/>
    <w:rsid w:val="00E10551"/>
    <w:rsid w:val="00E114C1"/>
    <w:rsid w:val="00E1793E"/>
    <w:rsid w:val="00E244D3"/>
    <w:rsid w:val="00E25243"/>
    <w:rsid w:val="00E26F59"/>
    <w:rsid w:val="00E344BD"/>
    <w:rsid w:val="00E441CD"/>
    <w:rsid w:val="00E54F78"/>
    <w:rsid w:val="00E555EF"/>
    <w:rsid w:val="00E616CC"/>
    <w:rsid w:val="00E65F2E"/>
    <w:rsid w:val="00E82D79"/>
    <w:rsid w:val="00E8375A"/>
    <w:rsid w:val="00E83BB7"/>
    <w:rsid w:val="00E87262"/>
    <w:rsid w:val="00E9331F"/>
    <w:rsid w:val="00E948F0"/>
    <w:rsid w:val="00E95733"/>
    <w:rsid w:val="00EA068F"/>
    <w:rsid w:val="00EA1530"/>
    <w:rsid w:val="00EA2D5C"/>
    <w:rsid w:val="00EA6673"/>
    <w:rsid w:val="00EA6E15"/>
    <w:rsid w:val="00EA7DC3"/>
    <w:rsid w:val="00EB48A1"/>
    <w:rsid w:val="00EC0D5E"/>
    <w:rsid w:val="00EC0D62"/>
    <w:rsid w:val="00EC1B3D"/>
    <w:rsid w:val="00EC2270"/>
    <w:rsid w:val="00EC3BD9"/>
    <w:rsid w:val="00ED0455"/>
    <w:rsid w:val="00ED2E7E"/>
    <w:rsid w:val="00ED4439"/>
    <w:rsid w:val="00EE02C2"/>
    <w:rsid w:val="00EE08C9"/>
    <w:rsid w:val="00EE0ADE"/>
    <w:rsid w:val="00EE28CD"/>
    <w:rsid w:val="00EE579C"/>
    <w:rsid w:val="00EF1159"/>
    <w:rsid w:val="00F023B4"/>
    <w:rsid w:val="00F0296B"/>
    <w:rsid w:val="00F02E8D"/>
    <w:rsid w:val="00F12354"/>
    <w:rsid w:val="00F229D3"/>
    <w:rsid w:val="00F259CE"/>
    <w:rsid w:val="00F35C5A"/>
    <w:rsid w:val="00F3741E"/>
    <w:rsid w:val="00F400E0"/>
    <w:rsid w:val="00F41784"/>
    <w:rsid w:val="00F419DE"/>
    <w:rsid w:val="00F53609"/>
    <w:rsid w:val="00F55753"/>
    <w:rsid w:val="00F56A2F"/>
    <w:rsid w:val="00F6789E"/>
    <w:rsid w:val="00F715A2"/>
    <w:rsid w:val="00F71D56"/>
    <w:rsid w:val="00F72E31"/>
    <w:rsid w:val="00F73E5F"/>
    <w:rsid w:val="00F7479C"/>
    <w:rsid w:val="00F7483B"/>
    <w:rsid w:val="00F80688"/>
    <w:rsid w:val="00F8087E"/>
    <w:rsid w:val="00F80A30"/>
    <w:rsid w:val="00F81B2F"/>
    <w:rsid w:val="00F82727"/>
    <w:rsid w:val="00F8309D"/>
    <w:rsid w:val="00F84F00"/>
    <w:rsid w:val="00F84F30"/>
    <w:rsid w:val="00F855F2"/>
    <w:rsid w:val="00F879C7"/>
    <w:rsid w:val="00F9346C"/>
    <w:rsid w:val="00F93BCC"/>
    <w:rsid w:val="00F96CA3"/>
    <w:rsid w:val="00FA613B"/>
    <w:rsid w:val="00FA6945"/>
    <w:rsid w:val="00FA6E91"/>
    <w:rsid w:val="00FB4B47"/>
    <w:rsid w:val="00FC1BAD"/>
    <w:rsid w:val="00FC2E1C"/>
    <w:rsid w:val="00FD004B"/>
    <w:rsid w:val="00FD6C3C"/>
    <w:rsid w:val="00FD6E6F"/>
    <w:rsid w:val="00FE2172"/>
    <w:rsid w:val="00FE2606"/>
    <w:rsid w:val="00FE464F"/>
    <w:rsid w:val="00FF05AE"/>
    <w:rsid w:val="00FF2E2D"/>
    <w:rsid w:val="00FF5563"/>
    <w:rsid w:val="00FF7246"/>
    <w:rsid w:val="00FF797B"/>
    <w:rsid w:val="00FF7BEF"/>
    <w:rsid w:val="00FF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5A05BF0B"/>
  <w15:chartTrackingRefBased/>
  <w15:docId w15:val="{6B08615D-1DE6-494D-947F-876E8C962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043D"/>
    <w:rPr>
      <w:sz w:val="24"/>
      <w:szCs w:val="24"/>
      <w:lang w:val="uk-UA" w:eastAsia="uk-U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837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42BA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rsid w:val="00742BAD"/>
    <w:rPr>
      <w:sz w:val="24"/>
      <w:szCs w:val="24"/>
      <w:lang w:val="uk-UA" w:eastAsia="uk-UA"/>
    </w:rPr>
  </w:style>
  <w:style w:type="paragraph" w:styleId="Footer">
    <w:name w:val="footer"/>
    <w:basedOn w:val="Normal"/>
    <w:link w:val="FooterChar"/>
    <w:uiPriority w:val="99"/>
    <w:rsid w:val="00742BA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742BAD"/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rsid w:val="00742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2BAD"/>
    <w:rPr>
      <w:rFonts w:ascii="Tahoma" w:hAnsi="Tahoma" w:cs="Tahoma"/>
      <w:sz w:val="16"/>
      <w:szCs w:val="16"/>
      <w:lang w:val="uk-UA" w:eastAsia="uk-UA"/>
    </w:rPr>
  </w:style>
  <w:style w:type="paragraph" w:customStyle="1" w:styleId="1">
    <w:name w:val="Обычный1"/>
    <w:basedOn w:val="Normal"/>
    <w:rsid w:val="00742BAD"/>
    <w:pPr>
      <w:spacing w:before="100" w:beforeAutospacing="1" w:after="100" w:afterAutospacing="1"/>
    </w:pPr>
    <w:rPr>
      <w:lang w:val="ru-RU" w:eastAsia="ru-RU"/>
    </w:rPr>
  </w:style>
  <w:style w:type="paragraph" w:customStyle="1" w:styleId="Default">
    <w:name w:val="Default"/>
    <w:rsid w:val="002D12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B57472"/>
    <w:rPr>
      <w:color w:val="0000FF"/>
      <w:u w:val="single"/>
    </w:rPr>
  </w:style>
  <w:style w:type="character" w:styleId="Emphasis">
    <w:name w:val="Emphasis"/>
    <w:uiPriority w:val="20"/>
    <w:qFormat/>
    <w:rsid w:val="00072CB3"/>
    <w:rPr>
      <w:i/>
      <w:iCs/>
    </w:rPr>
  </w:style>
  <w:style w:type="character" w:styleId="Strong">
    <w:name w:val="Strong"/>
    <w:uiPriority w:val="22"/>
    <w:qFormat/>
    <w:rsid w:val="00D33472"/>
    <w:rPr>
      <w:b/>
      <w:bCs/>
    </w:rPr>
  </w:style>
  <w:style w:type="character" w:customStyle="1" w:styleId="mark">
    <w:name w:val="mark"/>
    <w:rsid w:val="00E114C1"/>
  </w:style>
  <w:style w:type="table" w:styleId="TableGrid">
    <w:name w:val="Table Grid"/>
    <w:basedOn w:val="TableNormal"/>
    <w:rsid w:val="00067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42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E8375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uk-UA" w:eastAsia="uk-UA"/>
    </w:rPr>
  </w:style>
  <w:style w:type="character" w:styleId="FollowedHyperlink">
    <w:name w:val="FollowedHyperlink"/>
    <w:basedOn w:val="DefaultParagraphFont"/>
    <w:rsid w:val="00F259CE"/>
    <w:rPr>
      <w:color w:val="954F72" w:themeColor="followedHyperlink"/>
      <w:u w:val="single"/>
    </w:rPr>
  </w:style>
  <w:style w:type="paragraph" w:customStyle="1" w:styleId="a">
    <w:name w:val="Нормальний текст"/>
    <w:basedOn w:val="Normal"/>
    <w:uiPriority w:val="99"/>
    <w:rsid w:val="0071394E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styleId="NormalWeb">
    <w:name w:val="Normal (Web)"/>
    <w:basedOn w:val="Normal"/>
    <w:rsid w:val="0049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2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13BD87F0B6345ABFE1C3B6B520C8D" ma:contentTypeVersion="4" ma:contentTypeDescription="Create a new document." ma:contentTypeScope="" ma:versionID="bd2a7d76df0ed646413d70640f71f9d3">
  <xsd:schema xmlns:xsd="http://www.w3.org/2001/XMLSchema" xmlns:xs="http://www.w3.org/2001/XMLSchema" xmlns:p="http://schemas.microsoft.com/office/2006/metadata/properties" xmlns:ns2="533765e8-fc3d-49d5-8fa6-1eaf5adb3810" xmlns:ns3="272c3c53-bf8f-4403-af51-3c30f3b0cfa8" targetNamespace="http://schemas.microsoft.com/office/2006/metadata/properties" ma:root="true" ma:fieldsID="ae7c182d37434c75cbefee51e00b0136" ns2:_="" ns3:_="">
    <xsd:import namespace="533765e8-fc3d-49d5-8fa6-1eaf5adb3810"/>
    <xsd:import namespace="272c3c53-bf8f-4403-af51-3c30f3b0cfa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765e8-fc3d-49d5-8fa6-1eaf5adb38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c3c53-bf8f-4403-af51-3c30f3b0cf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54E57-161B-4955-A9FE-CA2556E19A5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C3DB59E-6B72-4CF1-B83C-8DDB746F68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765e8-fc3d-49d5-8fa6-1eaf5adb3810"/>
    <ds:schemaRef ds:uri="272c3c53-bf8f-4403-af51-3c30f3b0c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B58840-497D-4F85-9E3E-AA883240D7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4E18342-0BB4-4F2F-91BA-F6D42B20143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C37BFA9-844B-4CA5-BD5D-8EED75A8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1688</Words>
  <Characters>9628</Characters>
  <Application>Microsoft Office Word</Application>
  <DocSecurity>0</DocSecurity>
  <Lines>80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>2017 Letterhead - UKR (Color)</vt:lpstr>
      <vt:lpstr>2017 Letterhead - UKR (Color)</vt:lpstr>
      <vt:lpstr>2017 Letterhead - UKR (Color)</vt:lpstr>
    </vt:vector>
  </TitlesOfParts>
  <Company>Novik</Company>
  <LinksUpToDate>false</LinksUpToDate>
  <CharactersWithSpaces>11294</CharactersWithSpaces>
  <SharedDoc>false</SharedDoc>
  <HLinks>
    <vt:vector size="6" baseType="variant">
      <vt:variant>
        <vt:i4>1310773</vt:i4>
      </vt:variant>
      <vt:variant>
        <vt:i4>0</vt:i4>
      </vt:variant>
      <vt:variant>
        <vt:i4>0</vt:i4>
      </vt:variant>
      <vt:variant>
        <vt:i4>5</vt:i4>
      </vt:variant>
      <vt:variant>
        <vt:lpwstr>mailto:oshvets@chamber.ua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Letterhead - UKR (Color)</dc:title>
  <dc:subject/>
  <dc:creator>Vitaliy</dc:creator>
  <cp:keywords/>
  <cp:lastModifiedBy>Oksana Shvets</cp:lastModifiedBy>
  <cp:revision>5</cp:revision>
  <cp:lastPrinted>2014-11-11T13:45:00Z</cp:lastPrinted>
  <dcterms:created xsi:type="dcterms:W3CDTF">2017-10-20T14:41:00Z</dcterms:created>
  <dcterms:modified xsi:type="dcterms:W3CDTF">2017-10-24T07:02:00Z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Status">
    <vt:lpwstr>Not Started</vt:lpwstr>
  </property>
  <property fmtid="{D5CDD505-2E9C-101B-9397-08002B2CF9AE}" pid="3" name="ContentType">
    <vt:lpwstr>Document</vt:lpwstr>
  </property>
  <property fmtid="{D5CDD505-2E9C-101B-9397-08002B2CF9AE}" pid="4" name="ContentTypeId">
    <vt:lpwstr>0x010100DFAC3313BBD3ED449C429F3C5A4E9849</vt:lpwstr>
  </property>
  <property fmtid="{D5CDD505-2E9C-101B-9397-08002B2CF9AE}" pid="5" name="PublishingExpirationDate">
    <vt:lpwstr/>
  </property>
  <property fmtid="{D5CDD505-2E9C-101B-9397-08002B2CF9AE}" pid="6" name="PublishingStartDate">
    <vt:lpwstr/>
  </property>
  <property fmtid="{D5CDD505-2E9C-101B-9397-08002B2CF9AE}" pid="7" name="display_urn:schemas-microsoft-com:office:office#SharedWithUsers">
    <vt:lpwstr>Olga Skrypka</vt:lpwstr>
  </property>
  <property fmtid="{D5CDD505-2E9C-101B-9397-08002B2CF9AE}" pid="8" name="SharedWithUsers">
    <vt:lpwstr>33;#Olga Skrypka</vt:lpwstr>
  </property>
</Properties>
</file>