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17B1" w14:textId="77777777" w:rsidR="00B95740" w:rsidRPr="00AE7EE9" w:rsidRDefault="00B95740">
      <w:pPr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PlainTable1"/>
        <w:tblW w:w="14845" w:type="dxa"/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7110"/>
        <w:gridCol w:w="2340"/>
      </w:tblGrid>
      <w:tr w:rsidR="00AE7EE9" w:rsidRPr="00AE7EE9" w14:paraId="3A628E40" w14:textId="77777777" w:rsidTr="0033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37E9C59" w14:textId="77777777" w:rsidR="009B504E" w:rsidRPr="00AE7EE9" w:rsidRDefault="009B504E" w:rsidP="00B9574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Функція </w:t>
            </w:r>
          </w:p>
        </w:tc>
        <w:tc>
          <w:tcPr>
            <w:tcW w:w="4140" w:type="dxa"/>
          </w:tcPr>
          <w:p w14:paraId="7B40BAE6" w14:textId="77777777" w:rsidR="009B504E" w:rsidRPr="00AE7EE9" w:rsidRDefault="009B504E" w:rsidP="00B95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Проблемні питання</w:t>
            </w:r>
          </w:p>
        </w:tc>
        <w:tc>
          <w:tcPr>
            <w:tcW w:w="7110" w:type="dxa"/>
          </w:tcPr>
          <w:p w14:paraId="7D4F0F13" w14:textId="77777777" w:rsidR="009B504E" w:rsidRPr="00AE7EE9" w:rsidRDefault="009B504E" w:rsidP="00B95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Запропонований шлях вирішення</w:t>
            </w:r>
          </w:p>
        </w:tc>
        <w:tc>
          <w:tcPr>
            <w:tcW w:w="2340" w:type="dxa"/>
          </w:tcPr>
          <w:p w14:paraId="5D02401D" w14:textId="77777777" w:rsidR="009B504E" w:rsidRPr="00AE7EE9" w:rsidRDefault="009B504E" w:rsidP="00B95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Найбільш зацікавлені галузі</w:t>
            </w:r>
          </w:p>
        </w:tc>
      </w:tr>
      <w:tr w:rsidR="00AE7EE9" w:rsidRPr="00AE7EE9" w14:paraId="2EB74E32" w14:textId="77777777" w:rsidTr="0033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textDirection w:val="btLr"/>
            <w:vAlign w:val="center"/>
          </w:tcPr>
          <w:p w14:paraId="71F7EE6F" w14:textId="77777777" w:rsidR="00DF7225" w:rsidRPr="00736B24" w:rsidRDefault="00DF7225" w:rsidP="009B504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36B24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Контроль за економічними концентраціями</w:t>
            </w:r>
            <w:r w:rsidR="00677DCE" w:rsidRPr="00736B2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узгодженими діями</w:t>
            </w:r>
          </w:p>
        </w:tc>
        <w:tc>
          <w:tcPr>
            <w:tcW w:w="4140" w:type="dxa"/>
          </w:tcPr>
          <w:p w14:paraId="4F831993" w14:textId="77777777" w:rsidR="00DF7225" w:rsidRPr="00AE7EE9" w:rsidRDefault="00DF7225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Під контроль Антимонопольного комітету України підпадають окремі групи концентрацій, які не мають значного впливу на ринок України</w:t>
            </w:r>
          </w:p>
        </w:tc>
        <w:tc>
          <w:tcPr>
            <w:tcW w:w="7110" w:type="dxa"/>
          </w:tcPr>
          <w:p w14:paraId="737902FA" w14:textId="77777777" w:rsidR="005E52DA" w:rsidRPr="00AE7EE9" w:rsidRDefault="00DF7225" w:rsidP="005E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1) Доповнити винятки із загального правила про необхідність одержання попереднього дозволу, </w:t>
            </w:r>
            <w:r w:rsidR="005E52DA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дозволу "зовнішніми" концентраціями/узгодженими діями, тобто тими, в складі учасників яких відсутні "резиденти України" (за умови збереження такої умови до завершення розгляду відповідної заяви).</w:t>
            </w:r>
          </w:p>
          <w:p w14:paraId="769DFAF7" w14:textId="77777777" w:rsidR="00DF7225" w:rsidRPr="00AE7EE9" w:rsidRDefault="00DF7225" w:rsidP="009B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2) Переглянути Методику визначення відносин контролю, розробити і прийняти зміни до законодавства щодо виключення продавця з учасників концентрації, розробити практичні рекомендації на підставі Commission Consolidated Jurisdictional Notice under Council Regulation (EC) No 139/2004 on the control of concentrations between undertakings (2008/C 95/01) та запровадити практику видачі Best Practice Guidelines</w:t>
            </w:r>
            <w:r w:rsidR="005E52DA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. Внести відповідні зміни до проекту Закону України № 6723 «Про внесення змін до деяких законів України про захист економічної конкуренції» шляхом його доопрацювання.</w:t>
            </w:r>
          </w:p>
        </w:tc>
        <w:tc>
          <w:tcPr>
            <w:tcW w:w="2340" w:type="dxa"/>
            <w:vMerge w:val="restart"/>
          </w:tcPr>
          <w:p w14:paraId="25B1BD49" w14:textId="759C9555" w:rsidR="00DF7225" w:rsidRPr="00AE7EE9" w:rsidRDefault="00677DCE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Юридичні послуги, виробництво, енергетика,</w:t>
            </w:r>
            <w:r w:rsidR="00927928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5E52DA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харчова промисловість, інформаційні та комунікаційні технології, машинобудування, 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оптова та роздрібна торгівля</w:t>
            </w:r>
          </w:p>
        </w:tc>
      </w:tr>
      <w:tr w:rsidR="00AE7EE9" w:rsidRPr="00AE7EE9" w14:paraId="100FBFC6" w14:textId="77777777" w:rsidTr="0033546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F2F2F2" w:themeFill="background1" w:themeFillShade="F2"/>
          </w:tcPr>
          <w:p w14:paraId="493FA23D" w14:textId="77777777" w:rsidR="00DF7225" w:rsidRPr="00AE7EE9" w:rsidRDefault="00DF7225" w:rsidP="00B95740">
            <w:pPr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293FE257" w14:textId="77777777" w:rsidR="00DF7225" w:rsidRPr="00AE7EE9" w:rsidRDefault="00DF7225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Недоліки Положення про концентрацію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12DAF7D4" w14:textId="2A998324" w:rsidR="00DF7225" w:rsidRPr="00AE7EE9" w:rsidRDefault="005E52DA" w:rsidP="00D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Внести зміни до </w:t>
            </w:r>
            <w:r w:rsidR="00DF7225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Положення про концентрацію, зокрема, у частині щодо </w:t>
            </w:r>
            <w:r w:rsidR="0040420E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застосування спрощеної процедури, строків розгляду </w:t>
            </w:r>
            <w:r w:rsidR="00677DCE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та процедури консультацій щодо заяви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надання дозволу на концентрацію, а також передбачити вимоги до рішень Антимонопольного комітету України в частині наявності обґрунтувань впливу заявлених концентрацій на конкуренцію</w:t>
            </w:r>
            <w:r w:rsidR="00677DCE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756239C8" w14:textId="77777777" w:rsidR="00677DCE" w:rsidRPr="00AE7EE9" w:rsidRDefault="00677DCE" w:rsidP="00DF7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Також, необхідно покращити практику застосування Положення</w:t>
            </w:r>
            <w:r w:rsidR="005E52DA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шляхом видачі Best Practice Guidelines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14:paraId="544FAF95" w14:textId="77777777" w:rsidR="00DF7225" w:rsidRPr="00AE7EE9" w:rsidRDefault="00DF7225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E7EE9" w:rsidRPr="00AE7EE9" w14:paraId="5E906461" w14:textId="77777777" w:rsidTr="0033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</w:tcPr>
          <w:p w14:paraId="473CBDD6" w14:textId="77777777" w:rsidR="00DF7225" w:rsidRPr="00AE7EE9" w:rsidRDefault="00DF7225" w:rsidP="00B95740">
            <w:pPr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</w:p>
        </w:tc>
        <w:tc>
          <w:tcPr>
            <w:tcW w:w="4140" w:type="dxa"/>
          </w:tcPr>
          <w:p w14:paraId="004B8959" w14:textId="77777777" w:rsidR="00DF7225" w:rsidRPr="00AE7EE9" w:rsidRDefault="00677DCE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Невідповідність законодавства і практик кращим міжнародним практикам</w:t>
            </w:r>
          </w:p>
        </w:tc>
        <w:tc>
          <w:tcPr>
            <w:tcW w:w="7110" w:type="dxa"/>
          </w:tcPr>
          <w:p w14:paraId="6CE0BD32" w14:textId="4F60A5F0" w:rsidR="005E52DA" w:rsidRPr="00AE7EE9" w:rsidRDefault="00677DCE" w:rsidP="005E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1) Проаналізувати та застосувати найкращі практики країн ЄС в галузі антимонопольного законодавства, </w:t>
            </w:r>
            <w:r w:rsidR="005E52DA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, внести зміни до  законодавства України.</w:t>
            </w:r>
          </w:p>
          <w:p w14:paraId="04C72B45" w14:textId="6535AA32" w:rsidR="00DF7225" w:rsidRPr="00AE7EE9" w:rsidRDefault="00DF7225" w:rsidP="0067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67D39A8E" w14:textId="77777777" w:rsidR="005D03B9" w:rsidRPr="00AE7EE9" w:rsidRDefault="00677DCE" w:rsidP="005D0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2) </w:t>
            </w:r>
            <w:r w:rsidR="005D03B9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Систематизувати процесуальні дії і заходи Антимонопольного комітету України щодо збору інформації, необхідної для проведення контролю, розслідування та аналізу (пропонується передбачити вичерпний перелік випадків за настання яких </w:t>
            </w:r>
            <w:r w:rsidR="005D03B9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Антимонопольний комітет може вимагати надання інформації та вживати необхідні заходи з отримання інформації (запити, перевірки, слухання тощо), а також мінімальні терміни з надання інформації суб’єктом господарювання на вимогу Антимонопольного комітету України).</w:t>
            </w:r>
          </w:p>
          <w:p w14:paraId="2DE28FE1" w14:textId="4188D737" w:rsidR="00677DCE" w:rsidRPr="00AE7EE9" w:rsidRDefault="005D03B9" w:rsidP="0067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3) Запровадити практику видачі Best Practice Guidelines на регулярній основі.</w:t>
            </w:r>
          </w:p>
        </w:tc>
        <w:tc>
          <w:tcPr>
            <w:tcW w:w="2340" w:type="dxa"/>
            <w:vMerge/>
          </w:tcPr>
          <w:p w14:paraId="67B67AC2" w14:textId="77777777" w:rsidR="00DF7225" w:rsidRPr="00AE7EE9" w:rsidRDefault="00DF7225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E7EE9" w:rsidRPr="00AE7EE9" w14:paraId="4F6668D2" w14:textId="77777777" w:rsidTr="00335463">
        <w:trPr>
          <w:cantSplit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shd w:val="clear" w:color="auto" w:fill="F2F2F2" w:themeFill="background1" w:themeFillShade="F2"/>
            <w:textDirection w:val="btLr"/>
          </w:tcPr>
          <w:p w14:paraId="6467B966" w14:textId="77777777" w:rsidR="00F1194B" w:rsidRPr="00736B24" w:rsidRDefault="00F1194B" w:rsidP="00677DCE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36B24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Розслідування та накладення штрафів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7A4067ED" w14:textId="77FF2AC5" w:rsidR="00F1194B" w:rsidRPr="00AE7EE9" w:rsidRDefault="00F1194B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Розслідування щодо узгоджених антиконкурентних дій</w:t>
            </w:r>
            <w:r w:rsidR="005D03B9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зловживання монопольним (домінуючим)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не враховують особливостей ринку, </w:t>
            </w:r>
            <w:r w:rsidR="00B11DEE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не досліджують наявність причинно-наслідкових зв’язків між діями суб’єктів та ринковими ситуаціями, ігнорують об’єктивні обставини, що не залежать від суб’єктів та спричиняють відповідні наслідки,  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через що виникають ситуації </w:t>
            </w:r>
            <w:r w:rsidR="005D03B9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необґрунтованих 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звинувачень</w:t>
            </w:r>
            <w:r w:rsidR="00EE62AC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довготриваючих безпідставних розслідувань 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та накладення штрафів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1E7A3452" w14:textId="77777777" w:rsidR="00F1194B" w:rsidRPr="00AE7EE9" w:rsidRDefault="00F1194B" w:rsidP="005D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1) Зобов’язати Антимонопольний комітет України враховувати в розслідуваннях економічну складову ціноутворення, економічну аргументацію і реалії ринку з високою конкуренцією і значним тіньовим сектором.</w:t>
            </w:r>
          </w:p>
          <w:p w14:paraId="24E09FDF" w14:textId="77777777" w:rsidR="003B1D2F" w:rsidRPr="00AE7EE9" w:rsidRDefault="00F1194B" w:rsidP="005D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2) Більш чітко визначити, які дії компаній є порушенням та можуть бути визначені як антиконкурентні узгоджені дії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, зокрема, у формат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і настанов для компаній.</w:t>
            </w:r>
          </w:p>
          <w:p w14:paraId="5135E3D0" w14:textId="58FF31C1" w:rsidR="00F1194B" w:rsidRPr="00AE7EE9" w:rsidRDefault="003B1D2F" w:rsidP="005D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</w:rPr>
              <w:t xml:space="preserve">3) 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Підготувати Роз’яснення 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en-US"/>
              </w:rPr>
              <w:t>Guidelines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щодо обміну інформацією для визначення, коли такий обмін буде порушувати законодавство про захист економічної конкуренції.  </w:t>
            </w:r>
            <w:r w:rsidR="00F1194B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</w:p>
          <w:p w14:paraId="32A3E21F" w14:textId="38C44950" w:rsidR="00F1194B" w:rsidRPr="00AE7EE9" w:rsidRDefault="003B1D2F" w:rsidP="005D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F1194B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) Внести зміни в Закон «Про захист економічної конкуренції» з метою заборони штрафувати за паралельні дії та паралельне ціноутворення як</w:t>
            </w:r>
            <w:bookmarkStart w:id="0" w:name="_GoBack"/>
            <w:bookmarkEnd w:id="0"/>
            <w:r w:rsidR="00F1194B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що факти порушення не доведені.</w:t>
            </w:r>
          </w:p>
          <w:p w14:paraId="7C9B1A36" w14:textId="77777777" w:rsidR="000E6720" w:rsidRPr="00AE7EE9" w:rsidRDefault="003B1D2F" w:rsidP="005D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2E64CC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0E6720" w:rsidRPr="002E64CC">
              <w:rPr>
                <w:rFonts w:ascii="Times New Roman" w:hAnsi="Times New Roman" w:cs="Times New Roman"/>
                <w:color w:val="000000" w:themeColor="text1"/>
                <w:lang w:val="uk-UA"/>
              </w:rPr>
              <w:t>) Встановити</w:t>
            </w:r>
            <w:r w:rsidR="000E6720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, що рішення Антимонопольного комітету, що стосуються суб’єктів господарювання, які здійснюють свою діяльність на ринках, які регулюються національними комісіями, що здійснюють державне регулювання природних монополій, у сфері зв'язку та інформатизації, ринків цінних паперів і фінансових послуг, не можуть виноситися без попереднього погодження відповідним регулятором.</w:t>
            </w:r>
          </w:p>
          <w:p w14:paraId="1B717AFB" w14:textId="4087728F" w:rsidR="003B1D2F" w:rsidRPr="00AE7EE9" w:rsidRDefault="003B1D2F" w:rsidP="005D0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6) Внести зміни в Закон «Про захист економічної конкуренції» в частині програми пом’якшення відповідальності за вчинення порушення законодавства про захист економічної конкуренції у вигляді антиконкурентних узгоджених дій. А саме передбачити можливість пом’якшення штрафних санкцій для сторін, які надають інформацію про вчинення порушення не першими. Це дозволить органам АМКУ заохотити суб’єктів господарювання до співпраці, отримати ширший доступ до доказів і прискорити розслідування.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</w:tcPr>
          <w:p w14:paraId="6B87AF8B" w14:textId="66601235" w:rsidR="00F1194B" w:rsidRPr="00AE7EE9" w:rsidRDefault="00F1194B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Енергетика, фармацевтична галузь, </w:t>
            </w:r>
            <w:r w:rsidR="005D03B9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харчова промисловість, інформаційні та комунікаційні технології, житлово-комунальні послуги, 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банківські послуги, юридичні послуги, транспортна галузь</w:t>
            </w:r>
            <w:r w:rsidR="000E6720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телекомунікаційні послуги, фінансові послуги небанківських установ</w:t>
            </w:r>
          </w:p>
        </w:tc>
      </w:tr>
      <w:tr w:rsidR="00AE7EE9" w:rsidRPr="00AE7EE9" w14:paraId="6C1760DA" w14:textId="77777777" w:rsidTr="00AE7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extDirection w:val="btLr"/>
          </w:tcPr>
          <w:p w14:paraId="26D02DE9" w14:textId="77777777" w:rsidR="00F1194B" w:rsidRPr="00AE7EE9" w:rsidRDefault="00F1194B" w:rsidP="00677DCE">
            <w:pPr>
              <w:ind w:left="113" w:right="113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</w:p>
        </w:tc>
        <w:tc>
          <w:tcPr>
            <w:tcW w:w="4140" w:type="dxa"/>
          </w:tcPr>
          <w:p w14:paraId="1B7E1385" w14:textId="08880962" w:rsidR="00F1194B" w:rsidRPr="00AE7EE9" w:rsidRDefault="00F1194B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Інформаційні запити в рамках розслідувань часто вимагають багато часу та зусиль, крім того, можуть суперечити іншому законодавству (зокрема, щодо банківської таємниці</w:t>
            </w:r>
            <w:r w:rsidR="000E6720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щодо інформації про зв’язок, абонента, надання телекомунікаційних послуг, у тому числі отримання послуг, їх тривалість, зміст, маршрути передавання тощо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  <w:r w:rsidR="00D0515F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, а також можуть запитуватись не інформація та документи, а аналітична та консультаційна робота під виглядом запиту</w:t>
            </w:r>
          </w:p>
        </w:tc>
        <w:tc>
          <w:tcPr>
            <w:tcW w:w="7110" w:type="dxa"/>
          </w:tcPr>
          <w:p w14:paraId="4EBFA0EB" w14:textId="77777777" w:rsidR="00F1194B" w:rsidRPr="00AE7EE9" w:rsidRDefault="00F1194B" w:rsidP="0040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1)  Затвердження узгодженого Антимонопольним комітетом України та Національним банком України порядку розкриття банківської таємниці.</w:t>
            </w:r>
          </w:p>
          <w:p w14:paraId="2E7058C7" w14:textId="77777777" w:rsidR="00F1194B" w:rsidRPr="00AE7EE9" w:rsidRDefault="00F1194B" w:rsidP="0040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2) Більш широке застосування практик, поширених в Європейському Союзі</w:t>
            </w:r>
          </w:p>
          <w:p w14:paraId="288D3BC7" w14:textId="5B37858F" w:rsidR="000E6720" w:rsidRPr="00AE7EE9" w:rsidRDefault="000E6720" w:rsidP="00404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3) Затвердження узгодженого Антимонольним Комітетом та НКРЗІ порядку розкриття інформації про Абонента </w:t>
            </w:r>
            <w:r w:rsidRPr="00AE7EE9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>(щодо інформації про зв’язок, абонента, надання телекомунікаційних послуг, у тому числі отримання послуг, їх тривалість, зміст, маршрути передавання тощо)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законодавче усунення суперечностей між статтею 31 Конституції України та Закону України «Про Антимонопольний Комітет України», Закону України «Про захист економічної конкуренції». </w:t>
            </w:r>
          </w:p>
        </w:tc>
        <w:tc>
          <w:tcPr>
            <w:tcW w:w="2340" w:type="dxa"/>
            <w:vMerge/>
          </w:tcPr>
          <w:p w14:paraId="4D3B040E" w14:textId="77777777" w:rsidR="00F1194B" w:rsidRPr="00AE7EE9" w:rsidRDefault="00F1194B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E7EE9" w:rsidRPr="00AE7EE9" w14:paraId="22FD8F19" w14:textId="77777777" w:rsidTr="00335463">
        <w:trPr>
          <w:cantSplit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F2F2F2" w:themeFill="background1" w:themeFillShade="F2"/>
            <w:textDirection w:val="btLr"/>
          </w:tcPr>
          <w:p w14:paraId="57EB8E3E" w14:textId="77777777" w:rsidR="00F1194B" w:rsidRPr="00AE7EE9" w:rsidRDefault="00F1194B" w:rsidP="00677DCE">
            <w:pPr>
              <w:ind w:left="113" w:right="113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14:paraId="02BCD4E4" w14:textId="77777777" w:rsidR="00F1194B" w:rsidRPr="00AE7EE9" w:rsidRDefault="00F1194B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Відсутність затвердженої методики розрахунку розміру штрафів за порушення законодавства про захист економічної конкуренції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213FE5AE" w14:textId="77777777" w:rsidR="005D03B9" w:rsidRPr="00AE7EE9" w:rsidRDefault="00F1194B" w:rsidP="0067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Методика визначення розміру штрафів має бути затверджена </w:t>
            </w:r>
            <w:r w:rsidR="005D03B9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у формі нормативно-правового акту (зареєстрована Мінюстом), оскільки Антимонопольний комітет України не застосовує власні рекомендаційні роз’яснення, що підтверджено судовою практикою.</w:t>
            </w:r>
          </w:p>
          <w:p w14:paraId="2B5AF631" w14:textId="77777777" w:rsidR="005D03B9" w:rsidRPr="00AE7EE9" w:rsidRDefault="005D03B9" w:rsidP="0067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5BA38633" w14:textId="77777777" w:rsidR="005D03B9" w:rsidRPr="00AE7EE9" w:rsidRDefault="005D03B9" w:rsidP="005D0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Проведення Антимонопольним комітетом України роз’яснювальної роботи щодо прийняття Верховною Радою законопроекту №2431.</w:t>
            </w:r>
          </w:p>
          <w:p w14:paraId="23004A6B" w14:textId="60CAE7DC" w:rsidR="00F1194B" w:rsidRPr="00AE7EE9" w:rsidRDefault="00F1194B" w:rsidP="0067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14:paraId="5D33B041" w14:textId="77777777" w:rsidR="00F1194B" w:rsidRPr="00AE7EE9" w:rsidRDefault="00F1194B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E7EE9" w:rsidRPr="00AE7EE9" w14:paraId="3D689DE5" w14:textId="77777777" w:rsidTr="0033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extDirection w:val="btLr"/>
          </w:tcPr>
          <w:p w14:paraId="7467719E" w14:textId="77777777" w:rsidR="00F1194B" w:rsidRPr="00AE7EE9" w:rsidRDefault="00F1194B" w:rsidP="00677DCE">
            <w:pPr>
              <w:ind w:left="113" w:right="113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</w:p>
        </w:tc>
        <w:tc>
          <w:tcPr>
            <w:tcW w:w="4140" w:type="dxa"/>
            <w:vMerge w:val="restart"/>
          </w:tcPr>
          <w:p w14:paraId="3F7EBBCD" w14:textId="77777777" w:rsidR="00F1194B" w:rsidRPr="00AE7EE9" w:rsidRDefault="00F1194B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Процесуальні питання розгляду справ</w:t>
            </w:r>
          </w:p>
        </w:tc>
        <w:tc>
          <w:tcPr>
            <w:tcW w:w="7110" w:type="dxa"/>
          </w:tcPr>
          <w:p w14:paraId="7BF7759F" w14:textId="0CA0D8B6" w:rsidR="00F1194B" w:rsidRPr="00AE7EE9" w:rsidRDefault="00F1194B" w:rsidP="0067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Необхідно більш чітко врегулювати процесуальні питання розгляду справ, прав та </w:t>
            </w:r>
            <w:r w:rsidR="00471455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обов’язків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сторін у процесі шляхом перегляду Тимчасових правил розгляду справ, розробити і прийняти зміни до законодавства щодо можливості оскарження у судовому порядку розмірів штрафів. Впровадити конкретні (чіткі) строки проведення розслідувань АМКУ </w:t>
            </w:r>
            <w:r w:rsidR="001D0CD2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щодо порушень законодавства про захист економічної конкуренції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, вичерпний перелік конкретних підстав призупинення / зупинення АМКУ розгляду, впровадження зрозумілих і єдиних правил (методології) проведення опитувань споживачів в рамках розслідувань.</w:t>
            </w:r>
          </w:p>
        </w:tc>
        <w:tc>
          <w:tcPr>
            <w:tcW w:w="2340" w:type="dxa"/>
            <w:vMerge/>
          </w:tcPr>
          <w:p w14:paraId="5F683FE8" w14:textId="77777777" w:rsidR="00F1194B" w:rsidRPr="00AE7EE9" w:rsidRDefault="00F1194B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E7EE9" w:rsidRPr="00AE7EE9" w14:paraId="1FAB08AC" w14:textId="77777777" w:rsidTr="00F1194B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shd w:val="clear" w:color="auto" w:fill="F2F2F2" w:themeFill="background1" w:themeFillShade="F2"/>
            <w:textDirection w:val="btLr"/>
          </w:tcPr>
          <w:p w14:paraId="717E2245" w14:textId="77777777" w:rsidR="00F1194B" w:rsidRPr="00AE7EE9" w:rsidRDefault="00F1194B" w:rsidP="00677DCE">
            <w:pPr>
              <w:ind w:left="113" w:right="113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</w:p>
        </w:tc>
        <w:tc>
          <w:tcPr>
            <w:tcW w:w="4140" w:type="dxa"/>
            <w:vMerge/>
            <w:shd w:val="clear" w:color="auto" w:fill="F2F2F2" w:themeFill="background1" w:themeFillShade="F2"/>
          </w:tcPr>
          <w:p w14:paraId="0EF5A73B" w14:textId="77777777" w:rsidR="00F1194B" w:rsidRPr="00AE7EE9" w:rsidRDefault="00F1194B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110" w:type="dxa"/>
            <w:shd w:val="clear" w:color="auto" w:fill="F2F2F2" w:themeFill="background1" w:themeFillShade="F2"/>
          </w:tcPr>
          <w:p w14:paraId="011D4726" w14:textId="77777777" w:rsidR="00F1194B" w:rsidRPr="00AE7EE9" w:rsidRDefault="00F1194B" w:rsidP="0067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Прийняти проект Закону України № 6746 «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ро внесення змін до деяких законодавчих актів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конкуренції»</w:t>
            </w:r>
            <w:r w:rsidR="00471455" w:rsidRPr="00AE7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1455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має бути доопрацьований за участю експертного середовища, оскільки деякі його норми звужують навіть існуючий обсяг прав осіб, які беруть участь у справі. Просимо Антимонопольний комітет України сприяти в такому доопрацюванні зазначеного законопроекту.</w:t>
            </w: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14:paraId="5B3F1F92" w14:textId="77777777" w:rsidR="00F1194B" w:rsidRPr="00AE7EE9" w:rsidRDefault="00F1194B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E7EE9" w:rsidRPr="00AE7EE9" w14:paraId="6B14568C" w14:textId="77777777" w:rsidTr="0033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extDirection w:val="btLr"/>
          </w:tcPr>
          <w:p w14:paraId="7F786B3F" w14:textId="77777777" w:rsidR="00F1194B" w:rsidRPr="00AE7EE9" w:rsidRDefault="00F1194B" w:rsidP="00677DCE">
            <w:pPr>
              <w:ind w:left="113" w:right="113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bookmarkStart w:id="1" w:name="_Hlk497839103"/>
          </w:p>
        </w:tc>
        <w:tc>
          <w:tcPr>
            <w:tcW w:w="4140" w:type="dxa"/>
          </w:tcPr>
          <w:p w14:paraId="49B75C01" w14:textId="77777777" w:rsidR="00F1194B" w:rsidRPr="00AE7EE9" w:rsidRDefault="00890565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Відсутність чітких критеріїв встановлення Антимопольним комітетом України наявності/відсутності факту антиконкурентних порушень.</w:t>
            </w:r>
          </w:p>
        </w:tc>
        <w:tc>
          <w:tcPr>
            <w:tcW w:w="7110" w:type="dxa"/>
          </w:tcPr>
          <w:p w14:paraId="1A515F9E" w14:textId="77777777" w:rsidR="00890565" w:rsidRPr="00AE7EE9" w:rsidRDefault="00890565" w:rsidP="00890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Передбачити в Законі України «Про захист економічної конкуренції» перелік критеріїв оцінки органами Антимонопольного комітету України наявності/відсутності фактів порушень законодавства про захист економічної конкуренції.</w:t>
            </w:r>
          </w:p>
          <w:p w14:paraId="3ECDEE4A" w14:textId="77777777" w:rsidR="00F1194B" w:rsidRPr="00AE7EE9" w:rsidRDefault="00F1194B" w:rsidP="0067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40" w:type="dxa"/>
            <w:vMerge/>
          </w:tcPr>
          <w:p w14:paraId="7D3B6811" w14:textId="77777777" w:rsidR="00F1194B" w:rsidRPr="00AE7EE9" w:rsidRDefault="00F1194B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bookmarkEnd w:id="1"/>
      <w:tr w:rsidR="00AE7EE9" w:rsidRPr="00AE7EE9" w14:paraId="0DDAD479" w14:textId="77777777" w:rsidTr="00335463">
        <w:trPr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extDirection w:val="btLr"/>
          </w:tcPr>
          <w:p w14:paraId="06493B2A" w14:textId="77777777" w:rsidR="00D63C87" w:rsidRPr="00736B24" w:rsidRDefault="009C501E" w:rsidP="00D63C8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36B24">
              <w:rPr>
                <w:rFonts w:ascii="Times New Roman" w:hAnsi="Times New Roman" w:cs="Times New Roman"/>
                <w:color w:val="000000" w:themeColor="text1"/>
                <w:lang w:val="uk-UA"/>
              </w:rPr>
              <w:t>Судовий перегляд рішень АМКУ</w:t>
            </w:r>
          </w:p>
        </w:tc>
        <w:tc>
          <w:tcPr>
            <w:tcW w:w="4140" w:type="dxa"/>
          </w:tcPr>
          <w:p w14:paraId="426F68F0" w14:textId="31210CA1" w:rsidR="00D63C87" w:rsidRPr="00AE7EE9" w:rsidRDefault="009C501E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Суди не розглядають рішення Антимонопольного комітету по </w:t>
            </w:r>
            <w:r w:rsidR="008C4718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суті, учасники ринку багато в чо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му позбавлені належного судового перегляду рішень Антимонопольного комітету України, зокрема, тих, що стосуються </w:t>
            </w:r>
            <w:r w:rsidR="00F8327F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накладення штрафу за порушення законодавства про захист економічної конкуренції.</w:t>
            </w:r>
          </w:p>
        </w:tc>
        <w:tc>
          <w:tcPr>
            <w:tcW w:w="7110" w:type="dxa"/>
          </w:tcPr>
          <w:p w14:paraId="47199F3F" w14:textId="6F2CCD4C" w:rsidR="00471455" w:rsidRPr="00AE7EE9" w:rsidRDefault="009668E4" w:rsidP="0047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В</w:t>
            </w:r>
            <w:r w:rsidR="00471455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нести зміни до Закону України «Про захист економічної конкуренції» щоб врегулювати питання перегляду рішень Антимонопольного комітету України по суті судом</w:t>
            </w:r>
            <w:r w:rsidR="001D0CD2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, зокрема з метою:</w:t>
            </w:r>
          </w:p>
          <w:p w14:paraId="19DE5F11" w14:textId="1B28D78D" w:rsidR="001D0CD2" w:rsidRPr="00AE7EE9" w:rsidRDefault="001D0CD2" w:rsidP="001D0CD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Встановлення процесуальних особливостей перегляду рішень Антимонопольного комітету України по суті з метою забезпечення дотримання принципів правосуддя, зокрема установлення об’єктивної істини, а також презумпції невинуватості до моменту доведення вини у законному порядку.</w:t>
            </w:r>
          </w:p>
          <w:p w14:paraId="08E20522" w14:textId="25DFF08E" w:rsidR="009668E4" w:rsidRPr="00AE7EE9" w:rsidRDefault="009668E4" w:rsidP="001D0CD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Наділити господарський суд повноваженнями змінювати, а саме зменшувати та збільшувати розмір штрафу, накладений АМКУ.</w:t>
            </w:r>
          </w:p>
          <w:p w14:paraId="716029E6" w14:textId="02F1BDEF" w:rsidR="001D0CD2" w:rsidRPr="00AE7EE9" w:rsidRDefault="001D0CD2" w:rsidP="001D0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Законодавчо закріпити, що до процесу судового оскарженнях рішень Антимонопольного комітету, що стосуються суб’єктів господарювання, які здійснюють свою діяльність на ринках, які регулюються національними комісіями, що здійснюють державне регулювання природних монополій, у сфері зв'язку та інформатизації, ринків цінних паперів і фінансових послуг, відповідні регулятори залучаються в якості третьої сторони без самостійних вимог.</w:t>
            </w:r>
          </w:p>
          <w:p w14:paraId="3CFF087B" w14:textId="77777777" w:rsidR="00471455" w:rsidRPr="00AE7EE9" w:rsidRDefault="00471455" w:rsidP="0047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Зазначені зміни можна передбачити в проекті Закону України № 6746 «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ро внесення змін до деяких законодавчих актів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конкуренції».</w:t>
            </w:r>
          </w:p>
          <w:p w14:paraId="1EF5334C" w14:textId="77777777" w:rsidR="00471455" w:rsidRPr="00AE7EE9" w:rsidRDefault="00471455" w:rsidP="0047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3FBDB191" w14:textId="77777777" w:rsidR="00471455" w:rsidRPr="00AE7EE9" w:rsidRDefault="00471455" w:rsidP="0047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Пропонуємо Антимонопольному комітету України, провести широке обговорення запропонованих змін у законопроекті, а також висловити позицію органу щодо запропонованих змін.</w:t>
            </w:r>
          </w:p>
          <w:p w14:paraId="6B51E209" w14:textId="77777777" w:rsidR="00471455" w:rsidRPr="00AE7EE9" w:rsidRDefault="00471455" w:rsidP="00471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3F5975B8" w14:textId="5BEE4A90" w:rsidR="00D63C87" w:rsidRPr="00AE7EE9" w:rsidRDefault="00D63C87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40" w:type="dxa"/>
          </w:tcPr>
          <w:p w14:paraId="6605F6D2" w14:textId="377ED55F" w:rsidR="00D63C87" w:rsidRPr="00AE7EE9" w:rsidRDefault="009C501E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Фармацевтична індустрія, </w:t>
            </w:r>
            <w:r w:rsidR="00471455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хімічна промисловість, харчова промисловість, інформаційні та комунікаційні технології, 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енергетика, оптова та роздрібна торгівля, юридичні послуги</w:t>
            </w:r>
            <w:r w:rsidR="001D0CD2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телекомунікаційні послуги, фінансові послуги небанківських установ</w:t>
            </w:r>
          </w:p>
        </w:tc>
      </w:tr>
      <w:tr w:rsidR="00AE7EE9" w:rsidRPr="00AE7EE9" w14:paraId="3D0F4F5D" w14:textId="77777777" w:rsidTr="0033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extDirection w:val="btLr"/>
          </w:tcPr>
          <w:p w14:paraId="1F15D4F0" w14:textId="77777777" w:rsidR="00677DCE" w:rsidRPr="00AE7EE9" w:rsidRDefault="003E0CF3" w:rsidP="00F8327F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</w:rPr>
              <w:lastRenderedPageBreak/>
              <w:t>Застосування методики визначенн</w:t>
            </w:r>
            <w:r w:rsidR="00F8327F" w:rsidRPr="00AE7EE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327F" w:rsidRPr="00AE7EE9">
              <w:rPr>
                <w:rFonts w:ascii="Times New Roman" w:hAnsi="Times New Roman" w:cs="Times New Roman"/>
                <w:color w:val="000000" w:themeColor="text1"/>
              </w:rPr>
              <w:t>монопольного становища</w:t>
            </w:r>
          </w:p>
        </w:tc>
        <w:tc>
          <w:tcPr>
            <w:tcW w:w="4140" w:type="dxa"/>
          </w:tcPr>
          <w:p w14:paraId="2396D0C2" w14:textId="77777777" w:rsidR="00677DCE" w:rsidRPr="00AE7EE9" w:rsidRDefault="009E2E64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</w:rPr>
              <w:t>Неправильне визначення ринку, звуження його товарних, часових, територ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альних меж, що призводить до того, що компан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ія звинувачується в </w:t>
            </w:r>
            <w:r w:rsidR="005A5089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зловживанні монопольним становищем у той час, як навіть не є монополістом.</w:t>
            </w:r>
          </w:p>
          <w:p w14:paraId="6BD36696" w14:textId="77777777" w:rsidR="005A5089" w:rsidRPr="00AE7EE9" w:rsidRDefault="005A5089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Майже не розглядається замінність товару з точки зору споживача.</w:t>
            </w:r>
          </w:p>
        </w:tc>
        <w:tc>
          <w:tcPr>
            <w:tcW w:w="7110" w:type="dxa"/>
          </w:tcPr>
          <w:p w14:paraId="2813669B" w14:textId="35B3A5CC" w:rsidR="00677DCE" w:rsidRPr="00AE7EE9" w:rsidRDefault="003B0F2C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</w:rPr>
              <w:t xml:space="preserve">Необхідно переглянути Методику визначення монопольного </w:t>
            </w:r>
            <w:r w:rsidR="007149C5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(домінуючого) 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 xml:space="preserve">становища на ринку шляхом більш чіткого визначення коллективної </w:t>
            </w:r>
            <w:r w:rsidR="00155F02" w:rsidRPr="00AE7EE9">
              <w:rPr>
                <w:rFonts w:ascii="Times New Roman" w:hAnsi="Times New Roman" w:cs="Times New Roman"/>
                <w:color w:val="000000" w:themeColor="text1"/>
              </w:rPr>
              <w:t xml:space="preserve">та індивідуальної 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монополії</w:t>
            </w:r>
            <w:r w:rsidR="007149C5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 ринку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 xml:space="preserve">, застосування сучасних методів економічного аналізу, </w:t>
            </w:r>
            <w:r w:rsidR="007149C5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визначення меж ринку (в тому числі ринку послуг), 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необхідності дослідження як структурних так і поведінкових ознак монопольного (домінуючого) становища, усунути протиріччя щодо надто загального переліку ознак (основних і додаткових) ринкової влади і монопольного становища, що дублюються, із наближенням до підходів, що використовуються в практиці і документах Європейської Комісії.</w:t>
            </w:r>
          </w:p>
          <w:p w14:paraId="0B54012F" w14:textId="77777777" w:rsidR="005E52DA" w:rsidRPr="00AE7EE9" w:rsidRDefault="005E52DA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Зобов’язати АМКУ враховувати позицію відповідача щодо визначення меж ринку, та надавати грунтовний аналіз та детальні підстави для випадків, коли позиція відповідача відхиляється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0BE1662" w14:textId="77777777" w:rsidR="003B0F2C" w:rsidRPr="00AE7EE9" w:rsidRDefault="003B0F2C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</w:rPr>
              <w:t>Необ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хідно впровадити чіткі критерії визначення домінуючого становища на ринку</w:t>
            </w:r>
            <w:r w:rsidR="00B11DEE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076D6AD2" w14:textId="77777777" w:rsidR="00B11DEE" w:rsidRPr="00AE7EE9" w:rsidRDefault="00B11DEE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Запровадити практику відкритої публікації на регулярній основі (з оновленням не рідше ніж раз за 1 рік) переліку ринків, де є наявність суб’єктів, що мають монопольне становище, визначених відповідно до Статті 12 Закону № 2210-ІІІ, із зазначенням тих компаній, які є суб’єктів, що мають монопольне становище, та на яких підставах його визначено.  </w:t>
            </w:r>
          </w:p>
        </w:tc>
        <w:tc>
          <w:tcPr>
            <w:tcW w:w="2340" w:type="dxa"/>
          </w:tcPr>
          <w:p w14:paraId="0BA7BD21" w14:textId="7F06DA2C" w:rsidR="00677DCE" w:rsidRPr="00AE7EE9" w:rsidRDefault="003B0F2C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Інформаційні та </w:t>
            </w:r>
            <w:r w:rsidR="007149C5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теле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комунікаційні технології,банківські та фінансові послуги, юридичні послуги, енергетика, оптова та роздрібна торгівля</w:t>
            </w:r>
          </w:p>
        </w:tc>
      </w:tr>
      <w:tr w:rsidR="00AE7EE9" w:rsidRPr="00AE7EE9" w14:paraId="6EDE63B8" w14:textId="77777777" w:rsidTr="00335463">
        <w:trPr>
          <w:cantSplit/>
          <w:trHeight w:val="3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extDirection w:val="btLr"/>
          </w:tcPr>
          <w:p w14:paraId="0F647B5B" w14:textId="77777777" w:rsidR="00B11DEE" w:rsidRPr="00AE7EE9" w:rsidRDefault="00B11DEE" w:rsidP="00F8327F">
            <w:pPr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Державна допомога монополіям</w:t>
            </w:r>
          </w:p>
        </w:tc>
        <w:tc>
          <w:tcPr>
            <w:tcW w:w="4140" w:type="dxa"/>
          </w:tcPr>
          <w:p w14:paraId="1CDCF9FF" w14:textId="77777777" w:rsidR="00B11DEE" w:rsidRPr="00AE7EE9" w:rsidRDefault="00B11DEE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Отримання компаніями (часто у власності держави або місцевих органів самоврядування) державної допомоги, що посилює їхні позиції на ринку та надалі обмежує ринкову конкуренцію</w:t>
            </w:r>
          </w:p>
        </w:tc>
        <w:tc>
          <w:tcPr>
            <w:tcW w:w="7110" w:type="dxa"/>
          </w:tcPr>
          <w:p w14:paraId="646F7E5B" w14:textId="77777777" w:rsidR="00B11DEE" w:rsidRPr="00AE7EE9" w:rsidRDefault="00B11DEE" w:rsidP="00B11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</w:rPr>
              <w:t>Запровадити умови Частини 2 «Державна допомога» Угоди про Асоціацію між Україною та ЄС та Закону України № 1555-VII, зокрема: впровадити основні принципи ЄС у сфері державної допомоги; створити повний реєстр схем державної допомоги із зазначенням адресатів і обсягів; забезпечити функціонування незалежного органу з питань державної допомоги.</w:t>
            </w:r>
          </w:p>
          <w:p w14:paraId="244F5748" w14:textId="77777777" w:rsidR="00B11DEE" w:rsidRPr="00AE7EE9" w:rsidRDefault="00B11DEE" w:rsidP="00B11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</w:rPr>
              <w:t xml:space="preserve">Запровадити чіткі правила та процедури обмеження (та повернення отриманої) державної допомоги підприємствам, які порушують нормативно-правові акти про захист економічної конкуренції, або у випадках коли надана державна допомога посилює їхнє монопольне становище.  </w:t>
            </w:r>
          </w:p>
        </w:tc>
        <w:tc>
          <w:tcPr>
            <w:tcW w:w="2340" w:type="dxa"/>
          </w:tcPr>
          <w:p w14:paraId="12D4200E" w14:textId="77777777" w:rsidR="00B11DEE" w:rsidRPr="00AE7EE9" w:rsidRDefault="00B11DEE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Всі галузі, у тому числі нафтогазова промисловість, транспортні та поштові послуги, банківські послуги</w:t>
            </w:r>
          </w:p>
        </w:tc>
      </w:tr>
      <w:tr w:rsidR="00AE7EE9" w:rsidRPr="00AE7EE9" w14:paraId="385758F0" w14:textId="77777777" w:rsidTr="0033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extDirection w:val="btLr"/>
          </w:tcPr>
          <w:p w14:paraId="64A4713E" w14:textId="77777777" w:rsidR="00B11DEE" w:rsidRPr="00AE7EE9" w:rsidRDefault="00B11DEE" w:rsidP="003B0F2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Антиконкурентні дії органів влади</w:t>
            </w:r>
          </w:p>
        </w:tc>
        <w:tc>
          <w:tcPr>
            <w:tcW w:w="4140" w:type="dxa"/>
          </w:tcPr>
          <w:p w14:paraId="13994AD7" w14:textId="77777777" w:rsidR="00B11DEE" w:rsidRPr="00AE7EE9" w:rsidRDefault="00B11DEE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Поширена практика антиконкурентних дій органів державної влади, органів місцевого самоврядування та органів адміністративно-господарського управління та контролю без належного реагування АМКУ згідно Розділу ІІІ Закону України.  </w:t>
            </w:r>
          </w:p>
          <w:p w14:paraId="7AD8E27C" w14:textId="77777777" w:rsidR="005E52DA" w:rsidRPr="00AE7EE9" w:rsidRDefault="005E52DA" w:rsidP="005E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AE7EE9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 xml:space="preserve">В даний момент фактично відсутня можливість притягнути посадових осіб органів влади/місцевого самоврядування до відповідальності за вчинення антиконкурентних дій (п.3 ст.50 Закону України «Про захист економічної конкуренції»); </w:t>
            </w:r>
            <w:r w:rsidRPr="00AE7EE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c</w:t>
            </w:r>
            <w:r w:rsidRPr="00AE7EE9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 xml:space="preserve">таття 54 цього закону передбачає відповідальність за </w:t>
            </w:r>
            <w:r w:rsidRPr="00AE7EE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uk-UA" w:eastAsia="ru-RU"/>
              </w:rPr>
              <w:t>“…</w:t>
            </w:r>
            <w:r w:rsidRPr="00AE7EE9"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  <w:t xml:space="preserve"> невиконання    рішення,   попереднього   рішення   органів Антимонопольного комітету України або їх виконання  не  в  повному обсязі;” (п.4 ст.54 вказаного Закону);</w:t>
            </w:r>
          </w:p>
          <w:p w14:paraId="6D759AB7" w14:textId="77777777" w:rsidR="005E52DA" w:rsidRPr="00AE7EE9" w:rsidRDefault="005E52DA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110" w:type="dxa"/>
          </w:tcPr>
          <w:p w14:paraId="53BD5F6E" w14:textId="77777777" w:rsidR="00B11DEE" w:rsidRPr="00AE7EE9" w:rsidRDefault="00B11DEE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Посилити відповідальність органів державної влади, органів місцевого самоврядування та органів адміністративно-господарського управління та контролю за анти конкурентні дії із особливою увагою до застосування таких дій з метою посилення монопольного становища тих компаній, що знаходяться у власності держави або місцевих органів самоврядування (державних, комунальних підприємств, підприємств колективної власності, де частка держави перевищує 50%).</w:t>
            </w:r>
          </w:p>
          <w:p w14:paraId="2302F008" w14:textId="77777777" w:rsidR="005E52DA" w:rsidRPr="00AE7EE9" w:rsidRDefault="005E52DA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Пропонується встановити адміністративну відповідальність за факт вчинення антиконкурентних дій посадовими особами </w:t>
            </w:r>
            <w:r w:rsidRPr="00AE7EE9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органів влади/місцевого самоврядування, запропонувавщи відповідні зміни до ст.54 Закону України «Про захист економічної конкуренції»</w:t>
            </w:r>
          </w:p>
        </w:tc>
        <w:tc>
          <w:tcPr>
            <w:tcW w:w="2340" w:type="dxa"/>
          </w:tcPr>
          <w:p w14:paraId="42BF1A0E" w14:textId="77777777" w:rsidR="00B11DEE" w:rsidRPr="00AE7EE9" w:rsidRDefault="00B11DEE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Всі галузі</w:t>
            </w:r>
          </w:p>
        </w:tc>
      </w:tr>
      <w:tr w:rsidR="00AE7EE9" w:rsidRPr="00AE7EE9" w14:paraId="3A8E9F76" w14:textId="77777777" w:rsidTr="00335463">
        <w:trPr>
          <w:cantSplit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extDirection w:val="btLr"/>
          </w:tcPr>
          <w:p w14:paraId="09FBBE77" w14:textId="77777777" w:rsidR="00677DCE" w:rsidRPr="00AE7EE9" w:rsidRDefault="003B0F2C" w:rsidP="003B0F2C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Система комплаєнсу</w:t>
            </w:r>
          </w:p>
        </w:tc>
        <w:tc>
          <w:tcPr>
            <w:tcW w:w="4140" w:type="dxa"/>
          </w:tcPr>
          <w:p w14:paraId="19C69574" w14:textId="77777777" w:rsidR="00677DCE" w:rsidRPr="00AE7EE9" w:rsidRDefault="003B0F2C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Наразі не сформована позиція Антимонопольного комітету України щодо </w:t>
            </w:r>
            <w:r w:rsidR="00DF112B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наявності на підприємстві ефективного антимонопольного комплаєнсу</w:t>
            </w:r>
          </w:p>
        </w:tc>
        <w:tc>
          <w:tcPr>
            <w:tcW w:w="7110" w:type="dxa"/>
          </w:tcPr>
          <w:p w14:paraId="72603BC9" w14:textId="311D5039" w:rsidR="00677DCE" w:rsidRPr="00AE7EE9" w:rsidRDefault="00DF112B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Сформувати </w:t>
            </w:r>
            <w:r w:rsidR="00D45017">
              <w:rPr>
                <w:rFonts w:ascii="Times New Roman" w:hAnsi="Times New Roman" w:cs="Times New Roman"/>
                <w:color w:val="000000" w:themeColor="text1"/>
              </w:rPr>
              <w:t>св</w:t>
            </w:r>
            <w:r w:rsidR="00D4501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ій 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підхід до комплаєнс програм</w:t>
            </w:r>
            <w:r w:rsidR="00D45017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340" w:type="dxa"/>
          </w:tcPr>
          <w:p w14:paraId="70E27425" w14:textId="77777777" w:rsidR="00677DCE" w:rsidRPr="00AE7EE9" w:rsidRDefault="00DF112B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Юридичні послуги</w:t>
            </w:r>
          </w:p>
        </w:tc>
      </w:tr>
      <w:tr w:rsidR="00AE7EE9" w:rsidRPr="00AE7EE9" w14:paraId="65B6BF2A" w14:textId="77777777" w:rsidTr="0033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extDirection w:val="btLr"/>
          </w:tcPr>
          <w:p w14:paraId="378AAD1F" w14:textId="77777777" w:rsidR="00677DCE" w:rsidRPr="00AE7EE9" w:rsidRDefault="00DF112B" w:rsidP="00DF112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Підхід АМКУ до діяльності КУА</w:t>
            </w:r>
          </w:p>
        </w:tc>
        <w:tc>
          <w:tcPr>
            <w:tcW w:w="4140" w:type="dxa"/>
          </w:tcPr>
          <w:p w14:paraId="5E203EA0" w14:textId="77777777" w:rsidR="00677DCE" w:rsidRPr="00AE7EE9" w:rsidRDefault="00DF112B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Існує практика намагання Антимонопольного комітету України визнати діями, що підпадають під визначення концентрації укладання компаніями з управління активами (КУА) договорів на управління активами інституційних інвесторів. </w:t>
            </w:r>
          </w:p>
        </w:tc>
        <w:tc>
          <w:tcPr>
            <w:tcW w:w="7110" w:type="dxa"/>
          </w:tcPr>
          <w:p w14:paraId="160F5B17" w14:textId="77777777" w:rsidR="00677DCE" w:rsidRPr="00AE7EE9" w:rsidRDefault="00DF112B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Враховуючи те, що така практика не відповідає законодавству та суті відносин, оскільки компанії з управління активами не здійснює контролю, необхідно врегулювати та припинити хибну практику.</w:t>
            </w:r>
          </w:p>
        </w:tc>
        <w:tc>
          <w:tcPr>
            <w:tcW w:w="2340" w:type="dxa"/>
          </w:tcPr>
          <w:p w14:paraId="66264876" w14:textId="77777777" w:rsidR="00677DCE" w:rsidRPr="00AE7EE9" w:rsidRDefault="00DF112B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Банківські та фінансові послуги</w:t>
            </w:r>
          </w:p>
        </w:tc>
      </w:tr>
      <w:tr w:rsidR="00AE7EE9" w:rsidRPr="00AE7EE9" w14:paraId="5660E983" w14:textId="77777777" w:rsidTr="00335463">
        <w:trPr>
          <w:cantSplit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textDirection w:val="btLr"/>
          </w:tcPr>
          <w:p w14:paraId="2ED0A878" w14:textId="77777777" w:rsidR="00B77E4D" w:rsidRPr="00AE7EE9" w:rsidRDefault="00B77E4D" w:rsidP="00DF112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Контроль за публічними закупівлями</w:t>
            </w:r>
          </w:p>
        </w:tc>
        <w:tc>
          <w:tcPr>
            <w:tcW w:w="4140" w:type="dxa"/>
          </w:tcPr>
          <w:p w14:paraId="15DBC0E3" w14:textId="77777777" w:rsidR="00B77E4D" w:rsidRPr="00AE7EE9" w:rsidRDefault="00B77E4D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Занадто формальні повноваження Антимонопольного комітету України щодо оскарження результатів тендеру.</w:t>
            </w:r>
          </w:p>
        </w:tc>
        <w:tc>
          <w:tcPr>
            <w:tcW w:w="7110" w:type="dxa"/>
          </w:tcPr>
          <w:p w14:paraId="2A838E45" w14:textId="339FCD9C" w:rsidR="00B77E4D" w:rsidRPr="009262BE" w:rsidRDefault="006C634C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Покращити інституційне забезпечення </w:t>
            </w:r>
            <w:r w:rsidR="009262BE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комітету з метою кращого виконання цієї функції.</w:t>
            </w:r>
          </w:p>
        </w:tc>
        <w:tc>
          <w:tcPr>
            <w:tcW w:w="2340" w:type="dxa"/>
            <w:vMerge w:val="restart"/>
          </w:tcPr>
          <w:p w14:paraId="13F5C3B0" w14:textId="77777777" w:rsidR="00B77E4D" w:rsidRPr="00AE7EE9" w:rsidRDefault="00B77E4D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Юридичні послуги, банківські та фінансові послуги</w:t>
            </w:r>
          </w:p>
        </w:tc>
      </w:tr>
      <w:tr w:rsidR="00AE7EE9" w:rsidRPr="00AE7EE9" w14:paraId="5A7BB9B9" w14:textId="77777777" w:rsidTr="0033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extDirection w:val="btLr"/>
          </w:tcPr>
          <w:p w14:paraId="5EEB37BB" w14:textId="77777777" w:rsidR="00B77E4D" w:rsidRPr="00AE7EE9" w:rsidRDefault="00B77E4D" w:rsidP="00DF112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40" w:type="dxa"/>
          </w:tcPr>
          <w:p w14:paraId="00C5E56B" w14:textId="77777777" w:rsidR="00B77E4D" w:rsidRPr="00AE7EE9" w:rsidRDefault="00B77E4D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Існують можливості зловживання процедурою оскарження.</w:t>
            </w:r>
          </w:p>
        </w:tc>
        <w:tc>
          <w:tcPr>
            <w:tcW w:w="7110" w:type="dxa"/>
          </w:tcPr>
          <w:p w14:paraId="42FEDD3D" w14:textId="77777777" w:rsidR="00B77E4D" w:rsidRPr="00AE7EE9" w:rsidRDefault="00B77E4D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Обмежити можливість зловживання – встановити порогові показники, тощо.</w:t>
            </w:r>
          </w:p>
        </w:tc>
        <w:tc>
          <w:tcPr>
            <w:tcW w:w="2340" w:type="dxa"/>
            <w:vMerge/>
          </w:tcPr>
          <w:p w14:paraId="467A3CCF" w14:textId="77777777" w:rsidR="00B77E4D" w:rsidRPr="00AE7EE9" w:rsidRDefault="00B77E4D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E7EE9" w:rsidRPr="00AE7EE9" w14:paraId="0CF3FA80" w14:textId="77777777" w:rsidTr="00335463">
        <w:trPr>
          <w:cantSplit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extDirection w:val="btLr"/>
          </w:tcPr>
          <w:p w14:paraId="5790D6F5" w14:textId="77777777" w:rsidR="00B77E4D" w:rsidRPr="00AE7EE9" w:rsidRDefault="00B77E4D" w:rsidP="00DF112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40" w:type="dxa"/>
          </w:tcPr>
          <w:p w14:paraId="6A934C4B" w14:textId="652F67FE" w:rsidR="00B77E4D" w:rsidRPr="00AE7EE9" w:rsidRDefault="00B77E4D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Подання скарги до Антимонопольного комітету України вимагає значних зусиль, у той же час, деякі сфери діяльності занадто специфічні</w:t>
            </w:r>
            <w:r w:rsidR="00D111CD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, що</w:t>
            </w:r>
            <w:r w:rsidR="00BD6CB1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ускладнює </w:t>
            </w:r>
            <w:r w:rsidR="00D111CD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пояснення суті скарги, іноді скаргам приділяється замало уваги.</w:t>
            </w:r>
          </w:p>
        </w:tc>
        <w:tc>
          <w:tcPr>
            <w:tcW w:w="7110" w:type="dxa"/>
          </w:tcPr>
          <w:p w14:paraId="2FE2CA8A" w14:textId="77777777" w:rsidR="00B77E4D" w:rsidRPr="00AE7EE9" w:rsidRDefault="00D111CD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Переведення розгляду частини скарг в заочний режим.</w:t>
            </w:r>
          </w:p>
          <w:p w14:paraId="2A80DC30" w14:textId="77777777" w:rsidR="00D111CD" w:rsidRPr="00AE7EE9" w:rsidRDefault="00D111CD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Більш детальне вивчення суті скарги.</w:t>
            </w:r>
          </w:p>
        </w:tc>
        <w:tc>
          <w:tcPr>
            <w:tcW w:w="2340" w:type="dxa"/>
            <w:vMerge/>
          </w:tcPr>
          <w:p w14:paraId="2C8BDEED" w14:textId="77777777" w:rsidR="00B77E4D" w:rsidRPr="00AE7EE9" w:rsidRDefault="00B77E4D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E7EE9" w:rsidRPr="00AE7EE9" w14:paraId="6DC64F84" w14:textId="77777777" w:rsidTr="00A64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textDirection w:val="btLr"/>
          </w:tcPr>
          <w:p w14:paraId="06DDB029" w14:textId="77777777" w:rsidR="00A64CC2" w:rsidRPr="00AE7EE9" w:rsidRDefault="00A64CC2" w:rsidP="00DF112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Діяльність територіальних відділень</w:t>
            </w:r>
          </w:p>
        </w:tc>
        <w:tc>
          <w:tcPr>
            <w:tcW w:w="4140" w:type="dxa"/>
          </w:tcPr>
          <w:p w14:paraId="01BBB618" w14:textId="538FFE03" w:rsidR="00A64CC2" w:rsidRPr="00AE7EE9" w:rsidRDefault="00A64CC2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Недостатня координація діяльності територіальних відділень, що призводить до того, що тервідділення запитують надзвичайно велику кількість інформації, або інформацію, що вже надавалась Антимонопольному комітету України</w:t>
            </w:r>
            <w:r w:rsidR="00FC3DFC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або інформацію надання якої обмежено статтею 31 Конституції України .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7110" w:type="dxa"/>
          </w:tcPr>
          <w:p w14:paraId="52A18B23" w14:textId="56808058" w:rsidR="00BD6CB1" w:rsidRPr="00AE7EE9" w:rsidRDefault="00A64CC2" w:rsidP="00B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Проведення реформи територіальних відділень, створення умов для  кращої координації</w:t>
            </w:r>
            <w:r w:rsidR="00BD6CB1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діяльності органів Антимонопольного комітету України.</w:t>
            </w:r>
          </w:p>
          <w:p w14:paraId="194555BE" w14:textId="5555A09C" w:rsidR="00A64CC2" w:rsidRPr="00AE7EE9" w:rsidRDefault="00BD6CB1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Органи Антимонопольного комітету України мають обмінюватися інформацією, правозастосовною практикою з метою уникнення неоднакового застосування законодавства про захист економічної конкуренції, а також інформацією отриманою від суб’єктів господарювання з метою уникнення надмірного/повторного запиту інформації</w:t>
            </w:r>
            <w:r w:rsidR="00A64CC2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13F71526" w14:textId="1AC88876" w:rsidR="00A64CC2" w:rsidRPr="00AE7EE9" w:rsidRDefault="00A64CC2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Закріпити на законодавчому рівні права суб’єктів господарювання відмовляти Антимонопольному комітету України та/або його регіональним відділенням у разі, якщо інформація вже надавалась </w:t>
            </w:r>
            <w:r w:rsidR="00BD6CB1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органам Антимонопольного комітету України</w:t>
            </w:r>
            <w:r w:rsidR="00FC3DFC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, або якщо розповсюдження такої інформації протирічить положенням Конституції України.</w:t>
            </w:r>
            <w:r w:rsidR="00BD6CB1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340" w:type="dxa"/>
            <w:vMerge w:val="restart"/>
          </w:tcPr>
          <w:p w14:paraId="08F302FD" w14:textId="1A27DE34" w:rsidR="00A64CC2" w:rsidRPr="00AE7EE9" w:rsidRDefault="00A64CC2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Інформаційні та телекомунікаційні </w:t>
            </w:r>
            <w:r w:rsidR="00FC3DFC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послуги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, банківські та фінансові послуги</w:t>
            </w:r>
          </w:p>
        </w:tc>
      </w:tr>
      <w:tr w:rsidR="00AE7EE9" w:rsidRPr="00AE7EE9" w14:paraId="6E12D892" w14:textId="77777777" w:rsidTr="00335463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extDirection w:val="btLr"/>
          </w:tcPr>
          <w:p w14:paraId="6BE57037" w14:textId="77777777" w:rsidR="00A64CC2" w:rsidRPr="00AE7EE9" w:rsidRDefault="00A64CC2" w:rsidP="00DF112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40" w:type="dxa"/>
          </w:tcPr>
          <w:p w14:paraId="5C0ED229" w14:textId="77777777" w:rsidR="00A64CC2" w:rsidRPr="00AE7EE9" w:rsidRDefault="00A64CC2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</w:rPr>
              <w:t>Територіальні відділення АМКУ часто надають надзвичайно короткі строки для надання відповідей за їх вимогами. Часто навіть три календарних дні, що у поєднанні отримання вимоги у четвер чи п’ятницю унеможливлює нормальну роботу по збору запитуваної інформації та ускладнює підготовку відповідей, створює загрозу накладення штрафу тощо.</w:t>
            </w:r>
          </w:p>
        </w:tc>
        <w:tc>
          <w:tcPr>
            <w:tcW w:w="7110" w:type="dxa"/>
          </w:tcPr>
          <w:p w14:paraId="3FA14330" w14:textId="77777777" w:rsidR="00A64CC2" w:rsidRPr="00AE7EE9" w:rsidRDefault="00A64CC2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Розробити і прийняти окремі рекомендації АМКУ де вказати, що територіальні відділення встановлюють строки у робочих днях, а перебіг строків для надання відповідей обчислюється з дня, наступного за днем отримання вимоги, а сам строк не може бути меншим п’яти робочих днів.</w:t>
            </w:r>
          </w:p>
        </w:tc>
        <w:tc>
          <w:tcPr>
            <w:tcW w:w="2340" w:type="dxa"/>
            <w:vMerge/>
          </w:tcPr>
          <w:p w14:paraId="289B6F8A" w14:textId="77777777" w:rsidR="00A64CC2" w:rsidRPr="00AE7EE9" w:rsidRDefault="00A64CC2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AE7EE9" w:rsidRPr="00AE7EE9" w14:paraId="25ADCD00" w14:textId="77777777" w:rsidTr="00335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 w:val="restart"/>
            <w:textDirection w:val="btLr"/>
          </w:tcPr>
          <w:p w14:paraId="640B5844" w14:textId="77777777" w:rsidR="00D111CD" w:rsidRPr="00AE7EE9" w:rsidRDefault="00D111CD" w:rsidP="00DF112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Розгляд справ щодо недобросовісної конкуренції</w:t>
            </w:r>
          </w:p>
        </w:tc>
        <w:tc>
          <w:tcPr>
            <w:tcW w:w="4140" w:type="dxa"/>
          </w:tcPr>
          <w:p w14:paraId="48FAF158" w14:textId="77777777" w:rsidR="00FC3DFC" w:rsidRPr="00AE7EE9" w:rsidRDefault="00BD6CB1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Відсутність конкретно визначених  процесуальних дій Антимонопольного комітету України (глава 6 Закону «Про захист від недобросовісної конкуренції») при розгляді справ про недобросовісну конкуренцію.</w:t>
            </w:r>
          </w:p>
          <w:p w14:paraId="13C8A9C6" w14:textId="77777777" w:rsidR="00FC3DFC" w:rsidRPr="00AE7EE9" w:rsidRDefault="00FC3DFC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14:paraId="77497E69" w14:textId="6608AD38" w:rsidR="00FC3DFC" w:rsidRPr="00736B24" w:rsidRDefault="00FC3DFC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Перелік випадків недобросовісної конкуренції в частині</w:t>
            </w:r>
            <w:r w:rsidR="00736B2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статті 15-1 Закону «Про захист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36B24">
              <w:rPr>
                <w:rFonts w:ascii="Times New Roman" w:hAnsi="Times New Roman" w:cs="Times New Roman"/>
                <w:color w:val="000000" w:themeColor="text1"/>
                <w:lang w:val="uk-UA"/>
              </w:rPr>
              <w:t>від недобросовісної конкуренції» має бути переглянуто, а також передбачені чіткі критерії, що відрізняли б порушення Закону «Про захист від недобросовісної конкуренції» від Закону «Про захист прав споживачів»</w:t>
            </w:r>
          </w:p>
          <w:p w14:paraId="22461307" w14:textId="160100FF" w:rsidR="00D111CD" w:rsidRPr="00AE7EE9" w:rsidRDefault="00D111CD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7110" w:type="dxa"/>
          </w:tcPr>
          <w:p w14:paraId="4F0BD788" w14:textId="77777777" w:rsidR="00BD6CB1" w:rsidRPr="00AE7EE9" w:rsidRDefault="00BD6CB1" w:rsidP="00B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Необхідно передбачити процесуальний порядок дій Антимонопольного комітету України, прав та обов’язків сторін справи про недобросовісну конкуренцію </w:t>
            </w:r>
          </w:p>
          <w:p w14:paraId="1458495C" w14:textId="77777777" w:rsidR="00BD6CB1" w:rsidRPr="00AE7EE9" w:rsidRDefault="00BD6CB1" w:rsidP="00B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 Законі. </w:t>
            </w:r>
          </w:p>
          <w:p w14:paraId="1A0316CE" w14:textId="77777777" w:rsidR="00BD6CB1" w:rsidRPr="00AE7EE9" w:rsidRDefault="00BD6CB1" w:rsidP="00B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При встановленні порушення має обов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язково визначатися, як саме окреме порушення вплинуло або могло вплинути на конкуренцію на ринку з зазначенням доказів такого впливу. </w:t>
            </w:r>
          </w:p>
          <w:p w14:paraId="038EA226" w14:textId="1E989147" w:rsidR="00BD6CB1" w:rsidRPr="00736B24" w:rsidRDefault="00BD6CB1" w:rsidP="00B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Крім того, органи Антимонопольного комітету України при розгляді справ мають довести наявність всіх ознак правопорушення, зокрема, </w:t>
            </w:r>
            <w:r w:rsidRPr="00736B24">
              <w:rPr>
                <w:rFonts w:ascii="Times New Roman" w:hAnsi="Times New Roman" w:cs="Times New Roman"/>
                <w:color w:val="000000" w:themeColor="text1"/>
                <w:lang w:val="uk-UA"/>
              </w:rPr>
              <w:t>вини</w:t>
            </w:r>
            <w:r w:rsidR="00FC3DFC" w:rsidRPr="00736B2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 також вплив такого порушення на вибір споживача.</w:t>
            </w:r>
          </w:p>
          <w:p w14:paraId="5E0A2589" w14:textId="4D87EE1C" w:rsidR="009668E4" w:rsidRPr="00AE7EE9" w:rsidRDefault="009668E4" w:rsidP="00BD6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Підготувати Роз’яснення (Guidelines) щодо підходів АМКУ під час оцінки та кваліфікації дій з поширення інформації, що вводить в оману, оскільки порушення у вигляді поширення інформації, що вводить в оману складає 90 % недобросовісної конкуренції.</w:t>
            </w:r>
          </w:p>
          <w:p w14:paraId="7554C3B7" w14:textId="365033C5" w:rsidR="00D111CD" w:rsidRPr="00AE7EE9" w:rsidRDefault="00D111CD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40" w:type="dxa"/>
            <w:vMerge w:val="restart"/>
          </w:tcPr>
          <w:p w14:paraId="4FE52AF5" w14:textId="3DDEEF3F" w:rsidR="00D111CD" w:rsidRPr="00AE7EE9" w:rsidRDefault="00F07FB4" w:rsidP="00B9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Інформаційні та телекомунікаційні </w:t>
            </w:r>
            <w:r w:rsidR="00FC3DFC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послуги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, юридичні послуги</w:t>
            </w:r>
          </w:p>
        </w:tc>
      </w:tr>
      <w:tr w:rsidR="00AE7EE9" w:rsidRPr="00AE7EE9" w14:paraId="7DC66444" w14:textId="77777777" w:rsidTr="00335463">
        <w:trPr>
          <w:cantSplit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extDirection w:val="btLr"/>
          </w:tcPr>
          <w:p w14:paraId="179E443B" w14:textId="77777777" w:rsidR="00D111CD" w:rsidRPr="00AE7EE9" w:rsidRDefault="00D111CD" w:rsidP="00DF112B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40" w:type="dxa"/>
          </w:tcPr>
          <w:p w14:paraId="2DAC4CFF" w14:textId="77777777" w:rsidR="00D111CD" w:rsidRPr="00AE7EE9" w:rsidRDefault="00F07FB4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Проведення опитувань у соцмережах не є репрезентативними, містять обмежений перелік питань, залишають можливості для маніпуляцій як на користь регулятора, так і на користь суб</w:t>
            </w:r>
            <w:r w:rsidRPr="00AE7EE9">
              <w:rPr>
                <w:rFonts w:ascii="Times New Roman" w:hAnsi="Times New Roman" w:cs="Times New Roman"/>
                <w:color w:val="000000" w:themeColor="text1"/>
              </w:rPr>
              <w:t>’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єкта дослідження.</w:t>
            </w:r>
          </w:p>
        </w:tc>
        <w:tc>
          <w:tcPr>
            <w:tcW w:w="7110" w:type="dxa"/>
          </w:tcPr>
          <w:p w14:paraId="4612AA01" w14:textId="2C8D2632" w:rsidR="00D111CD" w:rsidRPr="00AE7EE9" w:rsidRDefault="00F07FB4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Необхідно розробити положення (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en-US"/>
              </w:rPr>
              <w:t>guidelines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), яке б містило правила і критерії проведення подібних досліджень</w:t>
            </w:r>
            <w:r w:rsidR="00FC3DFC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та формат звіту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були зрозумілими і прозорими для </w:t>
            </w:r>
            <w:r w:rsidR="00820EF7"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всіх учасників правовідносин</w:t>
            </w:r>
            <w:r w:rsidRPr="00AE7EE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340" w:type="dxa"/>
            <w:vMerge/>
          </w:tcPr>
          <w:p w14:paraId="5510BA42" w14:textId="77777777" w:rsidR="00D111CD" w:rsidRPr="00AE7EE9" w:rsidRDefault="00D111CD" w:rsidP="00B9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3F01934B" w14:textId="77777777" w:rsidR="00B95740" w:rsidRPr="00AE7EE9" w:rsidRDefault="00B95740" w:rsidP="00B95740">
      <w:pPr>
        <w:rPr>
          <w:rFonts w:ascii="Times New Roman" w:hAnsi="Times New Roman" w:cs="Times New Roman"/>
          <w:color w:val="000000" w:themeColor="text1"/>
          <w:lang w:val="uk-UA"/>
        </w:rPr>
      </w:pPr>
    </w:p>
    <w:p w14:paraId="3A7C7133" w14:textId="77777777" w:rsidR="00B95740" w:rsidRPr="00AE7EE9" w:rsidRDefault="00B95740" w:rsidP="00B95740">
      <w:pPr>
        <w:rPr>
          <w:rFonts w:ascii="Times New Roman" w:hAnsi="Times New Roman" w:cs="Times New Roman"/>
          <w:color w:val="000000" w:themeColor="text1"/>
          <w:lang w:val="uk-UA"/>
        </w:rPr>
      </w:pPr>
    </w:p>
    <w:p w14:paraId="530F79E8" w14:textId="77777777" w:rsidR="00B95740" w:rsidRPr="00AE7EE9" w:rsidRDefault="00B95740" w:rsidP="00B95740">
      <w:pPr>
        <w:rPr>
          <w:rFonts w:ascii="Times New Roman" w:hAnsi="Times New Roman" w:cs="Times New Roman"/>
          <w:color w:val="000000" w:themeColor="text1"/>
          <w:lang w:val="uk-UA"/>
        </w:rPr>
      </w:pPr>
    </w:p>
    <w:p w14:paraId="13C4A4F5" w14:textId="77777777" w:rsidR="00B95740" w:rsidRPr="00AE7EE9" w:rsidRDefault="00B95740" w:rsidP="00B95740">
      <w:pPr>
        <w:rPr>
          <w:rFonts w:ascii="Times New Roman" w:hAnsi="Times New Roman" w:cs="Times New Roman"/>
          <w:color w:val="000000" w:themeColor="text1"/>
          <w:lang w:val="uk-UA"/>
        </w:rPr>
      </w:pPr>
    </w:p>
    <w:p w14:paraId="79F8FF27" w14:textId="77777777" w:rsidR="00DF112B" w:rsidRPr="00AE7EE9" w:rsidRDefault="00B95740" w:rsidP="00B95740">
      <w:pPr>
        <w:tabs>
          <w:tab w:val="left" w:pos="10800"/>
        </w:tabs>
        <w:rPr>
          <w:rFonts w:ascii="Times New Roman" w:hAnsi="Times New Roman" w:cs="Times New Roman"/>
          <w:color w:val="000000" w:themeColor="text1"/>
          <w:lang w:val="uk-UA"/>
        </w:rPr>
      </w:pPr>
      <w:r w:rsidRPr="00AE7EE9">
        <w:rPr>
          <w:rFonts w:ascii="Times New Roman" w:hAnsi="Times New Roman" w:cs="Times New Roman"/>
          <w:color w:val="000000" w:themeColor="text1"/>
          <w:lang w:val="uk-UA"/>
        </w:rPr>
        <w:tab/>
      </w:r>
    </w:p>
    <w:sectPr w:rsidR="00DF112B" w:rsidRPr="00AE7EE9" w:rsidSect="00B9574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E57AC" w14:textId="77777777" w:rsidR="00F1619C" w:rsidRDefault="00F1619C" w:rsidP="00596481">
      <w:r>
        <w:separator/>
      </w:r>
    </w:p>
  </w:endnote>
  <w:endnote w:type="continuationSeparator" w:id="0">
    <w:p w14:paraId="3D751434" w14:textId="77777777" w:rsidR="00F1619C" w:rsidRDefault="00F1619C" w:rsidP="0059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729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A310AD" w14:textId="411DD9AB" w:rsidR="00D111CD" w:rsidRPr="00003A25" w:rsidRDefault="00D111CD">
        <w:pPr>
          <w:pStyle w:val="Footer"/>
          <w:rPr>
            <w:rFonts w:ascii="Times New Roman" w:hAnsi="Times New Roman" w:cs="Times New Roman"/>
          </w:rPr>
        </w:pPr>
        <w:r w:rsidRPr="00003A25">
          <w:rPr>
            <w:rFonts w:ascii="Times New Roman" w:hAnsi="Times New Roman" w:cs="Times New Roman"/>
          </w:rPr>
          <w:fldChar w:fldCharType="begin"/>
        </w:r>
        <w:r w:rsidRPr="00003A25">
          <w:rPr>
            <w:rFonts w:ascii="Times New Roman" w:hAnsi="Times New Roman" w:cs="Times New Roman"/>
          </w:rPr>
          <w:instrText xml:space="preserve"> PAGE   \* MERGEFORMAT </w:instrText>
        </w:r>
        <w:r w:rsidRPr="00003A25">
          <w:rPr>
            <w:rFonts w:ascii="Times New Roman" w:hAnsi="Times New Roman" w:cs="Times New Roman"/>
          </w:rPr>
          <w:fldChar w:fldCharType="separate"/>
        </w:r>
        <w:r w:rsidR="002E64CC">
          <w:rPr>
            <w:rFonts w:ascii="Times New Roman" w:hAnsi="Times New Roman" w:cs="Times New Roman"/>
            <w:noProof/>
          </w:rPr>
          <w:t>11</w:t>
        </w:r>
        <w:r w:rsidRPr="00003A25">
          <w:rPr>
            <w:rFonts w:ascii="Times New Roman" w:hAnsi="Times New Roman" w:cs="Times New Roman"/>
            <w:noProof/>
          </w:rPr>
          <w:fldChar w:fldCharType="end"/>
        </w:r>
        <w:r w:rsidRPr="00003A25">
          <w:rPr>
            <w:rFonts w:ascii="Times New Roman" w:hAnsi="Times New Roman" w:cs="Times New Roman"/>
            <w:noProof/>
          </w:rPr>
          <w:tab/>
        </w:r>
        <w:r w:rsidRPr="00003A25">
          <w:rPr>
            <w:rFonts w:ascii="Times New Roman" w:hAnsi="Times New Roman" w:cs="Times New Roman"/>
            <w:noProof/>
          </w:rPr>
          <w:tab/>
        </w:r>
        <w:r w:rsidRPr="00003A25">
          <w:rPr>
            <w:rFonts w:ascii="Times New Roman" w:hAnsi="Times New Roman" w:cs="Times New Roman"/>
            <w:noProof/>
          </w:rPr>
          <w:tab/>
        </w:r>
        <w:r w:rsidRPr="00003A25">
          <w:rPr>
            <w:rFonts w:ascii="Times New Roman" w:hAnsi="Times New Roman" w:cs="Times New Roman"/>
            <w:noProof/>
          </w:rPr>
          <w:tab/>
        </w:r>
        <w:r w:rsidRPr="00003A25">
          <w:rPr>
            <w:rFonts w:ascii="Times New Roman" w:hAnsi="Times New Roman" w:cs="Times New Roman"/>
            <w:noProof/>
          </w:rPr>
          <w:tab/>
        </w:r>
        <w:r w:rsidRPr="00003A25">
          <w:rPr>
            <w:rFonts w:ascii="Times New Roman" w:hAnsi="Times New Roman" w:cs="Times New Roman"/>
            <w:noProof/>
          </w:rPr>
          <w:tab/>
          <w:t>www.chamber.ua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35360" w14:textId="77777777" w:rsidR="00F1619C" w:rsidRDefault="00F1619C" w:rsidP="00596481">
      <w:r>
        <w:separator/>
      </w:r>
    </w:p>
  </w:footnote>
  <w:footnote w:type="continuationSeparator" w:id="0">
    <w:p w14:paraId="6C98AB61" w14:textId="77777777" w:rsidR="00F1619C" w:rsidRDefault="00F1619C" w:rsidP="0059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55AE" w14:textId="203C5E8B" w:rsidR="00D111CD" w:rsidRDefault="00F1619C" w:rsidP="00A56C15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ru-RU"/>
      </w:rPr>
    </w:pPr>
    <w:sdt>
      <w:sdtPr>
        <w:rPr>
          <w:rFonts w:ascii="Times New Roman" w:hAnsi="Times New Roman" w:cs="Times New Roman"/>
          <w:b/>
          <w:sz w:val="24"/>
          <w:szCs w:val="24"/>
          <w:lang w:val="ru-RU"/>
        </w:rPr>
        <w:id w:val="412055315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noProof/>
            <w:sz w:val="24"/>
            <w:szCs w:val="24"/>
            <w:lang w:val="ru-RU"/>
          </w:rPr>
          <w:pict w14:anchorId="662D29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111CD">
      <w:rPr>
        <w:rFonts w:ascii="Times New Roman" w:hAnsi="Times New Roman" w:cs="Times New Roman"/>
        <w:b/>
        <w:sz w:val="24"/>
        <w:szCs w:val="24"/>
        <w:lang w:val="ru-RU"/>
      </w:rPr>
      <w:t>Дорожня карта реформування антимонопольної сфери</w:t>
    </w:r>
  </w:p>
  <w:p w14:paraId="4703B7CA" w14:textId="2CDB7EC1" w:rsidR="00927928" w:rsidRDefault="00927928" w:rsidP="00A56C15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ru-RU"/>
      </w:rPr>
    </w:pPr>
  </w:p>
  <w:p w14:paraId="7B9A6C1B" w14:textId="77777777" w:rsidR="00927928" w:rsidRPr="00D92EB9" w:rsidRDefault="00927928" w:rsidP="00A56C15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8E8"/>
    <w:multiLevelType w:val="hybridMultilevel"/>
    <w:tmpl w:val="DBF86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2EF2"/>
    <w:multiLevelType w:val="hybridMultilevel"/>
    <w:tmpl w:val="1E88943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16F0"/>
    <w:multiLevelType w:val="hybridMultilevel"/>
    <w:tmpl w:val="F6106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774C1"/>
    <w:multiLevelType w:val="hybridMultilevel"/>
    <w:tmpl w:val="2AE85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D627E"/>
    <w:multiLevelType w:val="hybridMultilevel"/>
    <w:tmpl w:val="B484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75DF5"/>
    <w:multiLevelType w:val="hybridMultilevel"/>
    <w:tmpl w:val="2CDC6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81D28"/>
    <w:multiLevelType w:val="hybridMultilevel"/>
    <w:tmpl w:val="039AA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81"/>
    <w:rsid w:val="000001B0"/>
    <w:rsid w:val="00003A25"/>
    <w:rsid w:val="000E6720"/>
    <w:rsid w:val="001351AE"/>
    <w:rsid w:val="00155F02"/>
    <w:rsid w:val="00162681"/>
    <w:rsid w:val="001D0CD2"/>
    <w:rsid w:val="001D7FBD"/>
    <w:rsid w:val="002024B2"/>
    <w:rsid w:val="00263A67"/>
    <w:rsid w:val="002A465E"/>
    <w:rsid w:val="002B0E76"/>
    <w:rsid w:val="002E64CC"/>
    <w:rsid w:val="003060B6"/>
    <w:rsid w:val="00314AF0"/>
    <w:rsid w:val="00335463"/>
    <w:rsid w:val="00340791"/>
    <w:rsid w:val="00363513"/>
    <w:rsid w:val="003821C8"/>
    <w:rsid w:val="003B0F2C"/>
    <w:rsid w:val="003B1D2F"/>
    <w:rsid w:val="003E0CF3"/>
    <w:rsid w:val="003E4FD2"/>
    <w:rsid w:val="003F212C"/>
    <w:rsid w:val="0040420E"/>
    <w:rsid w:val="004047D1"/>
    <w:rsid w:val="00410120"/>
    <w:rsid w:val="00471455"/>
    <w:rsid w:val="00596481"/>
    <w:rsid w:val="005A5089"/>
    <w:rsid w:val="005D03B9"/>
    <w:rsid w:val="005D0982"/>
    <w:rsid w:val="005E52DA"/>
    <w:rsid w:val="00677DCE"/>
    <w:rsid w:val="006B275E"/>
    <w:rsid w:val="006C634C"/>
    <w:rsid w:val="006C6ACA"/>
    <w:rsid w:val="007149C5"/>
    <w:rsid w:val="00736B24"/>
    <w:rsid w:val="00794D88"/>
    <w:rsid w:val="007D5639"/>
    <w:rsid w:val="00820EF7"/>
    <w:rsid w:val="00847417"/>
    <w:rsid w:val="00890565"/>
    <w:rsid w:val="008B496A"/>
    <w:rsid w:val="008C4718"/>
    <w:rsid w:val="009262BE"/>
    <w:rsid w:val="00927928"/>
    <w:rsid w:val="00946770"/>
    <w:rsid w:val="009668E4"/>
    <w:rsid w:val="009B504E"/>
    <w:rsid w:val="009C501E"/>
    <w:rsid w:val="009E2E64"/>
    <w:rsid w:val="00A35D70"/>
    <w:rsid w:val="00A415C7"/>
    <w:rsid w:val="00A56C15"/>
    <w:rsid w:val="00A63BA2"/>
    <w:rsid w:val="00A64CC2"/>
    <w:rsid w:val="00A812D8"/>
    <w:rsid w:val="00AE7EE9"/>
    <w:rsid w:val="00AF3F8D"/>
    <w:rsid w:val="00B11DEE"/>
    <w:rsid w:val="00B125A3"/>
    <w:rsid w:val="00B324F3"/>
    <w:rsid w:val="00B340AB"/>
    <w:rsid w:val="00B77E4D"/>
    <w:rsid w:val="00B95740"/>
    <w:rsid w:val="00BD6CB1"/>
    <w:rsid w:val="00D0515F"/>
    <w:rsid w:val="00D111CD"/>
    <w:rsid w:val="00D11ADC"/>
    <w:rsid w:val="00D45017"/>
    <w:rsid w:val="00D63C87"/>
    <w:rsid w:val="00D92EB9"/>
    <w:rsid w:val="00DB2185"/>
    <w:rsid w:val="00DE4DD8"/>
    <w:rsid w:val="00DF112B"/>
    <w:rsid w:val="00DF7225"/>
    <w:rsid w:val="00E0094A"/>
    <w:rsid w:val="00E02223"/>
    <w:rsid w:val="00E26CAA"/>
    <w:rsid w:val="00EE62AC"/>
    <w:rsid w:val="00F07FB4"/>
    <w:rsid w:val="00F1194B"/>
    <w:rsid w:val="00F1619C"/>
    <w:rsid w:val="00F8322D"/>
    <w:rsid w:val="00F8327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1B1A29"/>
  <w15:chartTrackingRefBased/>
  <w15:docId w15:val="{30900E97-D4C8-474C-900A-F9D47497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4F3"/>
    <w:pPr>
      <w:spacing w:after="0" w:line="240" w:lineRule="auto"/>
    </w:pPr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481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6481"/>
  </w:style>
  <w:style w:type="paragraph" w:styleId="Footer">
    <w:name w:val="footer"/>
    <w:basedOn w:val="Normal"/>
    <w:link w:val="FooterChar"/>
    <w:uiPriority w:val="99"/>
    <w:unhideWhenUsed/>
    <w:rsid w:val="00596481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6481"/>
  </w:style>
  <w:style w:type="paragraph" w:styleId="BalloonText">
    <w:name w:val="Balloon Text"/>
    <w:basedOn w:val="Normal"/>
    <w:link w:val="BalloonTextChar"/>
    <w:uiPriority w:val="99"/>
    <w:semiHidden/>
    <w:unhideWhenUsed/>
    <w:rsid w:val="00B95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2E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812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3B9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B9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0192-ACC1-4085-80E0-F2E213FD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Stepanova</dc:creator>
  <cp:keywords/>
  <dc:description/>
  <cp:lastModifiedBy>Olena Stepanova</cp:lastModifiedBy>
  <cp:revision>4</cp:revision>
  <cp:lastPrinted>2017-08-10T09:43:00Z</cp:lastPrinted>
  <dcterms:created xsi:type="dcterms:W3CDTF">2017-11-20T10:37:00Z</dcterms:created>
  <dcterms:modified xsi:type="dcterms:W3CDTF">2017-11-20T11:59:00Z</dcterms:modified>
</cp:coreProperties>
</file>