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Hlk490123130"/>
    </w:p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679"/>
        <w:gridCol w:w="1820"/>
        <w:gridCol w:w="5532"/>
      </w:tblGrid>
      <w:tr w:rsidR="00341EBB" w:rsidRPr="00ED7FA6" w:rsidTr="00116007">
        <w:trPr>
          <w:trHeight w:val="582"/>
        </w:trPr>
        <w:tc>
          <w:tcPr>
            <w:tcW w:w="3679" w:type="dxa"/>
          </w:tcPr>
          <w:p w:rsidR="00341EBB" w:rsidRPr="00ED7FA6" w:rsidRDefault="00341EBB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ED7FA6" w:rsidRDefault="00B04DD0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160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1214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2" w:type="dxa"/>
          </w:tcPr>
          <w:p w:rsidR="00044510" w:rsidRPr="00ED7FA6" w:rsidRDefault="00116007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Голові Антимонопольного комітету України</w:t>
            </w:r>
          </w:p>
          <w:p w:rsidR="00044510" w:rsidRPr="00ED7FA6" w:rsidRDefault="00116007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Терентьєву</w:t>
            </w:r>
            <w:r w:rsidR="00B0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  <w:r w:rsidR="00044510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B04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41EBB" w:rsidRPr="00ED7FA6" w:rsidRDefault="00341EBB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1EBB" w:rsidRPr="00B04DD0" w:rsidTr="00116007">
        <w:trPr>
          <w:trHeight w:val="582"/>
        </w:trPr>
        <w:tc>
          <w:tcPr>
            <w:tcW w:w="3679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ED7FA6" w:rsidRDefault="00044510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7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КОПІЯ: </w:t>
            </w: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532" w:type="dxa"/>
          </w:tcPr>
          <w:p w:rsidR="00044510" w:rsidRPr="00ED7FA6" w:rsidRDefault="00B04DD0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044510" w:rsidRDefault="00B04DD0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</w:t>
            </w:r>
            <w:r w:rsidR="00044510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44510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44510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04DD0" w:rsidRDefault="00116007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В.о. Голови правління ПАТ «Укрзалізниця»</w:t>
            </w:r>
          </w:p>
          <w:p w:rsidR="00341EBB" w:rsidRPr="00ED7FA6" w:rsidRDefault="00116007" w:rsidP="00ED7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Кравцову Є.П.</w:t>
            </w:r>
          </w:p>
          <w:p w:rsidR="00044510" w:rsidRPr="00ED7FA6" w:rsidRDefault="00044510" w:rsidP="00ED7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bookmarkEnd w:id="0"/>
    <w:p w:rsidR="00116007" w:rsidRDefault="00116007" w:rsidP="001160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укладання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користувачами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залізничних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007" w:rsidRPr="00FC031E" w:rsidRDefault="00116007" w:rsidP="001160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Єдиних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договорі</w:t>
      </w:r>
      <w:proofErr w:type="gramStart"/>
      <w:r w:rsidRPr="00116007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організацію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перевезень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вантажів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007" w:rsidRPr="00116007" w:rsidRDefault="00116007" w:rsidP="001160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6007">
        <w:rPr>
          <w:rFonts w:ascii="Times New Roman" w:hAnsi="Times New Roman" w:cs="Times New Roman"/>
          <w:i/>
          <w:sz w:val="24"/>
          <w:szCs w:val="24"/>
        </w:rPr>
        <w:t xml:space="preserve">і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проведення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розрахунків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перевезення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GoBack"/>
      <w:bookmarkEnd w:id="1"/>
    </w:p>
    <w:p w:rsidR="00116007" w:rsidRPr="00116007" w:rsidRDefault="00116007" w:rsidP="001160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6007">
        <w:rPr>
          <w:rFonts w:ascii="Times New Roman" w:hAnsi="Times New Roman" w:cs="Times New Roman"/>
          <w:i/>
          <w:sz w:val="24"/>
          <w:szCs w:val="24"/>
        </w:rPr>
        <w:t xml:space="preserve">та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надані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залізницею</w:t>
      </w:r>
      <w:proofErr w:type="spellEnd"/>
      <w:r w:rsidRPr="00116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007">
        <w:rPr>
          <w:rFonts w:ascii="Times New Roman" w:hAnsi="Times New Roman" w:cs="Times New Roman"/>
          <w:i/>
          <w:sz w:val="24"/>
          <w:szCs w:val="24"/>
        </w:rPr>
        <w:t>послуги</w:t>
      </w:r>
      <w:proofErr w:type="spellEnd"/>
    </w:p>
    <w:p w:rsidR="00B04DD0" w:rsidRDefault="00B04DD0" w:rsidP="00B04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16007" w:rsidRPr="00116007" w:rsidRDefault="00116007" w:rsidP="00B04DD0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</w:p>
    <w:p w:rsidR="00341EBB" w:rsidRPr="00ED7FA6" w:rsidRDefault="00E128B3" w:rsidP="00ED7FA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 w:rsidR="00250430"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16007">
        <w:rPr>
          <w:rFonts w:ascii="Times New Roman" w:hAnsi="Times New Roman" w:cs="Times New Roman"/>
          <w:b/>
          <w:i/>
          <w:sz w:val="24"/>
          <w:szCs w:val="24"/>
          <w:lang w:val="uk-UA"/>
        </w:rPr>
        <w:t>Юрію Олександровичу</w:t>
      </w:r>
      <w:r w:rsidR="00341EBB" w:rsidRPr="00ED7FA6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</w:p>
    <w:p w:rsidR="004E40AD" w:rsidRPr="004E40AD" w:rsidRDefault="00341EBB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90123193"/>
      <w:r w:rsidRPr="00ED7FA6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  <w:bookmarkEnd w:id="2"/>
    </w:p>
    <w:p w:rsidR="00116007" w:rsidRPr="00116007" w:rsidRDefault="000F3B39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Починаючи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01.04.2017 </w:t>
      </w:r>
      <w:r>
        <w:rPr>
          <w:rFonts w:ascii="Times New Roman" w:hAnsi="Times New Roman" w:cs="Times New Roman"/>
          <w:sz w:val="24"/>
          <w:szCs w:val="24"/>
          <w:lang w:val="uk-UA"/>
        </w:rPr>
        <w:t>ПАТ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Укразлізниця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було впроваджено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>мпані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по укладанню з користувачами залізничних послуг Єдиних договорів про організацію перевезень вантажів і проведення розрахунків за перевезення та надані залізницею послуги. На офіційному сайті Філії «Центр транспортної логістики» </w:t>
      </w:r>
      <w:r>
        <w:rPr>
          <w:rFonts w:ascii="Times New Roman" w:hAnsi="Times New Roman" w:cs="Times New Roman"/>
          <w:sz w:val="24"/>
          <w:szCs w:val="24"/>
          <w:lang w:val="uk-UA"/>
        </w:rPr>
        <w:t>ПАТ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«Укрзалізниця» представлено проект цього договору. </w:t>
      </w:r>
    </w:p>
    <w:p w:rsidR="00116007" w:rsidRPr="00116007" w:rsidRDefault="00116007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Проаналізувавши проект представленого договору, </w:t>
      </w:r>
      <w:r w:rsidR="000F3B39">
        <w:rPr>
          <w:rFonts w:ascii="Times New Roman" w:hAnsi="Times New Roman" w:cs="Times New Roman"/>
          <w:sz w:val="24"/>
          <w:szCs w:val="24"/>
          <w:lang w:val="uk-UA"/>
        </w:rPr>
        <w:t xml:space="preserve">експерти компаній-членів Палати, 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дійшли висновку, що умови зазначеного договору не відповідають положенням діючого законодавства України та Статуту залізниць України. Запропонований проект договору </w:t>
      </w:r>
      <w:r w:rsidR="00A70E4D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об’єднує 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в особі Клієнта (підписанта договору) вантажовідправника, вантажоодержувача, експедитора, оператора рухомого складу, </w:t>
      </w:r>
      <w:r w:rsidR="000F3B39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є неможливим, оскільки кожний з цих учасників відповідно до Статуту залізниць України, Правил перевезення вантажів наділений відповідними правами, обов’язками та відповідальністю, </w:t>
      </w:r>
      <w:r w:rsidR="000F3B39">
        <w:rPr>
          <w:rFonts w:ascii="Times New Roman" w:hAnsi="Times New Roman" w:cs="Times New Roman"/>
          <w:sz w:val="24"/>
          <w:szCs w:val="24"/>
          <w:lang w:val="uk-UA"/>
        </w:rPr>
        <w:t>проте даним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догов</w:t>
      </w:r>
      <w:r w:rsidR="000F3B39">
        <w:rPr>
          <w:rFonts w:ascii="Times New Roman" w:hAnsi="Times New Roman" w:cs="Times New Roman"/>
          <w:sz w:val="24"/>
          <w:szCs w:val="24"/>
          <w:lang w:val="uk-UA"/>
        </w:rPr>
        <w:t>ором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не передбач</w:t>
      </w:r>
      <w:r w:rsidR="000F3B3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різниці між цими учасниками перевізного процесу, не </w:t>
      </w:r>
      <w:proofErr w:type="spellStart"/>
      <w:r w:rsidR="00A70E4D">
        <w:rPr>
          <w:rFonts w:ascii="Times New Roman" w:hAnsi="Times New Roman" w:cs="Times New Roman"/>
          <w:sz w:val="24"/>
          <w:szCs w:val="24"/>
          <w:lang w:val="uk-UA"/>
        </w:rPr>
        <w:t>розподілено</w:t>
      </w:r>
      <w:proofErr w:type="spellEnd"/>
      <w:r w:rsidR="00A70E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їх права, обов’язки та відповідальність, що робить неможливим виконання </w:t>
      </w:r>
      <w:r w:rsidR="00A70E4D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на практиці.</w:t>
      </w:r>
    </w:p>
    <w:p w:rsidR="00116007" w:rsidRPr="00116007" w:rsidRDefault="00116007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007">
        <w:rPr>
          <w:rFonts w:ascii="Times New Roman" w:hAnsi="Times New Roman" w:cs="Times New Roman"/>
          <w:sz w:val="24"/>
          <w:szCs w:val="24"/>
          <w:lang w:val="uk-UA"/>
        </w:rPr>
        <w:tab/>
        <w:t>Як приклад невідповідності положень договору Статуту залізниць України є те, що на експедитора або оператора рухомого складу який не є вантажовідправником, вантажоодержувачем покладається обов'язок оплачувати плату за користування рухомим складом, виконання плану перевезень. Згідно Статуту залізниць України та діючого законодавства України, експедитор не є суб'єктом плати за користування рухомим складом, і обов'язок оплачувати плату покладається на вантажовідправника / вантажоодержувача.</w:t>
      </w:r>
    </w:p>
    <w:p w:rsidR="00116007" w:rsidRPr="00116007" w:rsidRDefault="00116007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0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Також на експедитора, крім обов'язку сплачувати залізничний тариф, покладається обов'язок оплачувати подачу, забирання вагонів, маневрову роботу, збереження вантажів, інші додаткові послуги, а також штрафи і пеню, витрати, що виникли при невиконанні плану перевезень, витрати, пов'язані із затримкою вагонів і контейнерів, нараховані ПАТ «Укрзалізниця» клієнтам експедитора. Встановлена відповідальність експедитора за дії третіх осіб, та за невиконання планів перевезень, що суперечить положенням Статуту залізниць України та діючого законодавства України. </w:t>
      </w:r>
      <w:r w:rsidR="00A70E4D">
        <w:rPr>
          <w:rFonts w:ascii="Times New Roman" w:hAnsi="Times New Roman" w:cs="Times New Roman"/>
          <w:sz w:val="24"/>
          <w:szCs w:val="24"/>
          <w:lang w:val="uk-UA"/>
        </w:rPr>
        <w:t>Даним  договором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не вірно відображено принципи роботи всіх учасників ринку залізничних перевезень.</w:t>
      </w:r>
    </w:p>
    <w:p w:rsidR="00116007" w:rsidRPr="00116007" w:rsidRDefault="00116007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Єдиний договір про організацію перевезень вантажів і проведення розрахунків за перевезення та надані залізницею послуги не передбачає можливості оплати оператором слідування його рухомого складу у вантажному та порожньому стані. В той же час, договори про організацію перевезень </w:t>
      </w:r>
      <w:r w:rsidRPr="00116007">
        <w:rPr>
          <w:rFonts w:ascii="Times New Roman" w:hAnsi="Times New Roman" w:cs="Times New Roman"/>
          <w:sz w:val="24"/>
          <w:szCs w:val="24"/>
          <w:lang w:val="uk-UA"/>
        </w:rPr>
        <w:lastRenderedPageBreak/>
        <w:t>вантажів і проведення розрахунків за перевезення та надані залізницею послуги, укладені з регіональними філіями ПАТ «Укрзалізниця» розриваються за ініціативою ПАТ «Укрзалізниця» з 31.10.2017 року.</w:t>
      </w:r>
    </w:p>
    <w:p w:rsidR="00116007" w:rsidRPr="00116007" w:rsidRDefault="00A70E4D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0AD">
        <w:rPr>
          <w:rFonts w:ascii="Times New Roman" w:hAnsi="Times New Roman" w:cs="Times New Roman"/>
          <w:sz w:val="24"/>
          <w:szCs w:val="24"/>
          <w:lang w:val="uk-UA"/>
        </w:rPr>
        <w:t>Виходячи з вище наведеного</w:t>
      </w:r>
      <w:r>
        <w:rPr>
          <w:rFonts w:ascii="Times New Roman" w:hAnsi="Times New Roman" w:cs="Times New Roman"/>
          <w:sz w:val="24"/>
          <w:szCs w:val="24"/>
          <w:lang w:val="uk-UA"/>
        </w:rPr>
        <w:t>, вважаємо, що надання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 залізничних послуг шляхом підписання єдиного договору про організацію перевезень вантажів і проведення розрахунків за перевезення та надані залізницею послуги є економічно необґрунтованим та таким, що суперечить положенням Статуту залізниць України, діючого законодавства України і може негативно відобразиться на всій </w:t>
      </w:r>
      <w:r w:rsidR="00077365">
        <w:rPr>
          <w:rFonts w:ascii="Times New Roman" w:hAnsi="Times New Roman" w:cs="Times New Roman"/>
          <w:sz w:val="24"/>
          <w:szCs w:val="24"/>
          <w:lang w:val="uk-UA"/>
        </w:rPr>
        <w:t xml:space="preserve">системі вантажних перевезень, 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>додатковій необґрунтованій відповідальності та затрат експедиторів, операторів рухомого складу.</w:t>
      </w:r>
    </w:p>
    <w:p w:rsidR="00116007" w:rsidRPr="00116007" w:rsidRDefault="00116007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Тому ми вважаємо за потрібне привернути увагу до цієї ситуації та запропонувати один із шляхів вирішення цієї проблеми шляхом звернення до ПАТ «Укрзалізниця» з пропозицією відкритого обґоворення зазначеного договору з усіма учасниками ринку залізничних перевезень та продовження дії існуючих договорів укладених з філіями ПАТ «Укрзалізниця» та призупинити дію рішення ПАТ «Укрзалізниця» по припиненню дію договорів.  </w:t>
      </w:r>
      <w:r w:rsidR="00077365" w:rsidRPr="00077365">
        <w:rPr>
          <w:rFonts w:ascii="Times New Roman" w:hAnsi="Times New Roman" w:cs="Times New Roman"/>
          <w:sz w:val="24"/>
          <w:szCs w:val="24"/>
          <w:lang w:val="uk-UA"/>
        </w:rPr>
        <w:t xml:space="preserve">Окрім того, експерти компаній-членів Палати готові продовжити діалог з представниками </w:t>
      </w:r>
      <w:r w:rsidR="00077365">
        <w:rPr>
          <w:rFonts w:ascii="Times New Roman" w:hAnsi="Times New Roman" w:cs="Times New Roman"/>
          <w:sz w:val="24"/>
          <w:szCs w:val="24"/>
          <w:lang w:val="uk-UA"/>
        </w:rPr>
        <w:t xml:space="preserve">ПАТ «Укрзалізниця», </w:t>
      </w:r>
      <w:r w:rsidR="00077365" w:rsidRPr="00077365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інфраструктури України </w:t>
      </w:r>
      <w:r w:rsidR="00077365">
        <w:rPr>
          <w:rFonts w:ascii="Times New Roman" w:hAnsi="Times New Roman" w:cs="Times New Roman"/>
          <w:sz w:val="24"/>
          <w:szCs w:val="24"/>
          <w:lang w:val="uk-UA"/>
        </w:rPr>
        <w:t xml:space="preserve">та Антимонопольного комітету України </w:t>
      </w:r>
      <w:r w:rsidR="00077365" w:rsidRPr="00077365">
        <w:rPr>
          <w:rFonts w:ascii="Times New Roman" w:hAnsi="Times New Roman" w:cs="Times New Roman"/>
          <w:sz w:val="24"/>
          <w:szCs w:val="24"/>
          <w:lang w:val="uk-UA"/>
        </w:rPr>
        <w:t>щодо напрацю</w:t>
      </w:r>
      <w:r w:rsidR="00077365">
        <w:rPr>
          <w:rFonts w:ascii="Times New Roman" w:hAnsi="Times New Roman" w:cs="Times New Roman"/>
          <w:sz w:val="24"/>
          <w:szCs w:val="24"/>
          <w:lang w:val="uk-UA"/>
        </w:rPr>
        <w:t>вання консолідованих пропозицій</w:t>
      </w:r>
      <w:r w:rsidR="00077365" w:rsidRPr="000773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EBB" w:rsidRPr="004E40AD" w:rsidRDefault="00341EBB" w:rsidP="00077365">
      <w:pPr>
        <w:spacing w:after="120"/>
        <w:ind w:firstLine="446"/>
        <w:jc w:val="both"/>
        <w:rPr>
          <w:color w:val="000000"/>
          <w:lang w:val="uk-UA"/>
        </w:rPr>
      </w:pPr>
      <w:bookmarkStart w:id="3" w:name="_Hlk490125074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 w:rsidR="005B5214">
        <w:rPr>
          <w:rFonts w:ascii="Times New Roman" w:hAnsi="Times New Roman" w:cs="Times New Roman"/>
          <w:sz w:val="24"/>
          <w:szCs w:val="24"/>
          <w:lang w:val="uk-UA"/>
        </w:rPr>
        <w:t>Богдан Іванюк</w:t>
      </w:r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, менеджер з питань стратегічного розвитку) або електронною поштою за </w:t>
      </w:r>
      <w:proofErr w:type="spellStart"/>
      <w:r w:rsidRPr="00ED7FA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bivaniuk</w:t>
        </w:r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@chamber.ua</w:t>
        </w:r>
      </w:hyperlink>
      <w:r w:rsidRPr="00ED7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7FA6" w:rsidRDefault="00ED7FA6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7FA6" w:rsidRDefault="00341EBB" w:rsidP="00ED7F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>Андрій Гундер</w:t>
      </w:r>
    </w:p>
    <w:bookmarkEnd w:id="3"/>
    <w:p w:rsidR="00671D83" w:rsidRPr="000E2FED" w:rsidRDefault="00671D83" w:rsidP="00EC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1D83" w:rsidRPr="000E2FED" w:rsidSect="00EC6399">
      <w:headerReference w:type="even" r:id="rId10"/>
      <w:headerReference w:type="default" r:id="rId11"/>
      <w:headerReference w:type="first" r:id="rId12"/>
      <w:pgSz w:w="11906" w:h="16838"/>
      <w:pgMar w:top="1411" w:right="360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1B" w:rsidRDefault="009C3E1B" w:rsidP="00341EBB">
      <w:pPr>
        <w:spacing w:after="0" w:line="240" w:lineRule="auto"/>
      </w:pPr>
      <w:r>
        <w:separator/>
      </w:r>
    </w:p>
  </w:endnote>
  <w:endnote w:type="continuationSeparator" w:id="0">
    <w:p w:rsidR="009C3E1B" w:rsidRDefault="009C3E1B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1B" w:rsidRDefault="009C3E1B" w:rsidP="00341EBB">
      <w:pPr>
        <w:spacing w:after="0" w:line="240" w:lineRule="auto"/>
      </w:pPr>
      <w:r>
        <w:separator/>
      </w:r>
    </w:p>
  </w:footnote>
  <w:footnote w:type="continuationSeparator" w:id="0">
    <w:p w:rsidR="009C3E1B" w:rsidRDefault="009C3E1B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9C3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5" o:spid="_x0000_s2050" type="#_x0000_t136" style="position:absolute;margin-left:0;margin-top:0;width:430.95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9C3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6" o:spid="_x0000_s2051" type="#_x0000_t136" style="position:absolute;margin-left:0;margin-top:0;width:430.95pt;height:2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9C3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4" o:spid="_x0000_s2049" type="#_x0000_t136" style="position:absolute;margin-left:0;margin-top:0;width:430.95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602DA"/>
    <w:multiLevelType w:val="hybridMultilevel"/>
    <w:tmpl w:val="38A8EBFA"/>
    <w:lvl w:ilvl="0" w:tplc="48EC1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44510"/>
    <w:rsid w:val="00063915"/>
    <w:rsid w:val="00077365"/>
    <w:rsid w:val="00082B4D"/>
    <w:rsid w:val="000E2FED"/>
    <w:rsid w:val="000E42D8"/>
    <w:rsid w:val="000F1DED"/>
    <w:rsid w:val="000F3B39"/>
    <w:rsid w:val="00112487"/>
    <w:rsid w:val="00115815"/>
    <w:rsid w:val="00116007"/>
    <w:rsid w:val="0012332C"/>
    <w:rsid w:val="00134B97"/>
    <w:rsid w:val="00153898"/>
    <w:rsid w:val="00197FE3"/>
    <w:rsid w:val="001C1837"/>
    <w:rsid w:val="001E2774"/>
    <w:rsid w:val="001F088D"/>
    <w:rsid w:val="002024C5"/>
    <w:rsid w:val="002402C0"/>
    <w:rsid w:val="002445B0"/>
    <w:rsid w:val="00250430"/>
    <w:rsid w:val="0025756B"/>
    <w:rsid w:val="00260039"/>
    <w:rsid w:val="00276626"/>
    <w:rsid w:val="00297DC6"/>
    <w:rsid w:val="002A5F6C"/>
    <w:rsid w:val="002C6678"/>
    <w:rsid w:val="002F3BE2"/>
    <w:rsid w:val="002F624C"/>
    <w:rsid w:val="00307D45"/>
    <w:rsid w:val="00341D77"/>
    <w:rsid w:val="00341EBB"/>
    <w:rsid w:val="00345C22"/>
    <w:rsid w:val="003645B8"/>
    <w:rsid w:val="003735BC"/>
    <w:rsid w:val="003C20AF"/>
    <w:rsid w:val="00450AC1"/>
    <w:rsid w:val="004C624A"/>
    <w:rsid w:val="004E40AD"/>
    <w:rsid w:val="004F1285"/>
    <w:rsid w:val="00536B80"/>
    <w:rsid w:val="00543FB7"/>
    <w:rsid w:val="00551001"/>
    <w:rsid w:val="00551872"/>
    <w:rsid w:val="00560FE9"/>
    <w:rsid w:val="005666B8"/>
    <w:rsid w:val="005B5214"/>
    <w:rsid w:val="005F03CA"/>
    <w:rsid w:val="005F41CA"/>
    <w:rsid w:val="00614B17"/>
    <w:rsid w:val="00671D83"/>
    <w:rsid w:val="0068025F"/>
    <w:rsid w:val="00685FC5"/>
    <w:rsid w:val="006B7224"/>
    <w:rsid w:val="006F3881"/>
    <w:rsid w:val="00717906"/>
    <w:rsid w:val="00754673"/>
    <w:rsid w:val="00792857"/>
    <w:rsid w:val="007B1953"/>
    <w:rsid w:val="007F04AF"/>
    <w:rsid w:val="008B68CC"/>
    <w:rsid w:val="00922D5E"/>
    <w:rsid w:val="00951349"/>
    <w:rsid w:val="009649C9"/>
    <w:rsid w:val="009861DC"/>
    <w:rsid w:val="009C3E1B"/>
    <w:rsid w:val="009F566C"/>
    <w:rsid w:val="00A04C04"/>
    <w:rsid w:val="00A70E4D"/>
    <w:rsid w:val="00A8111A"/>
    <w:rsid w:val="00AA72B3"/>
    <w:rsid w:val="00AF4589"/>
    <w:rsid w:val="00B04DD0"/>
    <w:rsid w:val="00B43797"/>
    <w:rsid w:val="00B6160B"/>
    <w:rsid w:val="00B86EF1"/>
    <w:rsid w:val="00BF6AC5"/>
    <w:rsid w:val="00C1091F"/>
    <w:rsid w:val="00C35C3C"/>
    <w:rsid w:val="00C55C29"/>
    <w:rsid w:val="00CE4035"/>
    <w:rsid w:val="00CF0CC1"/>
    <w:rsid w:val="00D11B7B"/>
    <w:rsid w:val="00D1506F"/>
    <w:rsid w:val="00D23016"/>
    <w:rsid w:val="00D434BF"/>
    <w:rsid w:val="00D71555"/>
    <w:rsid w:val="00D80782"/>
    <w:rsid w:val="00DC0230"/>
    <w:rsid w:val="00DF3A09"/>
    <w:rsid w:val="00DF68EE"/>
    <w:rsid w:val="00E0636B"/>
    <w:rsid w:val="00E118AE"/>
    <w:rsid w:val="00E128B3"/>
    <w:rsid w:val="00E41725"/>
    <w:rsid w:val="00E46086"/>
    <w:rsid w:val="00E7703F"/>
    <w:rsid w:val="00EC6399"/>
    <w:rsid w:val="00ED7073"/>
    <w:rsid w:val="00ED7FA6"/>
    <w:rsid w:val="00F072EE"/>
    <w:rsid w:val="00F1448F"/>
    <w:rsid w:val="00F809D4"/>
    <w:rsid w:val="00FC031E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vaniuk@chamber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9758-0F52-4452-BF2D-00BD2E3B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Pidluzhna</cp:lastModifiedBy>
  <cp:revision>2</cp:revision>
  <cp:lastPrinted>2017-08-10T06:50:00Z</cp:lastPrinted>
  <dcterms:created xsi:type="dcterms:W3CDTF">2017-10-03T07:33:00Z</dcterms:created>
  <dcterms:modified xsi:type="dcterms:W3CDTF">2017-10-03T07:33:00Z</dcterms:modified>
</cp:coreProperties>
</file>