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54" w:rsidRPr="00D07EFA" w:rsidRDefault="00B71A54" w:rsidP="00D07EFA">
      <w:pPr>
        <w:spacing w:after="0" w:line="240" w:lineRule="auto"/>
        <w:ind w:right="-63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71A54" w:rsidRPr="00D07EFA" w:rsidRDefault="00B71A54" w:rsidP="00D07EFA">
      <w:pPr>
        <w:spacing w:after="0" w:line="240" w:lineRule="auto"/>
        <w:ind w:right="-630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798"/>
        <w:gridCol w:w="2250"/>
        <w:gridCol w:w="4983"/>
      </w:tblGrid>
      <w:tr w:rsidR="00B71A54" w:rsidRPr="00D07EFA" w:rsidTr="00D37A70">
        <w:trPr>
          <w:trHeight w:val="582"/>
        </w:trPr>
        <w:tc>
          <w:tcPr>
            <w:tcW w:w="3798" w:type="dxa"/>
          </w:tcPr>
          <w:p w:rsidR="00B71A54" w:rsidRPr="00D07EFA" w:rsidRDefault="00B71A54" w:rsidP="00D07EFA">
            <w:pPr>
              <w:tabs>
                <w:tab w:val="left" w:pos="709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B71A54" w:rsidRPr="00D07EFA" w:rsidRDefault="00B71A54" w:rsidP="00D07EFA">
            <w:pPr>
              <w:tabs>
                <w:tab w:val="left" w:pos="709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травня</w:t>
            </w: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B71A54" w:rsidRPr="00D07EFA" w:rsidRDefault="00B71A54" w:rsidP="00D07EFA">
            <w:pPr>
              <w:spacing w:after="0" w:line="240" w:lineRule="auto"/>
              <w:ind w:left="720" w:right="-63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B71A54" w:rsidRPr="00D07EFA" w:rsidRDefault="00B71A54" w:rsidP="00D07EFA">
            <w:pPr>
              <w:spacing w:after="0" w:line="240" w:lineRule="auto"/>
              <w:ind w:left="720" w:right="-63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1A54" w:rsidRPr="00D07EFA" w:rsidRDefault="00B71A54" w:rsidP="00D07EFA">
            <w:pPr>
              <w:spacing w:after="0" w:line="240" w:lineRule="auto"/>
              <w:ind w:left="720" w:right="-63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1A54" w:rsidRPr="00D07EFA" w:rsidRDefault="00B71A54" w:rsidP="00D07EFA">
            <w:pPr>
              <w:spacing w:after="0" w:line="240" w:lineRule="auto"/>
              <w:ind w:left="1214" w:right="-63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3" w:type="dxa"/>
          </w:tcPr>
          <w:p w:rsidR="00B71A54" w:rsidRPr="00D07EFA" w:rsidRDefault="00B71A54" w:rsidP="00D07EFA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B71A54" w:rsidRPr="00D07EFA" w:rsidRDefault="00B71A54" w:rsidP="00D07EFA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 В.В.</w:t>
            </w:r>
          </w:p>
          <w:p w:rsidR="00B71A54" w:rsidRPr="00D07EFA" w:rsidRDefault="00B71A54" w:rsidP="00D07EFA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1A54" w:rsidRPr="00D07EFA" w:rsidRDefault="00B71A54" w:rsidP="00D07EFA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1A54" w:rsidRPr="00D07EFA" w:rsidTr="00D37A70">
        <w:trPr>
          <w:trHeight w:val="582"/>
        </w:trPr>
        <w:tc>
          <w:tcPr>
            <w:tcW w:w="3798" w:type="dxa"/>
          </w:tcPr>
          <w:p w:rsidR="00B71A54" w:rsidRPr="00D07EFA" w:rsidRDefault="00B71A54" w:rsidP="00D07EFA">
            <w:pPr>
              <w:spacing w:after="0" w:line="240" w:lineRule="auto"/>
              <w:ind w:left="720" w:right="-63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B71A54" w:rsidRPr="00D07EFA" w:rsidRDefault="00B71A54" w:rsidP="00D07EFA">
            <w:pPr>
              <w:spacing w:after="0" w:line="240" w:lineRule="auto"/>
              <w:ind w:left="720" w:right="-63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83" w:type="dxa"/>
          </w:tcPr>
          <w:p w:rsidR="00B71A54" w:rsidRPr="00D07EFA" w:rsidRDefault="00B71A54" w:rsidP="00D07EFA">
            <w:pPr>
              <w:tabs>
                <w:tab w:val="left" w:pos="-724"/>
              </w:tabs>
              <w:spacing w:after="0" w:line="240" w:lineRule="auto"/>
              <w:ind w:left="3044"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B5B6B" w:rsidRPr="00D07EFA" w:rsidRDefault="00DD3B77" w:rsidP="00D07EFA">
      <w:pPr>
        <w:autoSpaceDE w:val="0"/>
        <w:autoSpaceDN w:val="0"/>
        <w:adjustRightInd w:val="0"/>
        <w:spacing w:after="0" w:line="240" w:lineRule="auto"/>
        <w:ind w:right="-63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Щодо проекту постанови Кабінету </w:t>
      </w:r>
    </w:p>
    <w:p w:rsidR="00BB5B6B" w:rsidRPr="00D07EFA" w:rsidRDefault="00DD3B77" w:rsidP="00D07EFA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Міністрів України «Про внесення змін до розмірів </w:t>
      </w:r>
    </w:p>
    <w:p w:rsidR="00DD3B77" w:rsidRPr="00D07EFA" w:rsidRDefault="00DD3B77" w:rsidP="00D07EFA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плати за проходження шлюзами Дніпровського каскаду»</w:t>
      </w:r>
    </w:p>
    <w:p w:rsidR="00BB5B6B" w:rsidRPr="00D07EFA" w:rsidRDefault="00BB5B6B" w:rsidP="00D07EFA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54070B" w:rsidRPr="00D07EFA" w:rsidRDefault="0054070B" w:rsidP="00D07EFA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DD3B77" w:rsidRPr="00D07EFA" w:rsidRDefault="00DD3B77" w:rsidP="00D07EFA">
      <w:pPr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Шановний Володимире Володимировичу!</w:t>
      </w:r>
    </w:p>
    <w:p w:rsidR="00BB5B6B" w:rsidRPr="00D07EFA" w:rsidRDefault="00BB5B6B" w:rsidP="00D07EFA">
      <w:pPr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71A54" w:rsidRPr="00D07EFA" w:rsidRDefault="00B71A54" w:rsidP="00D07EFA">
      <w:pPr>
        <w:spacing w:after="120" w:line="240" w:lineRule="auto"/>
        <w:ind w:right="-634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</w:p>
    <w:p w:rsidR="00BB5B6B" w:rsidRPr="00D07EFA" w:rsidRDefault="00B71A54" w:rsidP="00D07EFA">
      <w:pPr>
        <w:autoSpaceDE w:val="0"/>
        <w:autoSpaceDN w:val="0"/>
        <w:adjustRightInd w:val="0"/>
        <w:spacing w:after="120" w:line="240" w:lineRule="auto"/>
        <w:ind w:right="-634"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Експерти компаній-членів Палати розглянули </w:t>
      </w:r>
      <w:r w:rsidR="00DD3B77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 постанови Кабінету Міністрів України «Про внесення змін до розмірів плати за проходження шлюзами Дніпровського каскаду»</w:t>
      </w: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Проект)</w:t>
      </w:r>
      <w:r w:rsidR="00DD3B77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 обговорюва</w:t>
      </w: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вся на </w:t>
      </w:r>
      <w:r w:rsidR="00DD3B77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засідан</w:t>
      </w: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</w:t>
      </w:r>
      <w:r w:rsidR="00DD3B77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експертної групи при Міністерстві інфраструктури з питань реформування галузі морського та </w:t>
      </w: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річкового транспорту та портів. </w:t>
      </w:r>
      <w:r w:rsidR="00DD3B77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Проектом акту пропонується вирішити проблему бюджетного недофінансування утримання шлюзів у безпечному стані </w:t>
      </w:r>
      <w:r w:rsidR="0054070B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шляхом не</w:t>
      </w: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B5B6B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тільки підвищення базової ставки для суден у закордонному плаванні, але і введення єдиної усередненої тарифної групи, тобто скасування пільгового режиму, наданого суднам у каботажному плаванні. </w:t>
      </w:r>
    </w:p>
    <w:p w:rsidR="00BB5B6B" w:rsidRPr="00D07EFA" w:rsidRDefault="00BB5B6B" w:rsidP="00D07EFA">
      <w:pPr>
        <w:spacing w:after="120" w:line="240" w:lineRule="auto"/>
        <w:ind w:right="-634"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Внаслідок прийняття Кабінетом Міністрів України </w:t>
      </w:r>
      <w:r w:rsidR="00B71A54"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Проекту</w:t>
      </w: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запропонованій редакції витрати українських судновласників, які здійснюють каботажні перевезення, зростуть від 250 до 420 відсотків в залежності від шлюзу, що призведе до різкого збільшення загальної собівартості усіх видів перевезень внутрішніми водними шляхами України, зокрема, річкою Дніпро, виведе їх з рівня рентабельності та економічної обґрунтованості.</w:t>
      </w:r>
    </w:p>
    <w:p w:rsidR="00F20C50" w:rsidRPr="00D07EFA" w:rsidRDefault="00F20C50" w:rsidP="00D07EFA">
      <w:pPr>
        <w:spacing w:after="120" w:line="240" w:lineRule="auto"/>
        <w:ind w:right="-634"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Окремо хочемо наголосити, що розпорядженням Кабінету Міністрів України від 23 серпня 20 І 6 р. №615-р затверджено План заходів щодо дерегуляції господарської діяльності, яким передбачено скасування плати за розведення та/або підіймання ферм мостів (пункт 27) та скасування плати за шлюзування для суден, зобов’язання гідроенергетичних електростанцій утримувати шлюзові господарства (пункт 28).</w:t>
      </w:r>
    </w:p>
    <w:p w:rsidR="00F20C50" w:rsidRPr="00D07EFA" w:rsidRDefault="00F20C50" w:rsidP="00D07EFA">
      <w:pPr>
        <w:spacing w:after="120" w:line="240" w:lineRule="auto"/>
        <w:ind w:right="-634" w:firstLine="44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огляду на викладене вважаємо,</w:t>
      </w:r>
      <w:r w:rsidR="00B71A54"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експерти компаній-членів Палати просять</w:t>
      </w: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71A54"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врахувати вказані положення</w:t>
      </w: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Плану заходів щодо дерегуляції господарської діяльності,</w:t>
      </w:r>
      <w:r w:rsidR="00B71A54"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підготувати відповідні регуляторні акти та не</w:t>
      </w: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71A54"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підтримувати </w:t>
      </w: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проект постанови Кабінету Міністрів України «Про внесення змін до розмірів плати за проходження шлюзами Дніпровського каскаду» </w:t>
      </w:r>
      <w:r w:rsidR="00B71A54"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поточній редакції</w:t>
      </w: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B71A54" w:rsidRPr="00D07EFA" w:rsidRDefault="00B71A54" w:rsidP="00D07EFA">
      <w:pPr>
        <w:tabs>
          <w:tab w:val="left" w:pos="567"/>
          <w:tab w:val="center" w:pos="4677"/>
        </w:tabs>
        <w:spacing w:after="120" w:line="240" w:lineRule="auto"/>
        <w:ind w:right="-634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Наталія </w:t>
      </w:r>
      <w:proofErr w:type="spellStart"/>
      <w:r w:rsidRPr="00D07EFA">
        <w:rPr>
          <w:rFonts w:ascii="Times New Roman" w:hAnsi="Times New Roman" w:cs="Times New Roman"/>
          <w:sz w:val="24"/>
          <w:szCs w:val="24"/>
          <w:lang w:val="uk-UA"/>
        </w:rPr>
        <w:t>Готвянська</w:t>
      </w:r>
      <w:proofErr w:type="spellEnd"/>
      <w:r w:rsidRPr="00D07EFA">
        <w:rPr>
          <w:rFonts w:ascii="Times New Roman" w:hAnsi="Times New Roman" w:cs="Times New Roman"/>
          <w:sz w:val="24"/>
          <w:szCs w:val="24"/>
          <w:lang w:val="uk-UA"/>
        </w:rPr>
        <w:t xml:space="preserve">, старший менеджер з питань стратегічного розвитку) або електронною поштою за </w:t>
      </w:r>
      <w:proofErr w:type="spellStart"/>
      <w:r w:rsidRPr="00D07EF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07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D07EFA">
          <w:rPr>
            <w:rFonts w:ascii="Times New Roman" w:hAnsi="Times New Roman" w:cs="Times New Roman"/>
            <w:sz w:val="24"/>
            <w:szCs w:val="24"/>
            <w:lang w:val="uk-UA"/>
          </w:rPr>
          <w:t>ngotvianska@chamber.ua</w:t>
        </w:r>
      </w:hyperlink>
      <w:r w:rsidRPr="00D07E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1A54" w:rsidRPr="00D07EFA" w:rsidRDefault="00B71A54" w:rsidP="00D07EFA">
      <w:pPr>
        <w:tabs>
          <w:tab w:val="left" w:pos="567"/>
          <w:tab w:val="center" w:pos="4677"/>
        </w:tabs>
        <w:spacing w:after="0" w:line="240" w:lineRule="auto"/>
        <w:ind w:right="-630" w:firstLine="44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71A54" w:rsidRPr="00D07EFA" w:rsidRDefault="00B71A54" w:rsidP="00D07EFA">
      <w:pPr>
        <w:tabs>
          <w:tab w:val="left" w:pos="567"/>
          <w:tab w:val="center" w:pos="4677"/>
        </w:tabs>
        <w:spacing w:after="0" w:line="240" w:lineRule="auto"/>
        <w:ind w:right="-63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7E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F20C50" w:rsidRPr="00D07EFA" w:rsidRDefault="00B71A54" w:rsidP="00D07EFA">
      <w:pPr>
        <w:spacing w:after="120"/>
        <w:ind w:right="-63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D07E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D07E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Андрій </w:t>
      </w:r>
      <w:proofErr w:type="spellStart"/>
      <w:r w:rsidR="00D07EFA" w:rsidRPr="00D07EFA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>ундер</w:t>
      </w:r>
      <w:bookmarkStart w:id="0" w:name="_GoBack"/>
      <w:bookmarkEnd w:id="0"/>
      <w:proofErr w:type="spellEnd"/>
    </w:p>
    <w:sectPr w:rsidR="00F20C50" w:rsidRPr="00D07EFA" w:rsidSect="00D07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27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46" w:rsidRDefault="00890746" w:rsidP="0054070B">
      <w:pPr>
        <w:spacing w:after="0" w:line="240" w:lineRule="auto"/>
      </w:pPr>
      <w:r>
        <w:separator/>
      </w:r>
    </w:p>
  </w:endnote>
  <w:endnote w:type="continuationSeparator" w:id="0">
    <w:p w:rsidR="00890746" w:rsidRDefault="00890746" w:rsidP="005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A" w:rsidRDefault="00D07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A" w:rsidRDefault="00D07E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A" w:rsidRDefault="00D07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46" w:rsidRDefault="00890746" w:rsidP="0054070B">
      <w:pPr>
        <w:spacing w:after="0" w:line="240" w:lineRule="auto"/>
      </w:pPr>
      <w:r>
        <w:separator/>
      </w:r>
    </w:p>
  </w:footnote>
  <w:footnote w:type="continuationSeparator" w:id="0">
    <w:p w:rsidR="00890746" w:rsidRDefault="00890746" w:rsidP="0054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A" w:rsidRDefault="00D07EF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53546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A" w:rsidRDefault="00D07EF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53547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A" w:rsidRDefault="00D07EF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53546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77"/>
    <w:rsid w:val="00504F1E"/>
    <w:rsid w:val="0054070B"/>
    <w:rsid w:val="007651BE"/>
    <w:rsid w:val="00890746"/>
    <w:rsid w:val="00B71A54"/>
    <w:rsid w:val="00BB5B6B"/>
    <w:rsid w:val="00CE2DBC"/>
    <w:rsid w:val="00D07EFA"/>
    <w:rsid w:val="00DD3B77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70B"/>
  </w:style>
  <w:style w:type="paragraph" w:styleId="a5">
    <w:name w:val="footer"/>
    <w:basedOn w:val="a"/>
    <w:link w:val="a6"/>
    <w:uiPriority w:val="99"/>
    <w:unhideWhenUsed/>
    <w:rsid w:val="0054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70B"/>
  </w:style>
  <w:style w:type="paragraph" w:styleId="a5">
    <w:name w:val="footer"/>
    <w:basedOn w:val="a"/>
    <w:link w:val="a6"/>
    <w:uiPriority w:val="99"/>
    <w:unhideWhenUsed/>
    <w:rsid w:val="0054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gotvianska@chamber.u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Chamber of Commerce in Ukraine</dc:creator>
  <cp:lastModifiedBy>Nataliya Gotvianska</cp:lastModifiedBy>
  <cp:revision>2</cp:revision>
  <dcterms:created xsi:type="dcterms:W3CDTF">2017-05-03T12:19:00Z</dcterms:created>
  <dcterms:modified xsi:type="dcterms:W3CDTF">2017-05-03T12:19:00Z</dcterms:modified>
</cp:coreProperties>
</file>