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BB" w:rsidRPr="00341EBB" w:rsidRDefault="00341EBB" w:rsidP="00341EBB">
      <w:pPr>
        <w:spacing w:after="0" w:line="240" w:lineRule="auto"/>
        <w:rPr>
          <w:rFonts w:ascii="Times New Roman" w:hAnsi="Times New Roman" w:cs="Times New Roman"/>
          <w:i/>
          <w:sz w:val="24"/>
          <w:szCs w:val="24"/>
          <w:lang w:val="uk-UA"/>
        </w:rPr>
      </w:pPr>
    </w:p>
    <w:p w:rsidR="00341EBB" w:rsidRPr="00341EBB" w:rsidRDefault="00341EBB" w:rsidP="00341EBB">
      <w:pPr>
        <w:spacing w:after="0" w:line="240" w:lineRule="auto"/>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ook w:val="04A0" w:firstRow="1" w:lastRow="0" w:firstColumn="1" w:lastColumn="0" w:noHBand="0" w:noVBand="1"/>
      </w:tblPr>
      <w:tblGrid>
        <w:gridCol w:w="3798"/>
        <w:gridCol w:w="1555"/>
        <w:gridCol w:w="5678"/>
      </w:tblGrid>
      <w:tr w:rsidR="00341EBB" w:rsidRPr="006B7A52" w:rsidTr="00E128B3">
        <w:trPr>
          <w:trHeight w:val="582"/>
        </w:trPr>
        <w:tc>
          <w:tcPr>
            <w:tcW w:w="3798" w:type="dxa"/>
          </w:tcPr>
          <w:p w:rsidR="00341EBB" w:rsidRPr="00341EBB" w:rsidRDefault="00341EBB" w:rsidP="00D37A70">
            <w:pPr>
              <w:tabs>
                <w:tab w:val="left" w:pos="709"/>
              </w:tabs>
              <w:spacing w:after="0" w:line="240" w:lineRule="auto"/>
              <w:rPr>
                <w:rFonts w:ascii="Times New Roman" w:hAnsi="Times New Roman" w:cs="Times New Roman"/>
                <w:b/>
                <w:sz w:val="24"/>
                <w:szCs w:val="24"/>
                <w:lang w:val="uk-UA"/>
              </w:rPr>
            </w:pPr>
            <w:r w:rsidRPr="00341EBB">
              <w:rPr>
                <w:rFonts w:ascii="Times New Roman" w:hAnsi="Times New Roman" w:cs="Times New Roman"/>
                <w:b/>
                <w:sz w:val="24"/>
                <w:szCs w:val="24"/>
                <w:lang w:val="uk-UA"/>
              </w:rPr>
              <w:t xml:space="preserve">№ 17 - </w:t>
            </w:r>
          </w:p>
          <w:p w:rsidR="00341EBB" w:rsidRPr="00341EBB" w:rsidRDefault="006B7A52" w:rsidP="00D37A70">
            <w:pPr>
              <w:tabs>
                <w:tab w:val="left" w:pos="709"/>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вересня</w:t>
            </w:r>
            <w:r w:rsidR="00341EBB" w:rsidRPr="00341EBB">
              <w:rPr>
                <w:rFonts w:ascii="Times New Roman" w:hAnsi="Times New Roman" w:cs="Times New Roman"/>
                <w:b/>
                <w:sz w:val="24"/>
                <w:szCs w:val="24"/>
                <w:lang w:val="uk-UA"/>
              </w:rPr>
              <w:t xml:space="preserve"> 2017 року </w:t>
            </w:r>
          </w:p>
          <w:p w:rsidR="00341EBB" w:rsidRPr="00341EBB" w:rsidRDefault="00341EBB" w:rsidP="00D37A70">
            <w:pPr>
              <w:spacing w:after="0" w:line="240" w:lineRule="auto"/>
              <w:ind w:left="720" w:hanging="11"/>
              <w:rPr>
                <w:rFonts w:ascii="Times New Roman" w:eastAsia="Times New Roman" w:hAnsi="Times New Roman" w:cs="Times New Roman"/>
                <w:b/>
                <w:sz w:val="24"/>
                <w:szCs w:val="24"/>
                <w:lang w:val="uk-UA" w:eastAsia="ru-RU"/>
              </w:rPr>
            </w:pPr>
          </w:p>
        </w:tc>
        <w:tc>
          <w:tcPr>
            <w:tcW w:w="1555" w:type="dxa"/>
          </w:tcPr>
          <w:p w:rsidR="00341EBB" w:rsidRPr="00341EBB" w:rsidRDefault="00341EBB" w:rsidP="00D37A70">
            <w:pPr>
              <w:spacing w:after="0" w:line="240" w:lineRule="auto"/>
              <w:ind w:left="720" w:hanging="11"/>
              <w:rPr>
                <w:rFonts w:ascii="Times New Roman" w:hAnsi="Times New Roman" w:cs="Times New Roman"/>
                <w:b/>
                <w:sz w:val="24"/>
                <w:szCs w:val="24"/>
                <w:lang w:val="uk-UA"/>
              </w:rPr>
            </w:pPr>
          </w:p>
          <w:p w:rsidR="00341EBB" w:rsidRPr="00341EBB" w:rsidRDefault="00341EBB" w:rsidP="00D37A70">
            <w:pPr>
              <w:spacing w:after="0" w:line="240" w:lineRule="auto"/>
              <w:ind w:left="720" w:hanging="11"/>
              <w:rPr>
                <w:rFonts w:ascii="Times New Roman" w:hAnsi="Times New Roman" w:cs="Times New Roman"/>
                <w:b/>
                <w:sz w:val="24"/>
                <w:szCs w:val="24"/>
                <w:lang w:val="uk-UA"/>
              </w:rPr>
            </w:pPr>
          </w:p>
          <w:p w:rsidR="00341EBB" w:rsidRPr="00341EBB" w:rsidRDefault="00341EBB" w:rsidP="00D37A70">
            <w:pPr>
              <w:spacing w:after="0" w:line="240" w:lineRule="auto"/>
              <w:ind w:left="1214" w:hanging="11"/>
              <w:rPr>
                <w:rFonts w:ascii="Times New Roman" w:hAnsi="Times New Roman" w:cs="Times New Roman"/>
                <w:b/>
                <w:sz w:val="24"/>
                <w:szCs w:val="24"/>
                <w:lang w:val="uk-UA"/>
              </w:rPr>
            </w:pPr>
          </w:p>
        </w:tc>
        <w:tc>
          <w:tcPr>
            <w:tcW w:w="5678" w:type="dxa"/>
          </w:tcPr>
          <w:p w:rsidR="00341EBB" w:rsidRPr="00E128B3" w:rsidRDefault="006B7A52" w:rsidP="00D37A70">
            <w:pPr>
              <w:tabs>
                <w:tab w:val="left" w:pos="-724"/>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В.о. Голови</w:t>
            </w:r>
            <w:r w:rsidR="00E128B3">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Національного банку</w:t>
            </w:r>
            <w:r w:rsidR="00E128B3">
              <w:rPr>
                <w:rFonts w:ascii="Times New Roman" w:hAnsi="Times New Roman" w:cs="Times New Roman"/>
                <w:b/>
                <w:sz w:val="24"/>
                <w:szCs w:val="24"/>
                <w:lang w:val="uk-UA"/>
              </w:rPr>
              <w:t xml:space="preserve"> України</w:t>
            </w:r>
          </w:p>
          <w:p w:rsidR="00341EBB" w:rsidRPr="00341EBB" w:rsidRDefault="006B7A52" w:rsidP="00D37A70">
            <w:pPr>
              <w:tabs>
                <w:tab w:val="left" w:pos="-724"/>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Смолію Я.В.</w:t>
            </w:r>
          </w:p>
          <w:p w:rsidR="00341EBB" w:rsidRPr="006B7A52" w:rsidRDefault="00341EBB" w:rsidP="00341EBB">
            <w:pPr>
              <w:tabs>
                <w:tab w:val="left" w:pos="-724"/>
              </w:tabs>
              <w:spacing w:after="0" w:line="240" w:lineRule="auto"/>
              <w:rPr>
                <w:rFonts w:ascii="Times New Roman" w:hAnsi="Times New Roman" w:cs="Times New Roman"/>
                <w:b/>
                <w:sz w:val="24"/>
                <w:szCs w:val="24"/>
                <w:lang w:val="uk-UA"/>
              </w:rPr>
            </w:pPr>
          </w:p>
        </w:tc>
      </w:tr>
    </w:tbl>
    <w:p w:rsidR="006622E7" w:rsidRDefault="00551001" w:rsidP="00C01A74">
      <w:pPr>
        <w:spacing w:after="0" w:line="240" w:lineRule="auto"/>
        <w:rPr>
          <w:rFonts w:ascii="Times New Roman" w:eastAsia="Times New Roman" w:hAnsi="Times New Roman" w:cs="Times New Roman"/>
          <w:i/>
          <w:sz w:val="24"/>
          <w:szCs w:val="24"/>
          <w:lang w:val="uk-UA" w:eastAsia="ru-RU"/>
        </w:rPr>
      </w:pPr>
      <w:r w:rsidRPr="00551001">
        <w:rPr>
          <w:rFonts w:ascii="Times New Roman" w:eastAsia="Times New Roman" w:hAnsi="Times New Roman" w:cs="Times New Roman"/>
          <w:i/>
          <w:sz w:val="24"/>
          <w:szCs w:val="24"/>
          <w:lang w:val="uk-UA" w:eastAsia="ru-RU"/>
        </w:rPr>
        <w:t xml:space="preserve">Щодо </w:t>
      </w:r>
      <w:r w:rsidR="006622E7">
        <w:rPr>
          <w:rFonts w:ascii="Times New Roman" w:eastAsia="Times New Roman" w:hAnsi="Times New Roman" w:cs="Times New Roman"/>
          <w:i/>
          <w:sz w:val="24"/>
          <w:szCs w:val="24"/>
          <w:lang w:val="uk-UA" w:eastAsia="ru-RU"/>
        </w:rPr>
        <w:t xml:space="preserve">внесення пропозицій до </w:t>
      </w:r>
    </w:p>
    <w:p w:rsidR="00551001" w:rsidRPr="00551001" w:rsidRDefault="00551001" w:rsidP="00C01A74">
      <w:pPr>
        <w:spacing w:after="0" w:line="240" w:lineRule="auto"/>
        <w:rPr>
          <w:rFonts w:ascii="Times New Roman" w:eastAsia="Times New Roman" w:hAnsi="Times New Roman" w:cs="Times New Roman"/>
          <w:b/>
          <w:sz w:val="24"/>
          <w:szCs w:val="24"/>
          <w:lang w:val="uk-UA" w:eastAsia="ru-RU"/>
        </w:rPr>
      </w:pPr>
      <w:r w:rsidRPr="00551001">
        <w:rPr>
          <w:rFonts w:ascii="Times New Roman" w:eastAsia="Times New Roman" w:hAnsi="Times New Roman" w:cs="Times New Roman"/>
          <w:i/>
          <w:sz w:val="24"/>
          <w:szCs w:val="24"/>
          <w:lang w:val="uk-UA" w:eastAsia="ru-RU"/>
        </w:rPr>
        <w:t xml:space="preserve">проекту </w:t>
      </w:r>
      <w:r w:rsidR="00C01A74">
        <w:rPr>
          <w:rFonts w:ascii="Times New Roman" w:eastAsia="Times New Roman" w:hAnsi="Times New Roman" w:cs="Times New Roman"/>
          <w:i/>
          <w:sz w:val="24"/>
          <w:szCs w:val="24"/>
          <w:lang w:val="uk-UA" w:eastAsia="ru-RU"/>
        </w:rPr>
        <w:t>Закону</w:t>
      </w:r>
      <w:r w:rsidRPr="00551001">
        <w:rPr>
          <w:rFonts w:ascii="Times New Roman" w:eastAsia="Times New Roman" w:hAnsi="Times New Roman" w:cs="Times New Roman"/>
          <w:i/>
          <w:sz w:val="24"/>
          <w:szCs w:val="24"/>
          <w:lang w:val="uk-UA" w:eastAsia="ru-RU"/>
        </w:rPr>
        <w:t xml:space="preserve"> </w:t>
      </w:r>
      <w:r w:rsidR="00C01A74">
        <w:rPr>
          <w:rFonts w:ascii="Times New Roman" w:eastAsia="Times New Roman" w:hAnsi="Times New Roman" w:cs="Times New Roman"/>
          <w:i/>
          <w:sz w:val="24"/>
          <w:szCs w:val="24"/>
          <w:lang w:val="uk-UA" w:eastAsia="ru-RU"/>
        </w:rPr>
        <w:t>«Про валюту»</w:t>
      </w:r>
    </w:p>
    <w:p w:rsidR="00341EBB" w:rsidRPr="00341EBB" w:rsidRDefault="00341EBB" w:rsidP="00341EBB">
      <w:pPr>
        <w:spacing w:after="0" w:line="240" w:lineRule="auto"/>
        <w:rPr>
          <w:rFonts w:ascii="Times New Roman" w:hAnsi="Times New Roman" w:cs="Times New Roman"/>
          <w:i/>
          <w:sz w:val="24"/>
          <w:szCs w:val="24"/>
          <w:lang w:val="uk-UA"/>
        </w:rPr>
      </w:pPr>
    </w:p>
    <w:p w:rsidR="00341EBB" w:rsidRPr="00C01A74" w:rsidRDefault="00341EBB" w:rsidP="00F072EE">
      <w:pPr>
        <w:spacing w:after="0" w:line="240" w:lineRule="auto"/>
        <w:rPr>
          <w:rFonts w:ascii="Times New Roman" w:hAnsi="Times New Roman" w:cs="Times New Roman"/>
          <w:b/>
          <w:color w:val="2F5496" w:themeColor="accent5" w:themeShade="BF"/>
          <w:sz w:val="24"/>
          <w:szCs w:val="24"/>
          <w:lang w:val="uk-UA"/>
        </w:rPr>
      </w:pPr>
    </w:p>
    <w:p w:rsidR="00341EBB" w:rsidRPr="00E128B3" w:rsidRDefault="00E128B3" w:rsidP="00341EBB">
      <w:pPr>
        <w:spacing w:after="120" w:line="240" w:lineRule="auto"/>
        <w:jc w:val="center"/>
        <w:rPr>
          <w:rFonts w:ascii="Times New Roman" w:hAnsi="Times New Roman" w:cs="Times New Roman"/>
          <w:i/>
          <w:sz w:val="24"/>
          <w:szCs w:val="24"/>
          <w:lang w:val="uk-UA"/>
        </w:rPr>
      </w:pPr>
      <w:r w:rsidRPr="00E128B3">
        <w:rPr>
          <w:rFonts w:ascii="Times New Roman" w:hAnsi="Times New Roman" w:cs="Times New Roman"/>
          <w:b/>
          <w:i/>
          <w:sz w:val="24"/>
          <w:szCs w:val="24"/>
          <w:lang w:val="uk-UA"/>
        </w:rPr>
        <w:t>Шановн</w:t>
      </w:r>
      <w:r w:rsidR="006B7A52">
        <w:rPr>
          <w:rFonts w:ascii="Times New Roman" w:hAnsi="Times New Roman" w:cs="Times New Roman"/>
          <w:b/>
          <w:i/>
          <w:sz w:val="24"/>
          <w:szCs w:val="24"/>
          <w:lang w:val="uk-UA"/>
        </w:rPr>
        <w:t>ий</w:t>
      </w:r>
      <w:r w:rsidRPr="00E128B3">
        <w:rPr>
          <w:rFonts w:ascii="Times New Roman" w:hAnsi="Times New Roman" w:cs="Times New Roman"/>
          <w:b/>
          <w:i/>
          <w:sz w:val="24"/>
          <w:szCs w:val="24"/>
          <w:lang w:val="uk-UA"/>
        </w:rPr>
        <w:t xml:space="preserve"> </w:t>
      </w:r>
      <w:r w:rsidR="006B7A52">
        <w:rPr>
          <w:rFonts w:ascii="Times New Roman" w:hAnsi="Times New Roman" w:cs="Times New Roman"/>
          <w:b/>
          <w:i/>
          <w:sz w:val="24"/>
          <w:szCs w:val="24"/>
          <w:lang w:val="uk-UA"/>
        </w:rPr>
        <w:t>Якове Васильовичу</w:t>
      </w:r>
      <w:r w:rsidR="00341EBB" w:rsidRPr="00E128B3">
        <w:rPr>
          <w:rFonts w:ascii="Times New Roman" w:hAnsi="Times New Roman" w:cs="Times New Roman"/>
          <w:i/>
          <w:sz w:val="24"/>
          <w:szCs w:val="24"/>
          <w:lang w:val="uk-UA"/>
        </w:rPr>
        <w:t>!</w:t>
      </w:r>
    </w:p>
    <w:p w:rsidR="00341EBB" w:rsidRDefault="00341EBB" w:rsidP="00341EBB">
      <w:pPr>
        <w:spacing w:after="120" w:line="240" w:lineRule="auto"/>
        <w:ind w:firstLine="446"/>
        <w:jc w:val="both"/>
        <w:rPr>
          <w:rFonts w:ascii="Times New Roman" w:hAnsi="Times New Roman" w:cs="Times New Roman"/>
          <w:sz w:val="24"/>
          <w:szCs w:val="24"/>
          <w:lang w:val="uk-UA"/>
        </w:rPr>
      </w:pPr>
      <w:r w:rsidRPr="00341EBB">
        <w:rPr>
          <w:rFonts w:ascii="Times New Roman" w:hAnsi="Times New Roman" w:cs="Times New Roman"/>
          <w:sz w:val="24"/>
          <w:szCs w:val="24"/>
          <w:lang w:val="uk-UA"/>
        </w:rPr>
        <w:t>Від імені Ради директорів Американської торгівельної палати в Україні (надалі - Палата) та компаній-членів засвідчуємо Вам глибоку повагу та звертаємось із наступним.</w:t>
      </w:r>
    </w:p>
    <w:p w:rsidR="00C01A74" w:rsidRDefault="00745B81" w:rsidP="00D15309">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Національним банком України було </w:t>
      </w:r>
      <w:r w:rsidR="00A778CC">
        <w:rPr>
          <w:rFonts w:ascii="Times New Roman" w:hAnsi="Times New Roman" w:cs="Times New Roman"/>
          <w:sz w:val="24"/>
          <w:szCs w:val="24"/>
          <w:lang w:val="uk-UA"/>
        </w:rPr>
        <w:t xml:space="preserve">розроблено </w:t>
      </w:r>
      <w:r w:rsidR="00A778CC" w:rsidRPr="00745B81">
        <w:rPr>
          <w:rFonts w:ascii="Times New Roman" w:hAnsi="Times New Roman" w:cs="Times New Roman"/>
          <w:sz w:val="24"/>
          <w:szCs w:val="24"/>
          <w:lang w:val="uk-UA"/>
        </w:rPr>
        <w:t>проекту Закону «Про валюту»</w:t>
      </w:r>
      <w:r w:rsidR="00A778CC">
        <w:rPr>
          <w:rFonts w:ascii="Times New Roman" w:hAnsi="Times New Roman" w:cs="Times New Roman"/>
          <w:sz w:val="24"/>
          <w:szCs w:val="24"/>
          <w:lang w:val="uk-UA"/>
        </w:rPr>
        <w:t xml:space="preserve"> (надалі - "</w:t>
      </w:r>
      <w:r w:rsidR="00A778CC" w:rsidRPr="00B31F2D">
        <w:rPr>
          <w:rFonts w:ascii="Times New Roman" w:hAnsi="Times New Roman" w:cs="Times New Roman"/>
          <w:b/>
          <w:sz w:val="24"/>
          <w:szCs w:val="24"/>
          <w:lang w:val="uk-UA"/>
        </w:rPr>
        <w:t>Проект Закону</w:t>
      </w:r>
      <w:r w:rsidR="00A778CC">
        <w:rPr>
          <w:rFonts w:ascii="Times New Roman" w:hAnsi="Times New Roman" w:cs="Times New Roman"/>
          <w:sz w:val="24"/>
          <w:szCs w:val="24"/>
          <w:lang w:val="uk-UA"/>
        </w:rPr>
        <w:t xml:space="preserve">") та </w:t>
      </w:r>
      <w:r>
        <w:rPr>
          <w:rFonts w:ascii="Times New Roman" w:hAnsi="Times New Roman" w:cs="Times New Roman"/>
          <w:sz w:val="24"/>
          <w:szCs w:val="24"/>
          <w:lang w:val="uk-UA"/>
        </w:rPr>
        <w:t xml:space="preserve">розпочато </w:t>
      </w:r>
      <w:r w:rsidRPr="00745B81">
        <w:rPr>
          <w:rFonts w:ascii="Times New Roman" w:hAnsi="Times New Roman" w:cs="Times New Roman"/>
          <w:sz w:val="24"/>
          <w:szCs w:val="24"/>
          <w:lang w:val="uk-UA"/>
        </w:rPr>
        <w:t xml:space="preserve">процес </w:t>
      </w:r>
      <w:r w:rsidRPr="00D15309">
        <w:rPr>
          <w:rFonts w:ascii="Times New Roman" w:hAnsi="Times New Roman" w:cs="Times New Roman"/>
          <w:sz w:val="24"/>
          <w:szCs w:val="24"/>
          <w:lang w:val="uk-UA"/>
        </w:rPr>
        <w:t>публічн</w:t>
      </w:r>
      <w:r w:rsidRPr="00745B81">
        <w:rPr>
          <w:rFonts w:ascii="Times New Roman" w:hAnsi="Times New Roman" w:cs="Times New Roman"/>
          <w:sz w:val="24"/>
          <w:szCs w:val="24"/>
          <w:lang w:val="uk-UA"/>
        </w:rPr>
        <w:t>ого</w:t>
      </w:r>
      <w:r w:rsidRPr="00D15309">
        <w:rPr>
          <w:rFonts w:ascii="Times New Roman" w:hAnsi="Times New Roman" w:cs="Times New Roman"/>
          <w:sz w:val="24"/>
          <w:szCs w:val="24"/>
          <w:lang w:val="uk-UA"/>
        </w:rPr>
        <w:t xml:space="preserve"> обговорення </w:t>
      </w:r>
      <w:r w:rsidR="00A778CC">
        <w:rPr>
          <w:rFonts w:ascii="Times New Roman" w:hAnsi="Times New Roman" w:cs="Times New Roman"/>
          <w:sz w:val="24"/>
          <w:szCs w:val="24"/>
          <w:lang w:val="uk-UA"/>
        </w:rPr>
        <w:t xml:space="preserve">Проекту </w:t>
      </w:r>
      <w:r w:rsidRPr="00745B81">
        <w:rPr>
          <w:rFonts w:ascii="Times New Roman" w:hAnsi="Times New Roman" w:cs="Times New Roman"/>
          <w:sz w:val="24"/>
          <w:szCs w:val="24"/>
          <w:lang w:val="uk-UA"/>
        </w:rPr>
        <w:t>Закону</w:t>
      </w:r>
      <w:r w:rsidRPr="00D15309">
        <w:rPr>
          <w:rFonts w:ascii="Times New Roman" w:hAnsi="Times New Roman" w:cs="Times New Roman"/>
          <w:sz w:val="24"/>
          <w:szCs w:val="24"/>
          <w:lang w:val="uk-UA"/>
        </w:rPr>
        <w:t xml:space="preserve">, </w:t>
      </w:r>
      <w:r w:rsidR="00A778CC">
        <w:rPr>
          <w:rFonts w:ascii="Times New Roman" w:hAnsi="Times New Roman" w:cs="Times New Roman"/>
          <w:sz w:val="24"/>
          <w:szCs w:val="24"/>
          <w:lang w:val="uk-UA"/>
        </w:rPr>
        <w:t xml:space="preserve">яким передбачено </w:t>
      </w:r>
      <w:r w:rsidRPr="00D15309">
        <w:rPr>
          <w:rFonts w:ascii="Times New Roman" w:hAnsi="Times New Roman" w:cs="Times New Roman"/>
          <w:sz w:val="24"/>
          <w:szCs w:val="24"/>
          <w:lang w:val="uk-UA"/>
        </w:rPr>
        <w:t>перех</w:t>
      </w:r>
      <w:r w:rsidR="00A778CC">
        <w:rPr>
          <w:rFonts w:ascii="Times New Roman" w:hAnsi="Times New Roman" w:cs="Times New Roman"/>
          <w:sz w:val="24"/>
          <w:szCs w:val="24"/>
          <w:lang w:val="uk-UA"/>
        </w:rPr>
        <w:t>і</w:t>
      </w:r>
      <w:r w:rsidRPr="00D15309">
        <w:rPr>
          <w:rFonts w:ascii="Times New Roman" w:hAnsi="Times New Roman" w:cs="Times New Roman"/>
          <w:sz w:val="24"/>
          <w:szCs w:val="24"/>
          <w:lang w:val="uk-UA"/>
        </w:rPr>
        <w:t>д до нової, більш ліберальної моделі валютного регулювання</w:t>
      </w:r>
      <w:r w:rsidRPr="00745B81">
        <w:rPr>
          <w:rFonts w:ascii="Times New Roman" w:hAnsi="Times New Roman" w:cs="Times New Roman"/>
          <w:sz w:val="24"/>
          <w:szCs w:val="24"/>
          <w:lang w:val="uk-UA"/>
        </w:rPr>
        <w:t>.</w:t>
      </w:r>
    </w:p>
    <w:p w:rsidR="00D15309" w:rsidRPr="00D15309" w:rsidRDefault="00D15309" w:rsidP="00417F79">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1A74">
        <w:rPr>
          <w:rFonts w:ascii="Times New Roman" w:hAnsi="Times New Roman" w:cs="Times New Roman"/>
          <w:sz w:val="24"/>
          <w:szCs w:val="24"/>
          <w:lang w:val="uk-UA"/>
        </w:rPr>
        <w:t xml:space="preserve">На думку експертів компаній-членів Палати, прийняття такого </w:t>
      </w:r>
      <w:r w:rsidR="00016A98">
        <w:rPr>
          <w:rFonts w:ascii="Times New Roman" w:hAnsi="Times New Roman" w:cs="Times New Roman"/>
          <w:sz w:val="24"/>
          <w:szCs w:val="24"/>
          <w:lang w:val="uk-UA"/>
        </w:rPr>
        <w:t xml:space="preserve">Проекту Закону повинно </w:t>
      </w:r>
      <w:r w:rsidR="00417F79">
        <w:rPr>
          <w:rFonts w:ascii="Times New Roman" w:hAnsi="Times New Roman" w:cs="Times New Roman"/>
          <w:sz w:val="24"/>
          <w:szCs w:val="24"/>
          <w:lang w:val="uk-UA"/>
        </w:rPr>
        <w:t>створити нову основу для розвитку міжнародних операцій українського бізнесу та спростити більшість проблемних питань щодо здійснення розрахунків в іноземній валюті та використанні валюти українським та міжнародним бізнесом в Україні.  Більш того, ми очікуємо, що Проект Закону створить передумови для виникнення нових напрямків міжнародного бізнесу в Україні, які взагалі на можуть виникнути або існувати</w:t>
      </w:r>
      <w:r>
        <w:rPr>
          <w:rFonts w:ascii="Times New Roman" w:hAnsi="Times New Roman" w:cs="Times New Roman"/>
          <w:sz w:val="24"/>
          <w:szCs w:val="24"/>
          <w:lang w:val="uk-UA"/>
        </w:rPr>
        <w:t>, оскільки Декрет «</w:t>
      </w:r>
      <w:r w:rsidRPr="00B31F2D">
        <w:rPr>
          <w:rFonts w:ascii="Times New Roman" w:hAnsi="Times New Roman" w:cs="Times New Roman"/>
          <w:i/>
          <w:sz w:val="24"/>
          <w:szCs w:val="24"/>
          <w:lang w:val="uk-UA"/>
        </w:rPr>
        <w:t>Про валютне регулювання та валютний контроль</w:t>
      </w:r>
      <w:r>
        <w:rPr>
          <w:rFonts w:ascii="Times New Roman" w:hAnsi="Times New Roman" w:cs="Times New Roman"/>
          <w:sz w:val="24"/>
          <w:szCs w:val="24"/>
          <w:lang w:val="uk-UA"/>
        </w:rPr>
        <w:t xml:space="preserve">» є застарілим і не відповідає сучасним, глобальним трендам.  </w:t>
      </w:r>
    </w:p>
    <w:p w:rsidR="001F088D" w:rsidRPr="00B31F2D" w:rsidRDefault="009847A6" w:rsidP="00C01A74">
      <w:pPr>
        <w:spacing w:after="120" w:line="240" w:lineRule="auto"/>
        <w:ind w:firstLine="446"/>
        <w:jc w:val="both"/>
        <w:rPr>
          <w:rFonts w:ascii="Times New Roman" w:hAnsi="Times New Roman" w:cs="Times New Roman"/>
          <w:sz w:val="24"/>
          <w:szCs w:val="24"/>
        </w:rPr>
      </w:pPr>
      <w:r w:rsidRPr="009847A6">
        <w:rPr>
          <w:rFonts w:ascii="Times New Roman" w:hAnsi="Times New Roman" w:cs="Times New Roman"/>
          <w:sz w:val="24"/>
          <w:szCs w:val="24"/>
          <w:lang w:val="uk-UA"/>
        </w:rPr>
        <w:t xml:space="preserve">Виходячи з вищенаведеного, експерти компаній-членів Палати погоджуються з необхідністю </w:t>
      </w:r>
      <w:r w:rsidR="0064181E">
        <w:rPr>
          <w:rFonts w:ascii="Times New Roman" w:hAnsi="Times New Roman" w:cs="Times New Roman"/>
          <w:sz w:val="24"/>
          <w:szCs w:val="24"/>
          <w:lang w:val="uk-UA"/>
        </w:rPr>
        <w:t xml:space="preserve">прийняття </w:t>
      </w:r>
      <w:r w:rsidR="00417F79">
        <w:rPr>
          <w:rFonts w:ascii="Times New Roman" w:hAnsi="Times New Roman" w:cs="Times New Roman"/>
          <w:sz w:val="24"/>
          <w:szCs w:val="24"/>
          <w:lang w:val="uk-UA"/>
        </w:rPr>
        <w:t>Проекту Закону якнайшвидше</w:t>
      </w:r>
      <w:r w:rsidRPr="009847A6">
        <w:rPr>
          <w:rFonts w:ascii="Times New Roman" w:hAnsi="Times New Roman" w:cs="Times New Roman"/>
          <w:sz w:val="24"/>
          <w:szCs w:val="24"/>
          <w:lang w:val="uk-UA"/>
        </w:rPr>
        <w:t>, водночас, для забезпечення успішного функціонування</w:t>
      </w:r>
      <w:r w:rsidR="0064181E">
        <w:rPr>
          <w:rFonts w:ascii="Times New Roman" w:hAnsi="Times New Roman" w:cs="Times New Roman"/>
          <w:sz w:val="24"/>
          <w:szCs w:val="24"/>
          <w:lang w:val="uk-UA"/>
        </w:rPr>
        <w:t xml:space="preserve"> </w:t>
      </w:r>
      <w:r w:rsidR="006622E7">
        <w:rPr>
          <w:rFonts w:ascii="Times New Roman" w:hAnsi="Times New Roman" w:cs="Times New Roman"/>
          <w:sz w:val="24"/>
          <w:szCs w:val="24"/>
          <w:lang w:val="uk-UA"/>
        </w:rPr>
        <w:t>моделі валютного регулювання</w:t>
      </w:r>
      <w:r w:rsidRPr="009847A6">
        <w:rPr>
          <w:rFonts w:ascii="Times New Roman" w:hAnsi="Times New Roman" w:cs="Times New Roman"/>
          <w:sz w:val="24"/>
          <w:szCs w:val="24"/>
          <w:lang w:val="uk-UA"/>
        </w:rPr>
        <w:t xml:space="preserve">, просять Вас, шановний </w:t>
      </w:r>
      <w:r w:rsidR="0064181E">
        <w:rPr>
          <w:rFonts w:ascii="Times New Roman" w:hAnsi="Times New Roman" w:cs="Times New Roman"/>
          <w:sz w:val="24"/>
          <w:szCs w:val="24"/>
          <w:lang w:val="uk-UA"/>
        </w:rPr>
        <w:t>Якове Васильовичу</w:t>
      </w:r>
      <w:r w:rsidRPr="009847A6">
        <w:rPr>
          <w:rFonts w:ascii="Times New Roman" w:hAnsi="Times New Roman" w:cs="Times New Roman"/>
          <w:sz w:val="24"/>
          <w:szCs w:val="24"/>
          <w:lang w:val="uk-UA"/>
        </w:rPr>
        <w:t xml:space="preserve">, розглянути пропозиції наведені у Додатку до цього листа та сприяти їх внесенню до проекту </w:t>
      </w:r>
      <w:r w:rsidR="0064181E">
        <w:rPr>
          <w:rFonts w:ascii="Times New Roman" w:hAnsi="Times New Roman" w:cs="Times New Roman"/>
          <w:sz w:val="24"/>
          <w:szCs w:val="24"/>
          <w:lang w:val="uk-UA"/>
        </w:rPr>
        <w:t>Закону</w:t>
      </w:r>
      <w:r w:rsidRPr="009847A6">
        <w:rPr>
          <w:rFonts w:ascii="Times New Roman" w:hAnsi="Times New Roman" w:cs="Times New Roman"/>
          <w:sz w:val="24"/>
          <w:szCs w:val="24"/>
          <w:lang w:val="uk-UA"/>
        </w:rPr>
        <w:t xml:space="preserve">. Окрім того, експерти компаній-членів Палати готові продовжити діалог з представниками </w:t>
      </w:r>
      <w:r w:rsidR="0064181E">
        <w:rPr>
          <w:rFonts w:ascii="Times New Roman" w:hAnsi="Times New Roman" w:cs="Times New Roman"/>
          <w:sz w:val="24"/>
          <w:szCs w:val="24"/>
          <w:lang w:val="uk-UA"/>
        </w:rPr>
        <w:t>Національного банку України</w:t>
      </w:r>
      <w:r w:rsidRPr="009847A6">
        <w:rPr>
          <w:rFonts w:ascii="Times New Roman" w:hAnsi="Times New Roman" w:cs="Times New Roman"/>
          <w:sz w:val="24"/>
          <w:szCs w:val="24"/>
          <w:lang w:val="uk-UA"/>
        </w:rPr>
        <w:t xml:space="preserve"> щодо напрацювання консолідованих пропозицій до проекту </w:t>
      </w:r>
      <w:r w:rsidR="0064181E">
        <w:rPr>
          <w:rFonts w:ascii="Times New Roman" w:hAnsi="Times New Roman" w:cs="Times New Roman"/>
          <w:sz w:val="24"/>
          <w:szCs w:val="24"/>
          <w:lang w:val="uk-UA"/>
        </w:rPr>
        <w:t>Закону</w:t>
      </w:r>
      <w:r w:rsidRPr="009847A6">
        <w:rPr>
          <w:rFonts w:ascii="Times New Roman" w:hAnsi="Times New Roman" w:cs="Times New Roman"/>
          <w:sz w:val="24"/>
          <w:szCs w:val="24"/>
          <w:lang w:val="uk-UA"/>
        </w:rPr>
        <w:t xml:space="preserve">. </w:t>
      </w:r>
    </w:p>
    <w:p w:rsidR="006F3B35" w:rsidRPr="00B31F2D" w:rsidRDefault="006F3B35" w:rsidP="00C01A74">
      <w:pPr>
        <w:spacing w:after="120" w:line="240" w:lineRule="auto"/>
        <w:ind w:firstLine="446"/>
        <w:jc w:val="both"/>
        <w:rPr>
          <w:rFonts w:ascii="Times New Roman" w:hAnsi="Times New Roman" w:cs="Times New Roman"/>
          <w:sz w:val="24"/>
          <w:szCs w:val="24"/>
        </w:rPr>
      </w:pPr>
      <w:r>
        <w:rPr>
          <w:rFonts w:ascii="Times New Roman" w:hAnsi="Times New Roman" w:cs="Times New Roman"/>
          <w:sz w:val="24"/>
          <w:szCs w:val="24"/>
          <w:lang w:val="uk-UA"/>
        </w:rPr>
        <w:t>Насамперед</w:t>
      </w:r>
      <w:r w:rsidRPr="00B31F2D">
        <w:rPr>
          <w:rFonts w:ascii="Times New Roman" w:hAnsi="Times New Roman" w:cs="Times New Roman"/>
          <w:sz w:val="24"/>
          <w:szCs w:val="24"/>
          <w:lang w:val="uk-UA"/>
        </w:rPr>
        <w:t xml:space="preserve"> ми пропонуємо забезпечити в Проекті Закону чітке нормативне </w:t>
      </w:r>
      <w:r w:rsidR="00592560">
        <w:rPr>
          <w:rFonts w:ascii="Times New Roman" w:hAnsi="Times New Roman" w:cs="Times New Roman"/>
          <w:sz w:val="24"/>
          <w:szCs w:val="24"/>
          <w:lang w:val="uk-UA"/>
        </w:rPr>
        <w:t xml:space="preserve">формулювання </w:t>
      </w:r>
      <w:r w:rsidRPr="00B31F2D">
        <w:rPr>
          <w:rFonts w:ascii="Times New Roman" w:hAnsi="Times New Roman" w:cs="Times New Roman"/>
          <w:sz w:val="24"/>
          <w:szCs w:val="24"/>
          <w:lang w:val="uk-UA"/>
        </w:rPr>
        <w:t>основного принципу «свобода проведення валютних операцій», зафіксувавши перелік дозволених операцій із доданням «та інші операції на розсуд суб’єктів ринку, які прямо не заборонені законодавством». Це доцільно зробити шляхом внесення змін до статті 5 Проекту Закону «Будь-які валютні операції здійснюються без обмежень, якщо інше не передбачено валютним законодавством» та згадати невичерпний перелік таких операцій.</w:t>
      </w:r>
    </w:p>
    <w:p w:rsidR="00341EBB" w:rsidRPr="00341EBB" w:rsidRDefault="00417F79" w:rsidP="00341EBB">
      <w:pPr>
        <w:tabs>
          <w:tab w:val="left" w:pos="567"/>
          <w:tab w:val="center" w:pos="4677"/>
        </w:tabs>
        <w:spacing w:after="120" w:line="240" w:lineRule="auto"/>
        <w:ind w:firstLine="446"/>
        <w:jc w:val="both"/>
        <w:rPr>
          <w:rFonts w:ascii="Times New Roman" w:hAnsi="Times New Roman" w:cs="Times New Roman"/>
          <w:sz w:val="24"/>
          <w:szCs w:val="24"/>
          <w:lang w:val="uk-UA"/>
        </w:rPr>
      </w:pPr>
      <w:r w:rsidRPr="006F3B35">
        <w:rPr>
          <w:rFonts w:ascii="Times New Roman" w:hAnsi="Times New Roman" w:cs="Times New Roman"/>
          <w:sz w:val="24"/>
          <w:szCs w:val="24"/>
          <w:lang w:val="uk-UA"/>
        </w:rPr>
        <w:t>Нарешті значна кількість компаній-членів Палати висловили думку про те, що Національний банк повинен запропонувати вже сьогодні проекти нормативних документів, якими будуть регулюватись найпоширеніші операції бізнесу в Україні - здійснення транскордонних платежів, отримання та повернення кредитів в іноземній валюті, використання міжнародного лізингу, міжнародного факторингу, використання типових операцій управління ліквідністю та ризиками зміни курсів валют</w:t>
      </w:r>
      <w:r w:rsidR="00AA0071" w:rsidRPr="006F3B35">
        <w:rPr>
          <w:rFonts w:ascii="Times New Roman" w:hAnsi="Times New Roman" w:cs="Times New Roman"/>
          <w:sz w:val="24"/>
          <w:szCs w:val="24"/>
          <w:lang w:val="uk-UA"/>
        </w:rPr>
        <w:t xml:space="preserve"> та інші операції</w:t>
      </w:r>
      <w:r w:rsidRPr="006F3B35">
        <w:rPr>
          <w:rFonts w:ascii="Times New Roman" w:hAnsi="Times New Roman" w:cs="Times New Roman"/>
          <w:sz w:val="24"/>
          <w:szCs w:val="24"/>
          <w:lang w:val="uk-UA"/>
        </w:rPr>
        <w:t xml:space="preserve">.  </w:t>
      </w:r>
      <w:r w:rsidR="00AA0071" w:rsidRPr="006F3B35">
        <w:rPr>
          <w:rFonts w:ascii="Times New Roman" w:hAnsi="Times New Roman" w:cs="Times New Roman"/>
          <w:sz w:val="24"/>
          <w:szCs w:val="24"/>
          <w:lang w:val="uk-UA"/>
        </w:rPr>
        <w:t xml:space="preserve">Через відсутність розуміння майбутніх правил та норм, які (і коли?) будуть прийняті Національним банком </w:t>
      </w:r>
      <w:r w:rsidR="0020687B" w:rsidRPr="006F3B35">
        <w:rPr>
          <w:rFonts w:ascii="Times New Roman" w:hAnsi="Times New Roman" w:cs="Times New Roman"/>
          <w:sz w:val="24"/>
          <w:szCs w:val="24"/>
          <w:lang w:val="uk-UA"/>
        </w:rPr>
        <w:t xml:space="preserve">відповідно до Проекту Закону </w:t>
      </w:r>
      <w:r w:rsidR="00AA0071" w:rsidRPr="006F3B35">
        <w:rPr>
          <w:rFonts w:ascii="Times New Roman" w:hAnsi="Times New Roman" w:cs="Times New Roman"/>
          <w:sz w:val="24"/>
          <w:szCs w:val="24"/>
          <w:lang w:val="uk-UA"/>
        </w:rPr>
        <w:t xml:space="preserve">у компаній-членів Палати є перестороги щодо </w:t>
      </w:r>
      <w:r w:rsidR="0020687B" w:rsidRPr="006F3B35">
        <w:rPr>
          <w:rFonts w:ascii="Times New Roman" w:hAnsi="Times New Roman" w:cs="Times New Roman"/>
          <w:sz w:val="24"/>
          <w:szCs w:val="24"/>
          <w:lang w:val="uk-UA"/>
        </w:rPr>
        <w:t xml:space="preserve">планування своїх бізнес процесів на найближчі 6-12 місяців.   Саме тому Національним банк повинен вже сьогодні запропонувати бізнес спільноті прозорі правила та орієнтувати бізнес щодо строків прийняття таких правил.  </w:t>
      </w:r>
      <w:r w:rsidR="00341EBB" w:rsidRPr="00341EBB">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w:t>
      </w:r>
      <w:r w:rsidR="00341EBB" w:rsidRPr="00341EBB">
        <w:rPr>
          <w:rFonts w:ascii="Times New Roman" w:hAnsi="Times New Roman" w:cs="Times New Roman"/>
          <w:sz w:val="24"/>
          <w:szCs w:val="24"/>
          <w:lang w:val="uk-UA"/>
        </w:rPr>
        <w:lastRenderedPageBreak/>
        <w:t xml:space="preserve">за телефоном 490 5800 (контактна особа - </w:t>
      </w:r>
      <w:r w:rsidR="00745B81">
        <w:rPr>
          <w:rFonts w:ascii="Times New Roman" w:hAnsi="Times New Roman" w:cs="Times New Roman"/>
          <w:sz w:val="24"/>
          <w:szCs w:val="24"/>
          <w:lang w:val="uk-UA"/>
        </w:rPr>
        <w:t xml:space="preserve">Богдан Іванюк, </w:t>
      </w:r>
      <w:r w:rsidR="00341EBB" w:rsidRPr="00341EBB">
        <w:rPr>
          <w:rFonts w:ascii="Times New Roman" w:hAnsi="Times New Roman" w:cs="Times New Roman"/>
          <w:sz w:val="24"/>
          <w:szCs w:val="24"/>
          <w:lang w:val="uk-UA"/>
        </w:rPr>
        <w:t xml:space="preserve">менеджер з питань стратегічного розвитку) або електронною поштою за </w:t>
      </w:r>
      <w:proofErr w:type="spellStart"/>
      <w:r w:rsidR="00341EBB" w:rsidRPr="00341EBB">
        <w:rPr>
          <w:rFonts w:ascii="Times New Roman" w:hAnsi="Times New Roman" w:cs="Times New Roman"/>
          <w:sz w:val="24"/>
          <w:szCs w:val="24"/>
          <w:lang w:val="uk-UA"/>
        </w:rPr>
        <w:t>адресою</w:t>
      </w:r>
      <w:proofErr w:type="spellEnd"/>
      <w:r w:rsidR="00341EBB" w:rsidRPr="00341EBB">
        <w:rPr>
          <w:rFonts w:ascii="Times New Roman" w:hAnsi="Times New Roman" w:cs="Times New Roman"/>
          <w:sz w:val="24"/>
          <w:szCs w:val="24"/>
          <w:lang w:val="uk-UA"/>
        </w:rPr>
        <w:t xml:space="preserve"> </w:t>
      </w:r>
      <w:hyperlink r:id="rId8" w:history="1">
        <w:r w:rsidR="00745B81" w:rsidRPr="00655316">
          <w:rPr>
            <w:rStyle w:val="Hyperlink"/>
            <w:rFonts w:ascii="Times New Roman" w:hAnsi="Times New Roman" w:cs="Times New Roman"/>
            <w:sz w:val="24"/>
            <w:szCs w:val="24"/>
            <w:lang w:val="en-US"/>
          </w:rPr>
          <w:t>bivaniuk</w:t>
        </w:r>
        <w:r w:rsidR="00745B81" w:rsidRPr="00655316">
          <w:rPr>
            <w:rStyle w:val="Hyperlink"/>
            <w:rFonts w:ascii="Times New Roman" w:hAnsi="Times New Roman" w:cs="Times New Roman"/>
            <w:sz w:val="24"/>
            <w:szCs w:val="24"/>
            <w:lang w:val="uk-UA"/>
          </w:rPr>
          <w:t>@chamber.ua</w:t>
        </w:r>
      </w:hyperlink>
      <w:r w:rsidR="00341EBB" w:rsidRPr="00341EBB">
        <w:rPr>
          <w:rFonts w:ascii="Times New Roman" w:hAnsi="Times New Roman" w:cs="Times New Roman"/>
          <w:sz w:val="24"/>
          <w:szCs w:val="24"/>
          <w:lang w:val="uk-UA"/>
        </w:rPr>
        <w:t>.</w:t>
      </w:r>
    </w:p>
    <w:p w:rsidR="00C01A74" w:rsidRPr="00C01A74" w:rsidRDefault="00C01A74" w:rsidP="00341EBB">
      <w:pPr>
        <w:tabs>
          <w:tab w:val="left" w:pos="567"/>
          <w:tab w:val="center" w:pos="4677"/>
        </w:tabs>
        <w:spacing w:after="120" w:line="240" w:lineRule="auto"/>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ab/>
      </w:r>
      <w:r w:rsidRPr="00C01A74">
        <w:rPr>
          <w:rFonts w:ascii="Times New Roman" w:eastAsia="Calibri" w:hAnsi="Times New Roman" w:cs="Times New Roman"/>
          <w:i/>
          <w:sz w:val="24"/>
          <w:szCs w:val="24"/>
          <w:lang w:val="uk-UA"/>
        </w:rPr>
        <w:t>Додаток: згадане на 5 арк.</w:t>
      </w:r>
    </w:p>
    <w:p w:rsidR="00341EBB" w:rsidRPr="00341EBB" w:rsidRDefault="00341EBB" w:rsidP="00341EBB">
      <w:pPr>
        <w:tabs>
          <w:tab w:val="left" w:pos="567"/>
          <w:tab w:val="center" w:pos="4677"/>
        </w:tabs>
        <w:spacing w:after="120" w:line="240" w:lineRule="auto"/>
        <w:jc w:val="both"/>
        <w:rPr>
          <w:rFonts w:ascii="Times New Roman" w:eastAsia="Calibri" w:hAnsi="Times New Roman" w:cs="Times New Roman"/>
          <w:b/>
          <w:sz w:val="24"/>
          <w:szCs w:val="24"/>
          <w:lang w:val="uk-UA"/>
        </w:rPr>
      </w:pPr>
      <w:r w:rsidRPr="00341EBB">
        <w:rPr>
          <w:rFonts w:ascii="Times New Roman" w:eastAsia="Calibri" w:hAnsi="Times New Roman" w:cs="Times New Roman"/>
          <w:b/>
          <w:sz w:val="24"/>
          <w:szCs w:val="24"/>
          <w:lang w:val="uk-UA"/>
        </w:rPr>
        <w:t>З повагою,</w:t>
      </w:r>
    </w:p>
    <w:p w:rsidR="00341EBB" w:rsidRPr="00341EBB" w:rsidRDefault="00341EBB" w:rsidP="00341EBB">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341EBB" w:rsidRDefault="00341EBB" w:rsidP="00341EBB">
      <w:pPr>
        <w:spacing w:after="120"/>
        <w:jc w:val="both"/>
        <w:rPr>
          <w:rFonts w:ascii="Times New Roman" w:hAnsi="Times New Roman" w:cs="Times New Roman"/>
          <w:sz w:val="24"/>
          <w:szCs w:val="24"/>
          <w:lang w:val="uk-UA"/>
        </w:rPr>
      </w:pPr>
      <w:r w:rsidRPr="00341EBB">
        <w:rPr>
          <w:rFonts w:ascii="Times New Roman" w:eastAsia="Calibri" w:hAnsi="Times New Roman" w:cs="Times New Roman"/>
          <w:b/>
          <w:sz w:val="24"/>
          <w:szCs w:val="24"/>
          <w:lang w:val="uk-UA"/>
        </w:rPr>
        <w:t>Президент</w:t>
      </w:r>
      <w:r w:rsidRPr="00341EBB">
        <w:rPr>
          <w:rFonts w:ascii="Times New Roman" w:eastAsia="Calibri"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t xml:space="preserve">Андрій </w:t>
      </w:r>
      <w:proofErr w:type="spellStart"/>
      <w:r w:rsidRPr="00341EBB">
        <w:rPr>
          <w:rFonts w:ascii="Times New Roman" w:hAnsi="Times New Roman" w:cs="Times New Roman"/>
          <w:b/>
          <w:sz w:val="24"/>
          <w:szCs w:val="24"/>
          <w:lang w:val="uk-UA"/>
        </w:rPr>
        <w:t>Гундер</w:t>
      </w:r>
      <w:proofErr w:type="spellEnd"/>
    </w:p>
    <w:p w:rsidR="00671D83" w:rsidRPr="00FC3F9F" w:rsidRDefault="00671D83" w:rsidP="00CE4035">
      <w:pPr>
        <w:spacing w:after="0" w:line="240" w:lineRule="auto"/>
        <w:rPr>
          <w:rFonts w:ascii="Times New Roman" w:hAnsi="Times New Roman" w:cs="Times New Roman"/>
          <w:b/>
          <w:sz w:val="24"/>
          <w:szCs w:val="24"/>
        </w:rPr>
      </w:pPr>
    </w:p>
    <w:p w:rsidR="00FC3F9F" w:rsidRPr="002437B0" w:rsidRDefault="00FC3F9F" w:rsidP="00CE4035">
      <w:pPr>
        <w:spacing w:after="0" w:line="240" w:lineRule="auto"/>
        <w:rPr>
          <w:rFonts w:ascii="Times New Roman" w:hAnsi="Times New Roman" w:cs="Times New Roman"/>
          <w:b/>
          <w:sz w:val="24"/>
          <w:szCs w:val="24"/>
        </w:rPr>
      </w:pPr>
    </w:p>
    <w:p w:rsidR="00FC3F9F" w:rsidRPr="002437B0" w:rsidRDefault="00FC3F9F" w:rsidP="00CE4035">
      <w:pPr>
        <w:spacing w:after="0" w:line="240" w:lineRule="auto"/>
        <w:rPr>
          <w:rFonts w:ascii="Times New Roman" w:hAnsi="Times New Roman" w:cs="Times New Roman"/>
          <w:b/>
          <w:sz w:val="24"/>
          <w:szCs w:val="24"/>
        </w:rPr>
      </w:pPr>
    </w:p>
    <w:p w:rsidR="00FC3F9F" w:rsidRPr="002437B0" w:rsidRDefault="00FC3F9F" w:rsidP="00FC3F9F">
      <w:pPr>
        <w:rPr>
          <w:rFonts w:ascii="Times New Roman" w:hAnsi="Times New Roman" w:cs="Times New Roman"/>
          <w:b/>
          <w:sz w:val="24"/>
          <w:szCs w:val="24"/>
        </w:rPr>
        <w:sectPr w:rsidR="00FC3F9F" w:rsidRPr="002437B0" w:rsidSect="00FC3F9F">
          <w:headerReference w:type="even" r:id="rId9"/>
          <w:headerReference w:type="default" r:id="rId10"/>
          <w:footerReference w:type="even" r:id="rId11"/>
          <w:footerReference w:type="default" r:id="rId12"/>
          <w:headerReference w:type="first" r:id="rId13"/>
          <w:footerReference w:type="first" r:id="rId14"/>
          <w:pgSz w:w="11906" w:h="16838"/>
          <w:pgMar w:top="1418" w:right="707" w:bottom="1134" w:left="1418" w:header="708" w:footer="708" w:gutter="0"/>
          <w:cols w:space="708"/>
          <w:docGrid w:linePitch="360"/>
        </w:sectPr>
      </w:pPr>
    </w:p>
    <w:tbl>
      <w:tblPr>
        <w:tblStyle w:val="TableGrid"/>
        <w:tblW w:w="15375" w:type="dxa"/>
        <w:tblLook w:val="04A0" w:firstRow="1" w:lastRow="0" w:firstColumn="1" w:lastColumn="0" w:noHBand="0" w:noVBand="1"/>
      </w:tblPr>
      <w:tblGrid>
        <w:gridCol w:w="5125"/>
        <w:gridCol w:w="5189"/>
        <w:gridCol w:w="5040"/>
        <w:gridCol w:w="21"/>
      </w:tblGrid>
      <w:tr w:rsidR="00FC3F9F" w:rsidRPr="008D13B9" w:rsidTr="001516CD">
        <w:trPr>
          <w:trHeight w:val="411"/>
        </w:trPr>
        <w:tc>
          <w:tcPr>
            <w:tcW w:w="5125" w:type="dxa"/>
          </w:tcPr>
          <w:p w:rsidR="00FC3F9F" w:rsidRPr="008D13B9" w:rsidRDefault="00FC3F9F" w:rsidP="00D55D71">
            <w:pPr>
              <w:jc w:val="center"/>
              <w:rPr>
                <w:rFonts w:ascii="Tahoma" w:hAnsi="Tahoma" w:cs="Tahoma"/>
                <w:b/>
                <w:sz w:val="20"/>
                <w:szCs w:val="20"/>
                <w:lang w:val="en-US"/>
              </w:rPr>
            </w:pPr>
            <w:proofErr w:type="spellStart"/>
            <w:r w:rsidRPr="008D13B9">
              <w:rPr>
                <w:rFonts w:ascii="Tahoma" w:hAnsi="Tahoma" w:cs="Tahoma"/>
                <w:b/>
                <w:sz w:val="20"/>
                <w:szCs w:val="20"/>
                <w:lang w:val="ru-RU"/>
              </w:rPr>
              <w:lastRenderedPageBreak/>
              <w:t>Пропози</w:t>
            </w:r>
            <w:r w:rsidRPr="008D13B9">
              <w:rPr>
                <w:rFonts w:ascii="Tahoma" w:hAnsi="Tahoma" w:cs="Tahoma"/>
                <w:b/>
                <w:sz w:val="20"/>
                <w:szCs w:val="20"/>
              </w:rPr>
              <w:t>ції</w:t>
            </w:r>
            <w:proofErr w:type="spellEnd"/>
          </w:p>
        </w:tc>
        <w:tc>
          <w:tcPr>
            <w:tcW w:w="5189" w:type="dxa"/>
          </w:tcPr>
          <w:p w:rsidR="00FC3F9F" w:rsidRPr="008D13B9" w:rsidRDefault="00FC3F9F" w:rsidP="00D55D71">
            <w:pPr>
              <w:jc w:val="center"/>
              <w:rPr>
                <w:rFonts w:ascii="Tahoma" w:hAnsi="Tahoma" w:cs="Tahoma"/>
                <w:b/>
                <w:sz w:val="20"/>
                <w:szCs w:val="20"/>
              </w:rPr>
            </w:pPr>
            <w:r w:rsidRPr="008D13B9">
              <w:rPr>
                <w:rFonts w:ascii="Tahoma" w:hAnsi="Tahoma" w:cs="Tahoma"/>
                <w:b/>
                <w:sz w:val="20"/>
                <w:szCs w:val="20"/>
              </w:rPr>
              <w:t>Обґрунтування</w:t>
            </w:r>
          </w:p>
        </w:tc>
        <w:tc>
          <w:tcPr>
            <w:tcW w:w="5061" w:type="dxa"/>
            <w:gridSpan w:val="2"/>
          </w:tcPr>
          <w:p w:rsidR="00FC3F9F" w:rsidRPr="008D13B9" w:rsidRDefault="00FC3F9F" w:rsidP="00D55D71">
            <w:pPr>
              <w:jc w:val="center"/>
              <w:rPr>
                <w:rFonts w:ascii="Tahoma" w:hAnsi="Tahoma" w:cs="Tahoma"/>
                <w:b/>
                <w:sz w:val="20"/>
                <w:szCs w:val="20"/>
              </w:rPr>
            </w:pPr>
            <w:r w:rsidRPr="008D13B9">
              <w:rPr>
                <w:rFonts w:ascii="Tahoma" w:hAnsi="Tahoma" w:cs="Tahoma"/>
                <w:b/>
                <w:sz w:val="20"/>
                <w:szCs w:val="20"/>
              </w:rPr>
              <w:t>Механізм реалізації</w:t>
            </w:r>
          </w:p>
        </w:tc>
      </w:tr>
      <w:tr w:rsidR="00FC3F9F" w:rsidRPr="008D13B9" w:rsidTr="001516CD">
        <w:trPr>
          <w:trHeight w:val="1127"/>
        </w:trPr>
        <w:tc>
          <w:tcPr>
            <w:tcW w:w="5125" w:type="dxa"/>
          </w:tcPr>
          <w:p w:rsidR="00FC3F9F" w:rsidRPr="008D13B9" w:rsidRDefault="00FC3F9F" w:rsidP="00D55D71">
            <w:pPr>
              <w:rPr>
                <w:rFonts w:ascii="Tahoma" w:hAnsi="Tahoma" w:cs="Tahoma"/>
                <w:sz w:val="20"/>
                <w:szCs w:val="20"/>
              </w:rPr>
            </w:pPr>
            <w:r w:rsidRPr="008D13B9">
              <w:rPr>
                <w:rFonts w:ascii="Tahoma" w:hAnsi="Tahoma" w:cs="Tahoma"/>
                <w:sz w:val="20"/>
                <w:szCs w:val="20"/>
              </w:rPr>
              <w:t xml:space="preserve"> п.2 ст.4  необхідно більш детально сформулювати вимоги Закону (обмеження термінів розрахунків, обов'язковий продаж валютних надходжень і інші обмеження), які  не стосуються органів державної влади.</w:t>
            </w:r>
          </w:p>
        </w:tc>
        <w:tc>
          <w:tcPr>
            <w:tcW w:w="5189" w:type="dxa"/>
          </w:tcPr>
          <w:p w:rsidR="00FC3F9F" w:rsidRPr="008D13B9" w:rsidRDefault="00FC3F9F">
            <w:pPr>
              <w:rPr>
                <w:rFonts w:ascii="Tahoma" w:hAnsi="Tahoma" w:cs="Tahoma"/>
                <w:sz w:val="20"/>
                <w:szCs w:val="20"/>
              </w:rPr>
            </w:pPr>
          </w:p>
        </w:tc>
        <w:tc>
          <w:tcPr>
            <w:tcW w:w="5061" w:type="dxa"/>
            <w:gridSpan w:val="2"/>
          </w:tcPr>
          <w:p w:rsidR="00FC3F9F" w:rsidRPr="008D13B9" w:rsidRDefault="00FC3F9F" w:rsidP="000D496F">
            <w:pPr>
              <w:jc w:val="center"/>
              <w:rPr>
                <w:rFonts w:ascii="Tahoma" w:hAnsi="Tahoma" w:cs="Tahoma"/>
                <w:sz w:val="20"/>
                <w:szCs w:val="20"/>
              </w:rPr>
            </w:pPr>
            <w:r w:rsidRPr="000D496F">
              <w:rPr>
                <w:rFonts w:ascii="Tahoma" w:hAnsi="Tahoma" w:cs="Tahoma"/>
                <w:sz w:val="20"/>
                <w:szCs w:val="20"/>
              </w:rPr>
              <w:t>Доопрацювання проекту Закону</w:t>
            </w:r>
          </w:p>
        </w:tc>
      </w:tr>
      <w:tr w:rsidR="00FC3F9F" w:rsidRPr="008D13B9" w:rsidTr="001516CD">
        <w:trPr>
          <w:trHeight w:val="1127"/>
        </w:trPr>
        <w:tc>
          <w:tcPr>
            <w:tcW w:w="5125" w:type="dxa"/>
          </w:tcPr>
          <w:p w:rsidR="00FC3F9F" w:rsidRPr="008D13B9" w:rsidRDefault="00FC3F9F">
            <w:pPr>
              <w:rPr>
                <w:rFonts w:ascii="Tahoma" w:hAnsi="Tahoma" w:cs="Tahoma"/>
                <w:sz w:val="20"/>
                <w:szCs w:val="20"/>
              </w:rPr>
            </w:pPr>
            <w:r w:rsidRPr="008D13B9">
              <w:rPr>
                <w:rFonts w:ascii="Tahoma" w:hAnsi="Tahoma" w:cs="Tahoma"/>
                <w:sz w:val="20"/>
                <w:szCs w:val="20"/>
              </w:rPr>
              <w:t xml:space="preserve">ч.1  ст. 5 викласти у такій редакції: </w:t>
            </w:r>
          </w:p>
          <w:p w:rsidR="00FC3F9F" w:rsidRPr="008D13B9" w:rsidRDefault="00FC3F9F" w:rsidP="003E3166">
            <w:pPr>
              <w:jc w:val="both"/>
              <w:rPr>
                <w:rFonts w:ascii="Tahoma" w:hAnsi="Tahoma" w:cs="Tahoma"/>
                <w:sz w:val="20"/>
                <w:szCs w:val="20"/>
              </w:rPr>
            </w:pPr>
            <w:r w:rsidRPr="008D13B9">
              <w:rPr>
                <w:rFonts w:ascii="Tahoma" w:hAnsi="Tahoma" w:cs="Tahoma"/>
                <w:sz w:val="20"/>
                <w:szCs w:val="20"/>
              </w:rPr>
              <w:t>Будь-які валютні операції здійснюються без обмежень, якщо інше не передбачено цим Законом.</w:t>
            </w:r>
          </w:p>
        </w:tc>
        <w:tc>
          <w:tcPr>
            <w:tcW w:w="5189" w:type="dxa"/>
          </w:tcPr>
          <w:p w:rsidR="00FC3F9F" w:rsidRPr="008D13B9" w:rsidRDefault="00FC3F9F" w:rsidP="00E02C61">
            <w:pPr>
              <w:jc w:val="both"/>
              <w:rPr>
                <w:rFonts w:ascii="Tahoma" w:hAnsi="Tahoma" w:cs="Tahoma"/>
                <w:sz w:val="20"/>
                <w:szCs w:val="20"/>
              </w:rPr>
            </w:pPr>
            <w:r w:rsidRPr="008D13B9">
              <w:rPr>
                <w:rFonts w:ascii="Tahoma" w:hAnsi="Tahoma" w:cs="Tahoma"/>
                <w:sz w:val="20"/>
                <w:szCs w:val="20"/>
              </w:rPr>
              <w:t>ч.1 ст. 5 чинного Проекту Закону «Про валюту»: «Будь-які валютні операції здійснюються без обмежень, якщо інше не передбачено валютним законодавством».</w:t>
            </w:r>
            <w:r w:rsidRPr="008D13B9">
              <w:rPr>
                <w:rFonts w:ascii="Tahoma" w:hAnsi="Tahoma" w:cs="Tahoma"/>
                <w:sz w:val="20"/>
                <w:szCs w:val="20"/>
              </w:rPr>
              <w:br/>
              <w:t>Це положення суперечить нормі, викладеній в ч. 2 ст. 3 цього ж Закону: «Законодавче регулювання питань валютного регулювання і валютного нагляду установлюється або змінюється виключно цим Законом».</w:t>
            </w:r>
          </w:p>
        </w:tc>
        <w:tc>
          <w:tcPr>
            <w:tcW w:w="5061" w:type="dxa"/>
            <w:gridSpan w:val="2"/>
          </w:tcPr>
          <w:p w:rsidR="00FC3F9F" w:rsidRPr="008D13B9" w:rsidRDefault="00FC3F9F" w:rsidP="000D496F">
            <w:pPr>
              <w:jc w:val="center"/>
              <w:rPr>
                <w:rFonts w:ascii="Tahoma" w:hAnsi="Tahoma" w:cs="Tahoma"/>
                <w:sz w:val="20"/>
                <w:szCs w:val="20"/>
              </w:rPr>
            </w:pPr>
            <w:r w:rsidRPr="000D496F">
              <w:rPr>
                <w:rFonts w:ascii="Tahoma" w:hAnsi="Tahoma" w:cs="Tahoma"/>
                <w:sz w:val="20"/>
                <w:szCs w:val="20"/>
              </w:rPr>
              <w:t>Доопрацювання проекту Закону</w:t>
            </w:r>
          </w:p>
        </w:tc>
      </w:tr>
      <w:tr w:rsidR="00FC3F9F" w:rsidRPr="008D13B9" w:rsidTr="001516CD">
        <w:trPr>
          <w:trHeight w:val="1127"/>
        </w:trPr>
        <w:tc>
          <w:tcPr>
            <w:tcW w:w="5125" w:type="dxa"/>
          </w:tcPr>
          <w:p w:rsidR="00FC3F9F" w:rsidRPr="008D13B9" w:rsidRDefault="00FC3F9F">
            <w:pPr>
              <w:rPr>
                <w:rFonts w:ascii="Tahoma" w:hAnsi="Tahoma" w:cs="Tahoma"/>
                <w:sz w:val="20"/>
                <w:szCs w:val="20"/>
              </w:rPr>
            </w:pPr>
            <w:r w:rsidRPr="008D13B9">
              <w:rPr>
                <w:rFonts w:ascii="Tahoma" w:hAnsi="Tahoma" w:cs="Tahoma"/>
                <w:sz w:val="20"/>
                <w:szCs w:val="20"/>
              </w:rPr>
              <w:t>ч.1 ст. 6 викласти у такій редакції:</w:t>
            </w:r>
          </w:p>
          <w:p w:rsidR="00FC3F9F" w:rsidRPr="008D13B9" w:rsidRDefault="00FC3F9F" w:rsidP="003E3166">
            <w:pPr>
              <w:jc w:val="both"/>
              <w:rPr>
                <w:rFonts w:ascii="Tahoma" w:hAnsi="Tahoma" w:cs="Tahoma"/>
                <w:sz w:val="20"/>
                <w:szCs w:val="20"/>
              </w:rPr>
            </w:pPr>
            <w:r w:rsidRPr="008D13B9">
              <w:rPr>
                <w:rFonts w:ascii="Tahoma" w:hAnsi="Tahoma" w:cs="Tahoma"/>
                <w:sz w:val="20"/>
                <w:szCs w:val="20"/>
              </w:rPr>
              <w:t>Національна валюта (гривня) є єдиним законним засобом платежу на території України, який приймається без обмежень для оплати будь-яких вимог та зобов’язань, проведення переказів та розрахунків.</w:t>
            </w:r>
          </w:p>
        </w:tc>
        <w:tc>
          <w:tcPr>
            <w:tcW w:w="5189" w:type="dxa"/>
          </w:tcPr>
          <w:p w:rsidR="00FC3F9F" w:rsidRPr="008D13B9" w:rsidRDefault="00FC3F9F" w:rsidP="007757CA">
            <w:pPr>
              <w:jc w:val="both"/>
              <w:rPr>
                <w:rFonts w:ascii="Tahoma" w:hAnsi="Tahoma" w:cs="Tahoma"/>
                <w:sz w:val="20"/>
                <w:szCs w:val="20"/>
              </w:rPr>
            </w:pPr>
            <w:r w:rsidRPr="008D13B9">
              <w:rPr>
                <w:rFonts w:ascii="Tahoma" w:hAnsi="Tahoma" w:cs="Tahoma"/>
                <w:sz w:val="20"/>
                <w:szCs w:val="20"/>
              </w:rPr>
              <w:t xml:space="preserve">Вважаємо за необхідне доповнити визначення, враховуючі зміст ст.3 ЗУ «Про платіжні системи та переказ коштів». </w:t>
            </w:r>
          </w:p>
          <w:p w:rsidR="00FC3F9F" w:rsidRPr="008D13B9" w:rsidRDefault="00FC3F9F" w:rsidP="007757CA">
            <w:pPr>
              <w:rPr>
                <w:rFonts w:ascii="Tahoma" w:hAnsi="Tahoma" w:cs="Tahoma"/>
                <w:sz w:val="20"/>
                <w:szCs w:val="20"/>
              </w:rPr>
            </w:pPr>
          </w:p>
        </w:tc>
        <w:tc>
          <w:tcPr>
            <w:tcW w:w="5061" w:type="dxa"/>
            <w:gridSpan w:val="2"/>
          </w:tcPr>
          <w:p w:rsidR="00FC3F9F" w:rsidRPr="008D13B9" w:rsidRDefault="00FC3F9F" w:rsidP="000D496F">
            <w:pPr>
              <w:jc w:val="center"/>
              <w:rPr>
                <w:rFonts w:ascii="Tahoma" w:hAnsi="Tahoma" w:cs="Tahoma"/>
                <w:sz w:val="20"/>
                <w:szCs w:val="20"/>
              </w:rPr>
            </w:pPr>
            <w:r w:rsidRPr="000D496F">
              <w:rPr>
                <w:rFonts w:ascii="Tahoma" w:hAnsi="Tahoma" w:cs="Tahoma"/>
                <w:sz w:val="20"/>
                <w:szCs w:val="20"/>
              </w:rPr>
              <w:t>Доопрацювання проекту Закону</w:t>
            </w:r>
          </w:p>
        </w:tc>
      </w:tr>
      <w:tr w:rsidR="00FC3F9F" w:rsidRPr="008D13B9" w:rsidTr="001516CD">
        <w:trPr>
          <w:trHeight w:val="1127"/>
        </w:trPr>
        <w:tc>
          <w:tcPr>
            <w:tcW w:w="5125" w:type="dxa"/>
          </w:tcPr>
          <w:p w:rsidR="00FC3F9F" w:rsidRPr="008D13B9" w:rsidRDefault="00FC3F9F">
            <w:pPr>
              <w:rPr>
                <w:rFonts w:ascii="Tahoma" w:hAnsi="Tahoma" w:cs="Tahoma"/>
                <w:sz w:val="20"/>
                <w:szCs w:val="20"/>
              </w:rPr>
            </w:pPr>
            <w:r w:rsidRPr="008D13B9">
              <w:rPr>
                <w:rFonts w:ascii="Tahoma" w:hAnsi="Tahoma" w:cs="Tahoma"/>
                <w:sz w:val="20"/>
                <w:szCs w:val="20"/>
              </w:rPr>
              <w:t>Доповнити ст. 7 новою частиною:</w:t>
            </w:r>
          </w:p>
          <w:p w:rsidR="00FC3F9F" w:rsidRPr="008D13B9" w:rsidRDefault="00FC3F9F" w:rsidP="00896260">
            <w:pPr>
              <w:jc w:val="both"/>
              <w:rPr>
                <w:rFonts w:ascii="Tahoma" w:hAnsi="Tahoma" w:cs="Tahoma"/>
                <w:sz w:val="20"/>
                <w:szCs w:val="20"/>
              </w:rPr>
            </w:pPr>
            <w:r w:rsidRPr="008D13B9">
              <w:rPr>
                <w:rFonts w:ascii="Tahoma" w:hAnsi="Tahoma" w:cs="Tahoma"/>
                <w:sz w:val="20"/>
                <w:szCs w:val="20"/>
              </w:rPr>
              <w:t>Торгівля грошовими коштами на рахунках у банках, виражені у грошових одиницях іноземної держави, може бути здійсненна за допомогою систем дистанційного  обслуговування відповідно до валютного законодавства</w:t>
            </w:r>
            <w:r>
              <w:rPr>
                <w:rFonts w:ascii="Tahoma" w:hAnsi="Tahoma" w:cs="Tahoma"/>
                <w:sz w:val="20"/>
                <w:szCs w:val="20"/>
              </w:rPr>
              <w:t>.</w:t>
            </w:r>
          </w:p>
        </w:tc>
        <w:tc>
          <w:tcPr>
            <w:tcW w:w="5189" w:type="dxa"/>
          </w:tcPr>
          <w:p w:rsidR="00FC3F9F" w:rsidRPr="008D13B9" w:rsidRDefault="00FC3F9F" w:rsidP="00896260">
            <w:pPr>
              <w:jc w:val="both"/>
              <w:rPr>
                <w:rFonts w:ascii="Tahoma" w:hAnsi="Tahoma" w:cs="Tahoma"/>
                <w:sz w:val="20"/>
                <w:szCs w:val="20"/>
              </w:rPr>
            </w:pPr>
            <w:r w:rsidRPr="008D13B9">
              <w:rPr>
                <w:rFonts w:ascii="Tahoma" w:hAnsi="Tahoma" w:cs="Tahoma"/>
                <w:sz w:val="20"/>
                <w:szCs w:val="20"/>
              </w:rPr>
              <w:t>Зміна покликана привести у відповідність  до змін до  валютного законодавства щодо надання документів на  купівлю валюти в електронній формі та необхідності подальшої оптимізації банківських процесів.</w:t>
            </w:r>
          </w:p>
        </w:tc>
        <w:tc>
          <w:tcPr>
            <w:tcW w:w="5061" w:type="dxa"/>
            <w:gridSpan w:val="2"/>
          </w:tcPr>
          <w:p w:rsidR="00FC3F9F" w:rsidRPr="008D13B9" w:rsidRDefault="00FC3F9F" w:rsidP="000D496F">
            <w:pPr>
              <w:jc w:val="center"/>
              <w:rPr>
                <w:rFonts w:ascii="Tahoma" w:hAnsi="Tahoma" w:cs="Tahoma"/>
                <w:sz w:val="20"/>
                <w:szCs w:val="20"/>
              </w:rPr>
            </w:pPr>
            <w:r w:rsidRPr="000D496F">
              <w:rPr>
                <w:rFonts w:ascii="Tahoma" w:hAnsi="Tahoma" w:cs="Tahoma"/>
                <w:sz w:val="20"/>
                <w:szCs w:val="20"/>
              </w:rPr>
              <w:t>Доопрацювання проекту Закону</w:t>
            </w:r>
          </w:p>
        </w:tc>
      </w:tr>
      <w:tr w:rsidR="00FC3F9F" w:rsidRPr="008D13B9" w:rsidTr="001516CD">
        <w:trPr>
          <w:trHeight w:val="1127"/>
        </w:trPr>
        <w:tc>
          <w:tcPr>
            <w:tcW w:w="5125" w:type="dxa"/>
          </w:tcPr>
          <w:p w:rsidR="00FC3F9F" w:rsidRPr="008D13B9" w:rsidRDefault="00FC3F9F" w:rsidP="0082306D">
            <w:pPr>
              <w:rPr>
                <w:rFonts w:ascii="Tahoma" w:hAnsi="Tahoma" w:cs="Tahoma"/>
                <w:sz w:val="20"/>
                <w:szCs w:val="20"/>
              </w:rPr>
            </w:pPr>
            <w:r w:rsidRPr="008D13B9">
              <w:rPr>
                <w:rFonts w:ascii="Tahoma" w:hAnsi="Tahoma" w:cs="Tahoma"/>
                <w:sz w:val="20"/>
                <w:szCs w:val="20"/>
              </w:rPr>
              <w:t>Необхідно привести у відповідність ст. 13 проекту Закону «Про валюту» та Постанову НБУ №118 від 26.03.1998 до ст. 8 проекту Закону «Про валюту».</w:t>
            </w:r>
          </w:p>
        </w:tc>
        <w:tc>
          <w:tcPr>
            <w:tcW w:w="5189" w:type="dxa"/>
          </w:tcPr>
          <w:p w:rsidR="00FC3F9F" w:rsidRPr="008D13B9" w:rsidRDefault="00FC3F9F" w:rsidP="001516CD">
            <w:pPr>
              <w:jc w:val="both"/>
              <w:rPr>
                <w:rFonts w:ascii="Tahoma" w:hAnsi="Tahoma" w:cs="Tahoma"/>
                <w:sz w:val="20"/>
                <w:szCs w:val="20"/>
              </w:rPr>
            </w:pPr>
            <w:r w:rsidRPr="008D13B9">
              <w:rPr>
                <w:rFonts w:ascii="Tahoma" w:hAnsi="Tahoma" w:cs="Tahoma"/>
                <w:sz w:val="20"/>
                <w:szCs w:val="20"/>
              </w:rPr>
              <w:t>Статтею визначено, що перекази здійснюються без обмежень,  при цьому в ст.13 передбачено, що  НБУ має право запроваджувати Заходи захисту, якими можливо будуть встановлені певні обмеження. Вважаємо за доцільне вказати, що порядок здійснення переказів визначає НБУ.</w:t>
            </w:r>
          </w:p>
        </w:tc>
        <w:tc>
          <w:tcPr>
            <w:tcW w:w="5061" w:type="dxa"/>
            <w:gridSpan w:val="2"/>
          </w:tcPr>
          <w:p w:rsidR="00FC3F9F" w:rsidRPr="008D13B9" w:rsidRDefault="00FC3F9F" w:rsidP="00F20CBF">
            <w:pPr>
              <w:jc w:val="center"/>
              <w:rPr>
                <w:rFonts w:ascii="Tahoma" w:hAnsi="Tahoma" w:cs="Tahoma"/>
                <w:sz w:val="20"/>
                <w:szCs w:val="20"/>
              </w:rPr>
            </w:pPr>
            <w:r w:rsidRPr="008D13B9">
              <w:rPr>
                <w:rFonts w:ascii="Tahoma" w:hAnsi="Tahoma" w:cs="Tahoma"/>
                <w:sz w:val="20"/>
                <w:szCs w:val="20"/>
              </w:rPr>
              <w:t>Внесення змін до Постанову НБУ №118 від 26.03.1998</w:t>
            </w:r>
          </w:p>
        </w:tc>
      </w:tr>
      <w:tr w:rsidR="00FC3F9F" w:rsidRPr="008D13B9" w:rsidTr="001516CD">
        <w:trPr>
          <w:trHeight w:val="1127"/>
        </w:trPr>
        <w:tc>
          <w:tcPr>
            <w:tcW w:w="5125" w:type="dxa"/>
          </w:tcPr>
          <w:p w:rsidR="00FC3F9F" w:rsidRPr="008D13B9" w:rsidRDefault="00FC3F9F">
            <w:pPr>
              <w:rPr>
                <w:rFonts w:ascii="Tahoma" w:hAnsi="Tahoma" w:cs="Tahoma"/>
                <w:sz w:val="20"/>
                <w:szCs w:val="20"/>
              </w:rPr>
            </w:pPr>
            <w:r w:rsidRPr="008D13B9">
              <w:rPr>
                <w:rFonts w:ascii="Tahoma" w:hAnsi="Tahoma" w:cs="Tahoma"/>
                <w:sz w:val="20"/>
                <w:szCs w:val="20"/>
              </w:rPr>
              <w:lastRenderedPageBreak/>
              <w:t>ч. 2 ст. 11 уточнити:</w:t>
            </w:r>
          </w:p>
          <w:p w:rsidR="00FC3F9F" w:rsidRPr="008D13B9" w:rsidRDefault="00FC3F9F" w:rsidP="00FC3F9F">
            <w:pPr>
              <w:pStyle w:val="ListParagraph"/>
              <w:numPr>
                <w:ilvl w:val="0"/>
                <w:numId w:val="9"/>
              </w:numPr>
              <w:spacing w:line="240" w:lineRule="auto"/>
              <w:rPr>
                <w:rFonts w:ascii="Tahoma" w:hAnsi="Tahoma" w:cs="Tahoma"/>
                <w:sz w:val="20"/>
                <w:szCs w:val="20"/>
              </w:rPr>
            </w:pPr>
            <w:r w:rsidRPr="008D13B9">
              <w:rPr>
                <w:rFonts w:ascii="Tahoma" w:hAnsi="Tahoma" w:cs="Tahoma"/>
                <w:sz w:val="20"/>
                <w:szCs w:val="20"/>
              </w:rPr>
              <w:t>коло суб’єктів</w:t>
            </w:r>
            <w:r w:rsidRPr="008D13B9">
              <w:rPr>
                <w:rFonts w:ascii="Tahoma" w:hAnsi="Tahoma" w:cs="Tahoma"/>
                <w:color w:val="000000"/>
                <w:sz w:val="20"/>
                <w:szCs w:val="20"/>
              </w:rPr>
              <w:t xml:space="preserve"> (про яких нерезидентів йдеться)  - фізичні особи, юридичні особи \фінансові установи;</w:t>
            </w:r>
          </w:p>
          <w:p w:rsidR="00FC3F9F" w:rsidRPr="008D13B9" w:rsidRDefault="00FC3F9F" w:rsidP="00FC3F9F">
            <w:pPr>
              <w:pStyle w:val="ListParagraph"/>
              <w:numPr>
                <w:ilvl w:val="0"/>
                <w:numId w:val="9"/>
              </w:numPr>
              <w:spacing w:line="240" w:lineRule="auto"/>
              <w:rPr>
                <w:rFonts w:ascii="Tahoma" w:hAnsi="Tahoma" w:cs="Tahoma"/>
                <w:sz w:val="20"/>
                <w:szCs w:val="20"/>
              </w:rPr>
            </w:pPr>
            <w:r w:rsidRPr="008D13B9">
              <w:rPr>
                <w:rFonts w:ascii="Tahoma" w:hAnsi="Tahoma" w:cs="Tahoma"/>
                <w:sz w:val="20"/>
                <w:szCs w:val="20"/>
              </w:rPr>
              <w:t>механізми та інструменти інформування;</w:t>
            </w:r>
          </w:p>
          <w:p w:rsidR="00FC3F9F" w:rsidRPr="008D13B9" w:rsidRDefault="00FC3F9F" w:rsidP="00FC3F9F">
            <w:pPr>
              <w:pStyle w:val="ListParagraph"/>
              <w:numPr>
                <w:ilvl w:val="0"/>
                <w:numId w:val="9"/>
              </w:numPr>
              <w:spacing w:line="240" w:lineRule="auto"/>
              <w:rPr>
                <w:rFonts w:ascii="Tahoma" w:hAnsi="Tahoma" w:cs="Tahoma"/>
                <w:sz w:val="20"/>
                <w:szCs w:val="20"/>
              </w:rPr>
            </w:pPr>
            <w:r w:rsidRPr="008D13B9">
              <w:rPr>
                <w:rFonts w:ascii="Tahoma" w:hAnsi="Tahoma" w:cs="Tahoma"/>
                <w:sz w:val="20"/>
                <w:szCs w:val="20"/>
              </w:rPr>
              <w:t xml:space="preserve">чи буде дана стаття поширюватися на резидентів. </w:t>
            </w:r>
          </w:p>
        </w:tc>
        <w:tc>
          <w:tcPr>
            <w:tcW w:w="5189" w:type="dxa"/>
          </w:tcPr>
          <w:p w:rsidR="00FC3F9F" w:rsidRPr="008D13B9" w:rsidRDefault="00FC3F9F">
            <w:pPr>
              <w:rPr>
                <w:rFonts w:ascii="Tahoma" w:hAnsi="Tahoma" w:cs="Tahoma"/>
                <w:sz w:val="20"/>
                <w:szCs w:val="20"/>
              </w:rPr>
            </w:pPr>
          </w:p>
        </w:tc>
        <w:tc>
          <w:tcPr>
            <w:tcW w:w="5061" w:type="dxa"/>
            <w:gridSpan w:val="2"/>
          </w:tcPr>
          <w:p w:rsidR="00FC3F9F" w:rsidRPr="008D13B9" w:rsidRDefault="00FC3F9F" w:rsidP="000D496F">
            <w:pPr>
              <w:jc w:val="center"/>
              <w:rPr>
                <w:rFonts w:ascii="Tahoma" w:hAnsi="Tahoma" w:cs="Tahoma"/>
                <w:sz w:val="20"/>
                <w:szCs w:val="20"/>
              </w:rPr>
            </w:pPr>
            <w:r>
              <w:rPr>
                <w:rFonts w:ascii="Tahoma" w:hAnsi="Tahoma" w:cs="Tahoma"/>
                <w:sz w:val="20"/>
                <w:szCs w:val="20"/>
              </w:rPr>
              <w:t>Доопрацювання проекту Закону</w:t>
            </w:r>
          </w:p>
        </w:tc>
      </w:tr>
      <w:tr w:rsidR="00FC3F9F" w:rsidRPr="008D13B9" w:rsidTr="001516CD">
        <w:trPr>
          <w:trHeight w:val="1127"/>
        </w:trPr>
        <w:tc>
          <w:tcPr>
            <w:tcW w:w="5125" w:type="dxa"/>
          </w:tcPr>
          <w:p w:rsidR="00FC3F9F" w:rsidRPr="008D13B9" w:rsidRDefault="00FC3F9F" w:rsidP="00D203A9">
            <w:pPr>
              <w:jc w:val="both"/>
              <w:rPr>
                <w:rFonts w:ascii="Tahoma" w:hAnsi="Tahoma" w:cs="Tahoma"/>
                <w:sz w:val="20"/>
                <w:szCs w:val="20"/>
              </w:rPr>
            </w:pPr>
            <w:r w:rsidRPr="008D13B9">
              <w:rPr>
                <w:rFonts w:ascii="Tahoma" w:hAnsi="Tahoma" w:cs="Tahoma"/>
                <w:sz w:val="20"/>
                <w:szCs w:val="20"/>
              </w:rPr>
              <w:t xml:space="preserve">Надати визначення поняттю «агенти валютного нагляду» </w:t>
            </w:r>
            <w:r>
              <w:rPr>
                <w:rFonts w:ascii="Tahoma" w:hAnsi="Tahoma" w:cs="Tahoma"/>
                <w:sz w:val="20"/>
                <w:szCs w:val="20"/>
              </w:rPr>
              <w:t xml:space="preserve">та встановити їх повноваження </w:t>
            </w:r>
            <w:r w:rsidRPr="008D13B9">
              <w:rPr>
                <w:rFonts w:ascii="Tahoma" w:hAnsi="Tahoma" w:cs="Tahoma"/>
                <w:sz w:val="20"/>
                <w:szCs w:val="20"/>
              </w:rPr>
              <w:t>(ст. 12)</w:t>
            </w:r>
            <w:r>
              <w:rPr>
                <w:rFonts w:ascii="Tahoma" w:hAnsi="Tahoma" w:cs="Tahoma"/>
                <w:sz w:val="20"/>
                <w:szCs w:val="20"/>
              </w:rPr>
              <w:t xml:space="preserve"> або ліквідація такого інституту.</w:t>
            </w:r>
          </w:p>
        </w:tc>
        <w:tc>
          <w:tcPr>
            <w:tcW w:w="5189" w:type="dxa"/>
          </w:tcPr>
          <w:p w:rsidR="00FC3F9F" w:rsidRDefault="00FC3F9F" w:rsidP="00304B56">
            <w:pPr>
              <w:rPr>
                <w:rFonts w:ascii="Tahoma" w:hAnsi="Tahoma" w:cs="Tahoma"/>
                <w:sz w:val="20"/>
                <w:szCs w:val="20"/>
              </w:rPr>
            </w:pPr>
            <w:r>
              <w:rPr>
                <w:rFonts w:ascii="Tahoma" w:hAnsi="Tahoma" w:cs="Tahoma"/>
                <w:sz w:val="20"/>
                <w:szCs w:val="20"/>
              </w:rPr>
              <w:t xml:space="preserve">Необхідне чітке розмежування функцій валютного нагляду між органами валютного нагляду та агентами валютного нагляду. </w:t>
            </w:r>
          </w:p>
          <w:p w:rsidR="00FC3F9F" w:rsidRPr="008D13B9" w:rsidRDefault="00FC3F9F" w:rsidP="00304B56">
            <w:pPr>
              <w:rPr>
                <w:rFonts w:ascii="Tahoma" w:hAnsi="Tahoma" w:cs="Tahoma"/>
                <w:sz w:val="20"/>
                <w:szCs w:val="20"/>
              </w:rPr>
            </w:pPr>
          </w:p>
        </w:tc>
        <w:tc>
          <w:tcPr>
            <w:tcW w:w="5061" w:type="dxa"/>
            <w:gridSpan w:val="2"/>
          </w:tcPr>
          <w:p w:rsidR="00FC3F9F" w:rsidRPr="008D13B9" w:rsidRDefault="00FC3F9F" w:rsidP="000D496F">
            <w:pPr>
              <w:jc w:val="center"/>
              <w:rPr>
                <w:rFonts w:ascii="Tahoma" w:hAnsi="Tahoma" w:cs="Tahoma"/>
                <w:sz w:val="20"/>
                <w:szCs w:val="20"/>
              </w:rPr>
            </w:pPr>
            <w:r w:rsidRPr="000D496F">
              <w:rPr>
                <w:rFonts w:ascii="Tahoma" w:hAnsi="Tahoma" w:cs="Tahoma"/>
                <w:sz w:val="20"/>
                <w:szCs w:val="20"/>
              </w:rPr>
              <w:t>Доопрацювання проекту Закону</w:t>
            </w:r>
            <w:r>
              <w:rPr>
                <w:rFonts w:ascii="Tahoma" w:hAnsi="Tahoma" w:cs="Tahoma"/>
                <w:sz w:val="20"/>
                <w:szCs w:val="20"/>
              </w:rPr>
              <w:t>\ Лист роз’яснення НБУ</w:t>
            </w:r>
          </w:p>
        </w:tc>
      </w:tr>
      <w:tr w:rsidR="00FC3F9F" w:rsidRPr="008D13B9" w:rsidTr="00D203A9">
        <w:trPr>
          <w:gridAfter w:val="1"/>
          <w:wAfter w:w="21" w:type="dxa"/>
        </w:trPr>
        <w:tc>
          <w:tcPr>
            <w:tcW w:w="5125" w:type="dxa"/>
          </w:tcPr>
          <w:p w:rsidR="00FC3F9F" w:rsidRPr="008D13B9" w:rsidRDefault="00FC3F9F" w:rsidP="00D203A9">
            <w:pPr>
              <w:jc w:val="both"/>
              <w:rPr>
                <w:rFonts w:ascii="Tahoma" w:hAnsi="Tahoma" w:cs="Tahoma"/>
                <w:sz w:val="20"/>
                <w:szCs w:val="20"/>
              </w:rPr>
            </w:pPr>
            <w:r w:rsidRPr="008D13B9">
              <w:rPr>
                <w:rFonts w:ascii="Tahoma" w:hAnsi="Tahoma" w:cs="Tahoma"/>
                <w:sz w:val="20"/>
                <w:szCs w:val="20"/>
              </w:rPr>
              <w:t>Переглянути відсоток обов’язкового продажу надходжень в Україну в іноземній валюті до 25-30%</w:t>
            </w:r>
            <w:r w:rsidR="00F00A49">
              <w:rPr>
                <w:rFonts w:ascii="Tahoma" w:hAnsi="Tahoma" w:cs="Tahoma"/>
                <w:sz w:val="20"/>
                <w:szCs w:val="20"/>
              </w:rPr>
              <w:t xml:space="preserve"> або взагалі скасувати таку вимогу</w:t>
            </w:r>
            <w:r w:rsidRPr="008D13B9">
              <w:rPr>
                <w:rFonts w:ascii="Tahoma" w:hAnsi="Tahoma" w:cs="Tahoma"/>
                <w:sz w:val="20"/>
                <w:szCs w:val="20"/>
              </w:rPr>
              <w:t xml:space="preserve">.  </w:t>
            </w:r>
          </w:p>
        </w:tc>
        <w:tc>
          <w:tcPr>
            <w:tcW w:w="5189" w:type="dxa"/>
          </w:tcPr>
          <w:p w:rsidR="00FC3F9F" w:rsidRPr="008D13B9" w:rsidRDefault="00FC3F9F" w:rsidP="00E04C70">
            <w:pPr>
              <w:jc w:val="both"/>
              <w:rPr>
                <w:rFonts w:ascii="Tahoma" w:hAnsi="Tahoma" w:cs="Tahoma"/>
                <w:sz w:val="20"/>
                <w:szCs w:val="20"/>
              </w:rPr>
            </w:pPr>
            <w:r w:rsidRPr="008D13B9">
              <w:rPr>
                <w:rFonts w:ascii="Tahoma" w:hAnsi="Tahoma" w:cs="Tahoma"/>
                <w:sz w:val="20"/>
                <w:szCs w:val="20"/>
              </w:rPr>
              <w:t>Зменшення даного відсотку або його повне скасування заохотить експортерів заводи</w:t>
            </w:r>
            <w:r w:rsidR="00F00A49">
              <w:rPr>
                <w:rFonts w:ascii="Tahoma" w:hAnsi="Tahoma" w:cs="Tahoma"/>
                <w:sz w:val="20"/>
                <w:szCs w:val="20"/>
              </w:rPr>
              <w:t>ти</w:t>
            </w:r>
            <w:r w:rsidRPr="008D13B9">
              <w:rPr>
                <w:rFonts w:ascii="Tahoma" w:hAnsi="Tahoma" w:cs="Tahoma"/>
                <w:sz w:val="20"/>
                <w:szCs w:val="20"/>
              </w:rPr>
              <w:t xml:space="preserve"> валютну виручку в Україну, не порушуючи вимог держави.  </w:t>
            </w:r>
          </w:p>
        </w:tc>
        <w:tc>
          <w:tcPr>
            <w:tcW w:w="5040" w:type="dxa"/>
          </w:tcPr>
          <w:p w:rsidR="00FC3F9F" w:rsidRPr="008D13B9" w:rsidRDefault="00FC3F9F" w:rsidP="00D203A9">
            <w:pPr>
              <w:jc w:val="center"/>
              <w:rPr>
                <w:rFonts w:ascii="Tahoma" w:hAnsi="Tahoma" w:cs="Tahoma"/>
                <w:sz w:val="20"/>
                <w:szCs w:val="20"/>
              </w:rPr>
            </w:pPr>
            <w:r w:rsidRPr="008D13B9">
              <w:rPr>
                <w:rFonts w:ascii="Tahoma" w:hAnsi="Tahoma" w:cs="Tahoma"/>
                <w:sz w:val="20"/>
                <w:szCs w:val="20"/>
              </w:rPr>
              <w:t>Постанова НБУ</w:t>
            </w:r>
          </w:p>
        </w:tc>
      </w:tr>
      <w:tr w:rsidR="00FC3F9F" w:rsidRPr="008D13B9" w:rsidTr="00D203A9">
        <w:trPr>
          <w:gridAfter w:val="1"/>
          <w:wAfter w:w="21" w:type="dxa"/>
        </w:trPr>
        <w:tc>
          <w:tcPr>
            <w:tcW w:w="5125" w:type="dxa"/>
          </w:tcPr>
          <w:p w:rsidR="00FC3F9F" w:rsidRPr="008D13B9" w:rsidRDefault="00FC3F9F" w:rsidP="00D203A9">
            <w:pPr>
              <w:jc w:val="both"/>
              <w:rPr>
                <w:rFonts w:ascii="Tahoma" w:hAnsi="Tahoma" w:cs="Tahoma"/>
                <w:sz w:val="20"/>
                <w:szCs w:val="20"/>
              </w:rPr>
            </w:pPr>
            <w:r w:rsidRPr="008D13B9">
              <w:rPr>
                <w:rFonts w:ascii="Tahoma" w:hAnsi="Tahoma" w:cs="Tahoma"/>
                <w:sz w:val="20"/>
                <w:szCs w:val="20"/>
              </w:rPr>
              <w:t xml:space="preserve">Зменшити термін повернення валютної виручки до </w:t>
            </w:r>
            <w:r w:rsidR="00942348">
              <w:rPr>
                <w:rFonts w:ascii="Tahoma" w:hAnsi="Tahoma" w:cs="Tahoma"/>
                <w:sz w:val="20"/>
                <w:szCs w:val="20"/>
              </w:rPr>
              <w:t>3</w:t>
            </w:r>
            <w:r w:rsidRPr="008D13B9">
              <w:rPr>
                <w:rFonts w:ascii="Tahoma" w:hAnsi="Tahoma" w:cs="Tahoma"/>
                <w:sz w:val="20"/>
                <w:szCs w:val="20"/>
              </w:rPr>
              <w:t xml:space="preserve">60 днів без будь яких вимог, все що вище даного строку, забезпечити </w:t>
            </w:r>
            <w:proofErr w:type="spellStart"/>
            <w:r w:rsidRPr="008D13B9">
              <w:rPr>
                <w:rFonts w:ascii="Tahoma" w:hAnsi="Tahoma" w:cs="Tahoma"/>
                <w:sz w:val="20"/>
                <w:szCs w:val="20"/>
              </w:rPr>
              <w:t>безвідзивними</w:t>
            </w:r>
            <w:proofErr w:type="spellEnd"/>
            <w:r w:rsidRPr="008D13B9">
              <w:rPr>
                <w:rFonts w:ascii="Tahoma" w:hAnsi="Tahoma" w:cs="Tahoma"/>
                <w:sz w:val="20"/>
                <w:szCs w:val="20"/>
              </w:rPr>
              <w:t xml:space="preserve"> акредитивами, покритими акредитивами першокласних банків, чи їх гарантіями.</w:t>
            </w:r>
          </w:p>
        </w:tc>
        <w:tc>
          <w:tcPr>
            <w:tcW w:w="5189" w:type="dxa"/>
          </w:tcPr>
          <w:p w:rsidR="00FC3F9F" w:rsidRPr="008D13B9" w:rsidRDefault="00FC3F9F" w:rsidP="008312A1">
            <w:pPr>
              <w:jc w:val="both"/>
              <w:rPr>
                <w:rFonts w:ascii="Tahoma" w:hAnsi="Tahoma" w:cs="Tahoma"/>
                <w:sz w:val="20"/>
                <w:szCs w:val="20"/>
              </w:rPr>
            </w:pPr>
            <w:r w:rsidRPr="008D13B9">
              <w:rPr>
                <w:rFonts w:ascii="Tahoma" w:hAnsi="Tahoma" w:cs="Tahoma"/>
                <w:sz w:val="20"/>
                <w:szCs w:val="20"/>
              </w:rPr>
              <w:t>На даний час термін 180 днів дозволяє експортерам не заводити валютну виручку, працювати з офшорними компаніями, які не виконують свої зобов’язання  по контракту (схема «обірваного експорту»). Встановлення 180 днів повернення валютної виручки веде до збільшення % її неповернення в Україну та ще більшого розвитку чорного ринку зерна за валютну готівку.</w:t>
            </w:r>
          </w:p>
          <w:p w:rsidR="00FC3F9F" w:rsidRPr="008D13B9" w:rsidRDefault="00FC3F9F" w:rsidP="008312A1">
            <w:pPr>
              <w:jc w:val="both"/>
              <w:rPr>
                <w:rFonts w:ascii="Tahoma" w:hAnsi="Tahoma" w:cs="Tahoma"/>
                <w:sz w:val="20"/>
                <w:szCs w:val="20"/>
              </w:rPr>
            </w:pPr>
          </w:p>
          <w:p w:rsidR="00FC3F9F" w:rsidRPr="008D13B9" w:rsidRDefault="00FC3F9F" w:rsidP="008312A1">
            <w:pPr>
              <w:jc w:val="both"/>
              <w:rPr>
                <w:rFonts w:ascii="Tahoma" w:hAnsi="Tahoma" w:cs="Tahoma"/>
                <w:sz w:val="20"/>
                <w:szCs w:val="20"/>
              </w:rPr>
            </w:pPr>
            <w:r w:rsidRPr="008D13B9">
              <w:rPr>
                <w:rFonts w:ascii="Tahoma" w:hAnsi="Tahoma" w:cs="Tahoma"/>
                <w:sz w:val="20"/>
                <w:szCs w:val="20"/>
              </w:rPr>
              <w:t>Впровадження кроків Плану BEPS та удосконалення правил ТЦ жодним чином не зможуть протидіяти схемам «обірваного експорту».</w:t>
            </w:r>
          </w:p>
        </w:tc>
        <w:tc>
          <w:tcPr>
            <w:tcW w:w="5040" w:type="dxa"/>
          </w:tcPr>
          <w:p w:rsidR="00FC3F9F" w:rsidRPr="008D13B9" w:rsidRDefault="00FC3F9F" w:rsidP="008312A1">
            <w:pPr>
              <w:jc w:val="center"/>
              <w:rPr>
                <w:rFonts w:ascii="Tahoma" w:hAnsi="Tahoma" w:cs="Tahoma"/>
                <w:sz w:val="20"/>
                <w:szCs w:val="20"/>
              </w:rPr>
            </w:pPr>
            <w:r w:rsidRPr="008D13B9">
              <w:rPr>
                <w:rFonts w:ascii="Tahoma" w:hAnsi="Tahoma" w:cs="Tahoma"/>
                <w:sz w:val="20"/>
                <w:szCs w:val="20"/>
              </w:rPr>
              <w:t>Постанова НБУ</w:t>
            </w:r>
          </w:p>
        </w:tc>
      </w:tr>
      <w:tr w:rsidR="00FC3F9F" w:rsidRPr="008D13B9" w:rsidTr="00D203A9">
        <w:trPr>
          <w:gridAfter w:val="1"/>
          <w:wAfter w:w="21" w:type="dxa"/>
        </w:trPr>
        <w:tc>
          <w:tcPr>
            <w:tcW w:w="5125" w:type="dxa"/>
          </w:tcPr>
          <w:p w:rsidR="00FC3F9F" w:rsidRPr="008D13B9" w:rsidRDefault="00FC3F9F" w:rsidP="00E04C70">
            <w:pPr>
              <w:jc w:val="both"/>
              <w:rPr>
                <w:rFonts w:ascii="Tahoma" w:hAnsi="Tahoma" w:cs="Tahoma"/>
                <w:sz w:val="20"/>
                <w:szCs w:val="20"/>
              </w:rPr>
            </w:pPr>
            <w:r w:rsidRPr="008D13B9">
              <w:rPr>
                <w:rFonts w:ascii="Tahoma" w:hAnsi="Tahoma" w:cs="Tahoma"/>
                <w:sz w:val="20"/>
                <w:szCs w:val="20"/>
              </w:rPr>
              <w:t>Зробити на сайті НБУ аналог моніторингового продукту ДФС  “Дізнайся більше про свого партнера” де би була можливість моніторингу офшорних і українських компаній, які допустили порушення строків валютного контролю навіть на 1 день.</w:t>
            </w:r>
          </w:p>
          <w:p w:rsidR="00FC3F9F" w:rsidRPr="008D13B9" w:rsidRDefault="00FC3F9F" w:rsidP="00E04C70">
            <w:pPr>
              <w:jc w:val="both"/>
              <w:rPr>
                <w:rFonts w:ascii="Tahoma" w:hAnsi="Tahoma" w:cs="Tahoma"/>
                <w:sz w:val="20"/>
                <w:szCs w:val="20"/>
              </w:rPr>
            </w:pPr>
          </w:p>
          <w:p w:rsidR="00FC3F9F" w:rsidRPr="002437B0" w:rsidRDefault="00FC3F9F" w:rsidP="00E04C70">
            <w:pPr>
              <w:jc w:val="both"/>
              <w:rPr>
                <w:rFonts w:ascii="Tahoma" w:hAnsi="Tahoma" w:cs="Tahoma"/>
                <w:sz w:val="20"/>
                <w:szCs w:val="20"/>
                <w:lang w:val="ru-RU"/>
              </w:rPr>
            </w:pPr>
          </w:p>
          <w:p w:rsidR="00FC3F9F" w:rsidRPr="002437B0" w:rsidRDefault="00FC3F9F" w:rsidP="00E04C70">
            <w:pPr>
              <w:jc w:val="both"/>
              <w:rPr>
                <w:rFonts w:ascii="Tahoma" w:hAnsi="Tahoma" w:cs="Tahoma"/>
                <w:sz w:val="20"/>
                <w:szCs w:val="20"/>
                <w:lang w:val="ru-RU"/>
              </w:rPr>
            </w:pPr>
          </w:p>
          <w:p w:rsidR="00FC3F9F" w:rsidRPr="002437B0" w:rsidRDefault="00FC3F9F" w:rsidP="00E04C70">
            <w:pPr>
              <w:jc w:val="both"/>
              <w:rPr>
                <w:rFonts w:ascii="Tahoma" w:hAnsi="Tahoma" w:cs="Tahoma"/>
                <w:sz w:val="20"/>
                <w:szCs w:val="20"/>
                <w:lang w:val="ru-RU"/>
              </w:rPr>
            </w:pPr>
          </w:p>
          <w:p w:rsidR="00FC3F9F" w:rsidRPr="008D13B9" w:rsidRDefault="00FC3F9F" w:rsidP="00E04C70">
            <w:pPr>
              <w:jc w:val="both"/>
              <w:rPr>
                <w:rFonts w:ascii="Tahoma" w:hAnsi="Tahoma" w:cs="Tahoma"/>
                <w:sz w:val="20"/>
                <w:szCs w:val="20"/>
              </w:rPr>
            </w:pPr>
            <w:r w:rsidRPr="008D13B9">
              <w:rPr>
                <w:rFonts w:ascii="Tahoma" w:hAnsi="Tahoma" w:cs="Tahoma"/>
                <w:sz w:val="20"/>
                <w:szCs w:val="20"/>
              </w:rPr>
              <w:lastRenderedPageBreak/>
              <w:t>Скасувати ліцензування операцій з облігаціями зовнішньої державної позики, зняти обмеження для цих операції для нерезидентів (з їх інвестиційних рахунків в банках України).</w:t>
            </w:r>
          </w:p>
        </w:tc>
        <w:tc>
          <w:tcPr>
            <w:tcW w:w="5189" w:type="dxa"/>
          </w:tcPr>
          <w:p w:rsidR="00FC3F9F" w:rsidRPr="008D13B9" w:rsidRDefault="00FC3F9F" w:rsidP="009C5006">
            <w:pPr>
              <w:jc w:val="both"/>
              <w:rPr>
                <w:rFonts w:ascii="Tahoma" w:hAnsi="Tahoma" w:cs="Tahoma"/>
                <w:sz w:val="20"/>
                <w:szCs w:val="20"/>
              </w:rPr>
            </w:pPr>
            <w:r w:rsidRPr="008D13B9">
              <w:rPr>
                <w:rFonts w:ascii="Tahoma" w:hAnsi="Tahoma" w:cs="Tahoma"/>
                <w:sz w:val="20"/>
                <w:szCs w:val="20"/>
              </w:rPr>
              <w:lastRenderedPageBreak/>
              <w:t>Принцип прозорості. На сьогоднішній день інформація на сайті Міністерства економічного розвитку та торгівлі України в блок спеціальних санкцій потрапляє із затримкою, що не дозволяє оперативно реагувати не неї.</w:t>
            </w:r>
          </w:p>
          <w:p w:rsidR="00FC3F9F" w:rsidRPr="008D13B9" w:rsidRDefault="00FC3F9F" w:rsidP="009C5006">
            <w:pPr>
              <w:jc w:val="both"/>
              <w:rPr>
                <w:rFonts w:ascii="Tahoma" w:hAnsi="Tahoma" w:cs="Tahoma"/>
                <w:sz w:val="20"/>
                <w:szCs w:val="20"/>
              </w:rPr>
            </w:pPr>
          </w:p>
          <w:p w:rsidR="00FC3F9F" w:rsidRPr="008D13B9" w:rsidRDefault="00FC3F9F" w:rsidP="009C5006">
            <w:pPr>
              <w:jc w:val="both"/>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8D13B9" w:rsidRDefault="00FC3F9F" w:rsidP="00F20CBF">
            <w:pPr>
              <w:jc w:val="both"/>
              <w:rPr>
                <w:rFonts w:ascii="Tahoma" w:hAnsi="Tahoma" w:cs="Tahoma"/>
                <w:sz w:val="20"/>
                <w:szCs w:val="20"/>
              </w:rPr>
            </w:pPr>
            <w:r w:rsidRPr="008D13B9">
              <w:rPr>
                <w:rFonts w:ascii="Tahoma" w:hAnsi="Tahoma" w:cs="Tahoma"/>
                <w:sz w:val="20"/>
                <w:szCs w:val="20"/>
              </w:rPr>
              <w:lastRenderedPageBreak/>
              <w:t xml:space="preserve">Дане обмеження нелогічне з огляду на той факт, що законодавство дозволяє купівлю резидентами ОЗДП, номінованих в іноземній валюті, і нерезиденти також мають можливість купувати ОЗДП (в </w:t>
            </w:r>
            <w:proofErr w:type="spellStart"/>
            <w:r w:rsidRPr="008D13B9">
              <w:rPr>
                <w:rFonts w:ascii="Tahoma" w:hAnsi="Tahoma" w:cs="Tahoma"/>
                <w:sz w:val="20"/>
                <w:szCs w:val="20"/>
              </w:rPr>
              <w:t>т.ч</w:t>
            </w:r>
            <w:proofErr w:type="spellEnd"/>
            <w:r w:rsidRPr="008D13B9">
              <w:rPr>
                <w:rFonts w:ascii="Tahoma" w:hAnsi="Tahoma" w:cs="Tahoma"/>
                <w:sz w:val="20"/>
                <w:szCs w:val="20"/>
              </w:rPr>
              <w:t xml:space="preserve">. валютні). Тобто «перетоки» між внутрішнім і зовнішнім боргом вже фактично відбуваються. А згадані вимоги щодо ліцензування та заборона купівлі для нерезидентів через їх інвестиційні рахунки в банках України є штучними.   </w:t>
            </w:r>
          </w:p>
        </w:tc>
        <w:tc>
          <w:tcPr>
            <w:tcW w:w="5040" w:type="dxa"/>
          </w:tcPr>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8D13B9" w:rsidRDefault="00FC3F9F">
            <w:pPr>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2437B0" w:rsidRDefault="00FC3F9F" w:rsidP="00F20CBF">
            <w:pPr>
              <w:jc w:val="both"/>
              <w:rPr>
                <w:rFonts w:ascii="Tahoma" w:hAnsi="Tahoma" w:cs="Tahoma"/>
                <w:sz w:val="20"/>
                <w:szCs w:val="20"/>
              </w:rPr>
            </w:pPr>
          </w:p>
          <w:p w:rsidR="00FC3F9F" w:rsidRPr="008D13B9" w:rsidRDefault="00FC3F9F" w:rsidP="00F20CBF">
            <w:pPr>
              <w:jc w:val="both"/>
              <w:rPr>
                <w:rFonts w:ascii="Tahoma" w:hAnsi="Tahoma" w:cs="Tahoma"/>
                <w:sz w:val="20"/>
                <w:szCs w:val="20"/>
              </w:rPr>
            </w:pPr>
            <w:r w:rsidRPr="008D13B9">
              <w:rPr>
                <w:rFonts w:ascii="Tahoma" w:hAnsi="Tahoma" w:cs="Tahoma"/>
                <w:sz w:val="20"/>
                <w:szCs w:val="20"/>
              </w:rPr>
              <w:lastRenderedPageBreak/>
              <w:t>Скасувати Положення про порядок видачі резидентам індивідуальних ліцензій на переказування іноземної валюти за межі України з метою придбання облігацій зовнішніх державних позик України, затвердженого постановою НБУ від 29.01.2003 р. № 35</w:t>
            </w:r>
          </w:p>
          <w:p w:rsidR="00FC3F9F" w:rsidRPr="008D13B9" w:rsidRDefault="00FC3F9F" w:rsidP="00F20CBF">
            <w:pPr>
              <w:jc w:val="both"/>
              <w:rPr>
                <w:rFonts w:ascii="Tahoma" w:hAnsi="Tahoma" w:cs="Tahoma"/>
                <w:sz w:val="20"/>
                <w:szCs w:val="20"/>
              </w:rPr>
            </w:pPr>
            <w:r>
              <w:rPr>
                <w:rFonts w:ascii="Tahoma" w:hAnsi="Tahoma" w:cs="Tahoma"/>
                <w:color w:val="000000"/>
                <w:sz w:val="20"/>
                <w:szCs w:val="20"/>
              </w:rPr>
              <w:t>В</w:t>
            </w:r>
            <w:r w:rsidRPr="008D13B9">
              <w:rPr>
                <w:rFonts w:ascii="Tahoma" w:hAnsi="Tahoma" w:cs="Tahoma"/>
                <w:color w:val="000000"/>
                <w:sz w:val="20"/>
                <w:szCs w:val="20"/>
              </w:rPr>
              <w:t>несення змін до розділу 16 Інструкції про порядок відкриття, використання і закриття рахунків у національній та іноземних валютах, затвердженої постановою НБУ від 12.11.2003 р. № 492, в частині режиму інвестиційного рахунку (дозволених операцій за рахунком)</w:t>
            </w:r>
          </w:p>
        </w:tc>
      </w:tr>
      <w:tr w:rsidR="00FC3F9F" w:rsidRPr="008D13B9" w:rsidTr="00D203A9">
        <w:trPr>
          <w:gridAfter w:val="1"/>
          <w:wAfter w:w="21" w:type="dxa"/>
        </w:trPr>
        <w:tc>
          <w:tcPr>
            <w:tcW w:w="5125" w:type="dxa"/>
          </w:tcPr>
          <w:p w:rsidR="00FC3F9F" w:rsidRPr="008D13B9" w:rsidRDefault="00FC3F9F">
            <w:pPr>
              <w:rPr>
                <w:rFonts w:ascii="Tahoma" w:hAnsi="Tahoma" w:cs="Tahoma"/>
                <w:sz w:val="20"/>
                <w:szCs w:val="20"/>
              </w:rPr>
            </w:pPr>
            <w:r>
              <w:rPr>
                <w:rFonts w:ascii="Tahoma" w:hAnsi="Tahoma" w:cs="Tahoma"/>
                <w:sz w:val="20"/>
                <w:szCs w:val="20"/>
              </w:rPr>
              <w:lastRenderedPageBreak/>
              <w:t xml:space="preserve">Надати чітке визначення деяким поняттям </w:t>
            </w:r>
            <w:r w:rsidRPr="007F7D2A">
              <w:rPr>
                <w:rFonts w:ascii="Tahoma" w:hAnsi="Tahoma" w:cs="Tahoma"/>
                <w:sz w:val="20"/>
                <w:szCs w:val="20"/>
              </w:rPr>
              <w:t>(наприклад, юр</w:t>
            </w:r>
            <w:r>
              <w:rPr>
                <w:rFonts w:ascii="Tahoma" w:hAnsi="Tahoma" w:cs="Tahoma"/>
                <w:sz w:val="20"/>
                <w:szCs w:val="20"/>
              </w:rPr>
              <w:t>идичні</w:t>
            </w:r>
            <w:r w:rsidRPr="007F7D2A">
              <w:rPr>
                <w:rFonts w:ascii="Tahoma" w:hAnsi="Tahoma" w:cs="Tahoma"/>
                <w:sz w:val="20"/>
                <w:szCs w:val="20"/>
              </w:rPr>
              <w:t xml:space="preserve"> особи нерезиденти, валютне регулювання та валютне законодавство та інші)</w:t>
            </w:r>
          </w:p>
          <w:p w:rsidR="00FC3F9F" w:rsidRPr="008D13B9" w:rsidRDefault="00FC3F9F">
            <w:pPr>
              <w:rPr>
                <w:rFonts w:ascii="Tahoma" w:hAnsi="Tahoma" w:cs="Tahoma"/>
                <w:sz w:val="20"/>
                <w:szCs w:val="20"/>
              </w:rPr>
            </w:pPr>
          </w:p>
        </w:tc>
        <w:tc>
          <w:tcPr>
            <w:tcW w:w="5189" w:type="dxa"/>
          </w:tcPr>
          <w:p w:rsidR="00FC3F9F" w:rsidRPr="008D13B9" w:rsidRDefault="00FC3F9F" w:rsidP="007F7D2A">
            <w:pPr>
              <w:jc w:val="both"/>
              <w:rPr>
                <w:rFonts w:ascii="Tahoma" w:hAnsi="Tahoma" w:cs="Tahoma"/>
                <w:sz w:val="20"/>
                <w:szCs w:val="20"/>
              </w:rPr>
            </w:pPr>
            <w:r w:rsidRPr="007F7D2A">
              <w:rPr>
                <w:rFonts w:ascii="Tahoma" w:hAnsi="Tahoma" w:cs="Tahoma"/>
                <w:sz w:val="20"/>
                <w:szCs w:val="20"/>
              </w:rPr>
              <w:t xml:space="preserve">Може призвести </w:t>
            </w:r>
            <w:r>
              <w:rPr>
                <w:rFonts w:ascii="Tahoma" w:hAnsi="Tahoma" w:cs="Tahoma"/>
                <w:sz w:val="20"/>
                <w:szCs w:val="20"/>
              </w:rPr>
              <w:t xml:space="preserve">до неправильної інтерпретації та, як наслідок, до </w:t>
            </w:r>
            <w:r w:rsidRPr="007F7D2A">
              <w:rPr>
                <w:rFonts w:ascii="Tahoma" w:hAnsi="Tahoma" w:cs="Tahoma"/>
                <w:sz w:val="20"/>
                <w:szCs w:val="20"/>
              </w:rPr>
              <w:t xml:space="preserve"> </w:t>
            </w:r>
            <w:r>
              <w:rPr>
                <w:rFonts w:ascii="Tahoma" w:hAnsi="Tahoma" w:cs="Tahoma"/>
                <w:sz w:val="20"/>
                <w:szCs w:val="20"/>
              </w:rPr>
              <w:t>зловживання законом т</w:t>
            </w:r>
            <w:r w:rsidRPr="007F7D2A">
              <w:rPr>
                <w:rFonts w:ascii="Tahoma" w:hAnsi="Tahoma" w:cs="Tahoma"/>
                <w:sz w:val="20"/>
                <w:szCs w:val="20"/>
              </w:rPr>
              <w:t xml:space="preserve">а </w:t>
            </w:r>
            <w:r>
              <w:rPr>
                <w:rFonts w:ascii="Tahoma" w:hAnsi="Tahoma" w:cs="Tahoma"/>
                <w:sz w:val="20"/>
                <w:szCs w:val="20"/>
              </w:rPr>
              <w:t>застосування його у власних інтересах</w:t>
            </w:r>
            <w:r w:rsidRPr="007F7D2A">
              <w:rPr>
                <w:rFonts w:ascii="Tahoma" w:hAnsi="Tahoma" w:cs="Tahoma"/>
                <w:sz w:val="20"/>
                <w:szCs w:val="20"/>
              </w:rPr>
              <w:t xml:space="preserve"> як зі сторони регулятора, так і учасників ринку</w:t>
            </w:r>
          </w:p>
        </w:tc>
        <w:tc>
          <w:tcPr>
            <w:tcW w:w="5040" w:type="dxa"/>
          </w:tcPr>
          <w:p w:rsidR="00FC3F9F" w:rsidRPr="008D13B9" w:rsidRDefault="00FC3F9F" w:rsidP="007F7D2A">
            <w:pPr>
              <w:jc w:val="center"/>
              <w:rPr>
                <w:rFonts w:ascii="Tahoma" w:hAnsi="Tahoma" w:cs="Tahoma"/>
                <w:sz w:val="20"/>
                <w:szCs w:val="20"/>
              </w:rPr>
            </w:pPr>
            <w:r w:rsidRPr="007F7D2A">
              <w:rPr>
                <w:rFonts w:ascii="Tahoma" w:hAnsi="Tahoma" w:cs="Tahoma"/>
                <w:sz w:val="20"/>
                <w:szCs w:val="20"/>
              </w:rPr>
              <w:t>Доопрацювання проекту Закону</w:t>
            </w:r>
          </w:p>
        </w:tc>
      </w:tr>
      <w:tr w:rsidR="00FC3F9F" w:rsidRPr="008D13B9" w:rsidTr="00D203A9">
        <w:trPr>
          <w:gridAfter w:val="1"/>
          <w:wAfter w:w="21" w:type="dxa"/>
        </w:trPr>
        <w:tc>
          <w:tcPr>
            <w:tcW w:w="5125" w:type="dxa"/>
          </w:tcPr>
          <w:p w:rsidR="00FC3F9F" w:rsidRPr="008D13B9" w:rsidRDefault="00FC3F9F" w:rsidP="00D1678B">
            <w:pPr>
              <w:jc w:val="both"/>
              <w:rPr>
                <w:rFonts w:ascii="Tahoma" w:hAnsi="Tahoma" w:cs="Tahoma"/>
                <w:sz w:val="20"/>
                <w:szCs w:val="20"/>
              </w:rPr>
            </w:pPr>
            <w:r w:rsidRPr="00D1678B">
              <w:rPr>
                <w:rFonts w:ascii="Tahoma" w:hAnsi="Tahoma" w:cs="Tahoma"/>
                <w:sz w:val="20"/>
                <w:szCs w:val="20"/>
              </w:rPr>
              <w:t>Визначити в законі межі та напрями регулювання НБУ та обмежити можливість встановлення додаткових обмежень.</w:t>
            </w:r>
          </w:p>
        </w:tc>
        <w:tc>
          <w:tcPr>
            <w:tcW w:w="5189" w:type="dxa"/>
          </w:tcPr>
          <w:p w:rsidR="00FC3F9F" w:rsidRPr="008D13B9" w:rsidRDefault="00FC3F9F" w:rsidP="003D32F8">
            <w:pPr>
              <w:jc w:val="both"/>
              <w:rPr>
                <w:rFonts w:ascii="Tahoma" w:hAnsi="Tahoma" w:cs="Tahoma"/>
                <w:sz w:val="20"/>
                <w:szCs w:val="20"/>
              </w:rPr>
            </w:pPr>
            <w:r>
              <w:rPr>
                <w:rFonts w:ascii="Tahoma" w:hAnsi="Tahoma" w:cs="Tahoma"/>
                <w:sz w:val="20"/>
                <w:szCs w:val="20"/>
              </w:rPr>
              <w:t xml:space="preserve">Надання широких повноважень НБУ створює </w:t>
            </w:r>
            <w:r w:rsidRPr="00D1678B">
              <w:rPr>
                <w:rFonts w:ascii="Tahoma" w:hAnsi="Tahoma" w:cs="Tahoma"/>
                <w:sz w:val="20"/>
                <w:szCs w:val="20"/>
              </w:rPr>
              <w:t>можливості для зловживань та корупції, а також можливість не дивлячись на лібераль</w:t>
            </w:r>
            <w:r>
              <w:rPr>
                <w:rFonts w:ascii="Tahoma" w:hAnsi="Tahoma" w:cs="Tahoma"/>
                <w:sz w:val="20"/>
                <w:szCs w:val="20"/>
              </w:rPr>
              <w:t>ні загальні норми встановлювати обмеження</w:t>
            </w:r>
            <w:r w:rsidRPr="00D1678B">
              <w:rPr>
                <w:rFonts w:ascii="Tahoma" w:hAnsi="Tahoma" w:cs="Tahoma"/>
                <w:sz w:val="20"/>
                <w:szCs w:val="20"/>
              </w:rPr>
              <w:t xml:space="preserve"> регуляторними актами НБУ</w:t>
            </w:r>
            <w:r>
              <w:rPr>
                <w:rFonts w:ascii="Tahoma" w:hAnsi="Tahoma" w:cs="Tahoma"/>
                <w:sz w:val="20"/>
                <w:szCs w:val="20"/>
              </w:rPr>
              <w:t>.</w:t>
            </w:r>
          </w:p>
        </w:tc>
        <w:tc>
          <w:tcPr>
            <w:tcW w:w="5040" w:type="dxa"/>
          </w:tcPr>
          <w:p w:rsidR="00FC3F9F" w:rsidRPr="008D13B9" w:rsidRDefault="00FC3F9F" w:rsidP="00D1678B">
            <w:pPr>
              <w:jc w:val="center"/>
              <w:rPr>
                <w:rFonts w:ascii="Tahoma" w:hAnsi="Tahoma" w:cs="Tahoma"/>
                <w:sz w:val="20"/>
                <w:szCs w:val="20"/>
              </w:rPr>
            </w:pPr>
            <w:r w:rsidRPr="00D1678B">
              <w:rPr>
                <w:rFonts w:ascii="Tahoma" w:hAnsi="Tahoma" w:cs="Tahoma"/>
                <w:sz w:val="20"/>
                <w:szCs w:val="20"/>
              </w:rPr>
              <w:t>Доопрацювання проекту Закону</w:t>
            </w:r>
          </w:p>
        </w:tc>
      </w:tr>
      <w:tr w:rsidR="00FC3F9F" w:rsidRPr="008D13B9" w:rsidTr="00D203A9">
        <w:trPr>
          <w:gridAfter w:val="1"/>
          <w:wAfter w:w="21" w:type="dxa"/>
        </w:trPr>
        <w:tc>
          <w:tcPr>
            <w:tcW w:w="5125" w:type="dxa"/>
          </w:tcPr>
          <w:p w:rsidR="00FC3F9F" w:rsidRPr="008D13B9" w:rsidRDefault="00FC3F9F" w:rsidP="00583287">
            <w:pPr>
              <w:jc w:val="both"/>
              <w:rPr>
                <w:rFonts w:ascii="Tahoma" w:hAnsi="Tahoma" w:cs="Tahoma"/>
                <w:sz w:val="20"/>
                <w:szCs w:val="20"/>
              </w:rPr>
            </w:pPr>
            <w:r>
              <w:rPr>
                <w:rFonts w:ascii="Tahoma" w:hAnsi="Tahoma" w:cs="Tahoma"/>
                <w:sz w:val="20"/>
                <w:szCs w:val="20"/>
              </w:rPr>
              <w:t>Вилучити зі ст. 10 проекту З</w:t>
            </w:r>
            <w:r w:rsidRPr="00583287">
              <w:rPr>
                <w:rFonts w:ascii="Tahoma" w:hAnsi="Tahoma" w:cs="Tahoma"/>
                <w:sz w:val="20"/>
                <w:szCs w:val="20"/>
              </w:rPr>
              <w:t>акону вимогу про ліцензування операцій факторингу в частині розрахунків</w:t>
            </w:r>
            <w:r>
              <w:rPr>
                <w:rFonts w:ascii="Tahoma" w:hAnsi="Tahoma" w:cs="Tahoma"/>
                <w:sz w:val="20"/>
                <w:szCs w:val="20"/>
              </w:rPr>
              <w:t>.</w:t>
            </w:r>
          </w:p>
        </w:tc>
        <w:tc>
          <w:tcPr>
            <w:tcW w:w="5189" w:type="dxa"/>
          </w:tcPr>
          <w:p w:rsidR="00FC3F9F" w:rsidRPr="008D13B9" w:rsidRDefault="00FC3F9F" w:rsidP="00583287">
            <w:pPr>
              <w:jc w:val="both"/>
              <w:rPr>
                <w:rFonts w:ascii="Tahoma" w:hAnsi="Tahoma" w:cs="Tahoma"/>
                <w:sz w:val="20"/>
                <w:szCs w:val="20"/>
              </w:rPr>
            </w:pPr>
            <w:r w:rsidRPr="00583287">
              <w:rPr>
                <w:rFonts w:ascii="Tahoma" w:hAnsi="Tahoma" w:cs="Tahoma"/>
                <w:sz w:val="20"/>
                <w:szCs w:val="20"/>
              </w:rPr>
              <w:t xml:space="preserve">Розрахунки за операціями факторингу між резидентами і нерезидентами покриваються ліцензуванням розрахунків в іноземній валюті (ця ж стаття 10 проекту закону) а ліцензування факторингу як професійної діяльності здійснюється на підставі інших законів (Про </w:t>
            </w:r>
            <w:proofErr w:type="spellStart"/>
            <w:r w:rsidRPr="00583287">
              <w:rPr>
                <w:rFonts w:ascii="Tahoma" w:hAnsi="Tahoma" w:cs="Tahoma"/>
                <w:sz w:val="20"/>
                <w:szCs w:val="20"/>
              </w:rPr>
              <w:t>ф</w:t>
            </w:r>
            <w:r>
              <w:rPr>
                <w:rFonts w:ascii="Tahoma" w:hAnsi="Tahoma" w:cs="Tahoma"/>
                <w:sz w:val="20"/>
                <w:szCs w:val="20"/>
              </w:rPr>
              <w:t>ін</w:t>
            </w:r>
            <w:r w:rsidRPr="00583287">
              <w:rPr>
                <w:rFonts w:ascii="Tahoma" w:hAnsi="Tahoma" w:cs="Tahoma"/>
                <w:sz w:val="20"/>
                <w:szCs w:val="20"/>
              </w:rPr>
              <w:t>послуги</w:t>
            </w:r>
            <w:proofErr w:type="spellEnd"/>
            <w:r w:rsidRPr="00583287">
              <w:rPr>
                <w:rFonts w:ascii="Tahoma" w:hAnsi="Tahoma" w:cs="Tahoma"/>
                <w:sz w:val="20"/>
                <w:szCs w:val="20"/>
              </w:rPr>
              <w:t>, Про ліцензування…) тому ця норма лише створює необґрунтовані перепони для подільних операцій</w:t>
            </w:r>
            <w:r>
              <w:rPr>
                <w:rFonts w:ascii="Tahoma" w:hAnsi="Tahoma" w:cs="Tahoma"/>
                <w:sz w:val="20"/>
                <w:szCs w:val="20"/>
              </w:rPr>
              <w:t>.</w:t>
            </w:r>
          </w:p>
        </w:tc>
        <w:tc>
          <w:tcPr>
            <w:tcW w:w="5040" w:type="dxa"/>
          </w:tcPr>
          <w:p w:rsidR="00FC3F9F" w:rsidRPr="008D13B9" w:rsidRDefault="00FC3F9F" w:rsidP="00583287">
            <w:pPr>
              <w:jc w:val="center"/>
              <w:rPr>
                <w:rFonts w:ascii="Tahoma" w:hAnsi="Tahoma" w:cs="Tahoma"/>
                <w:sz w:val="20"/>
                <w:szCs w:val="20"/>
              </w:rPr>
            </w:pPr>
            <w:r w:rsidRPr="00583287">
              <w:rPr>
                <w:rFonts w:ascii="Tahoma" w:hAnsi="Tahoma" w:cs="Tahoma"/>
                <w:sz w:val="20"/>
                <w:szCs w:val="20"/>
              </w:rPr>
              <w:t>Доопрацювання проекту Закону</w:t>
            </w:r>
          </w:p>
        </w:tc>
      </w:tr>
      <w:tr w:rsidR="00FC3F9F" w:rsidRPr="008D13B9" w:rsidTr="00D203A9">
        <w:trPr>
          <w:gridAfter w:val="1"/>
          <w:wAfter w:w="21" w:type="dxa"/>
        </w:trPr>
        <w:tc>
          <w:tcPr>
            <w:tcW w:w="5125" w:type="dxa"/>
          </w:tcPr>
          <w:p w:rsidR="00FC3F9F" w:rsidRPr="008D13B9" w:rsidRDefault="00FC3F9F" w:rsidP="00BF04B8">
            <w:pPr>
              <w:jc w:val="both"/>
              <w:rPr>
                <w:rFonts w:ascii="Tahoma" w:hAnsi="Tahoma" w:cs="Tahoma"/>
                <w:sz w:val="20"/>
                <w:szCs w:val="20"/>
              </w:rPr>
            </w:pPr>
            <w:r w:rsidRPr="00BF04B8">
              <w:rPr>
                <w:rFonts w:ascii="Tahoma" w:hAnsi="Tahoma" w:cs="Tahoma"/>
                <w:sz w:val="20"/>
                <w:szCs w:val="20"/>
              </w:rPr>
              <w:t>Врегулювати проведення операцій факторингу та операцій з відступлення права вимоги в цілому у будь-якій валюті</w:t>
            </w:r>
            <w:r>
              <w:rPr>
                <w:rFonts w:ascii="Tahoma" w:hAnsi="Tahoma" w:cs="Tahoma"/>
                <w:sz w:val="20"/>
                <w:szCs w:val="20"/>
              </w:rPr>
              <w:t>.</w:t>
            </w:r>
          </w:p>
        </w:tc>
        <w:tc>
          <w:tcPr>
            <w:tcW w:w="5189" w:type="dxa"/>
          </w:tcPr>
          <w:p w:rsidR="00FC3F9F" w:rsidRPr="008D13B9" w:rsidRDefault="00FC3F9F" w:rsidP="00B87F4C">
            <w:pPr>
              <w:jc w:val="both"/>
              <w:rPr>
                <w:rFonts w:ascii="Tahoma" w:hAnsi="Tahoma" w:cs="Tahoma"/>
                <w:sz w:val="20"/>
                <w:szCs w:val="20"/>
              </w:rPr>
            </w:pPr>
            <w:r w:rsidRPr="00BF04B8">
              <w:rPr>
                <w:rFonts w:ascii="Tahoma" w:hAnsi="Tahoma" w:cs="Tahoma"/>
                <w:sz w:val="20"/>
                <w:szCs w:val="20"/>
              </w:rPr>
              <w:t xml:space="preserve">Існуюча на сьогоднішній день </w:t>
            </w:r>
            <w:r>
              <w:rPr>
                <w:rFonts w:ascii="Tahoma" w:hAnsi="Tahoma" w:cs="Tahoma"/>
                <w:sz w:val="20"/>
                <w:szCs w:val="20"/>
              </w:rPr>
              <w:t>практика визнавати  правочини</w:t>
            </w:r>
            <w:r w:rsidRPr="00BF04B8">
              <w:rPr>
                <w:rFonts w:ascii="Tahoma" w:hAnsi="Tahoma" w:cs="Tahoma"/>
                <w:sz w:val="20"/>
                <w:szCs w:val="20"/>
              </w:rPr>
              <w:t xml:space="preserve"> відступлення права вимоги операціями факторингу, застосовувана як недобросовісними позичальника</w:t>
            </w:r>
            <w:r>
              <w:rPr>
                <w:rFonts w:ascii="Tahoma" w:hAnsi="Tahoma" w:cs="Tahoma"/>
                <w:sz w:val="20"/>
                <w:szCs w:val="20"/>
              </w:rPr>
              <w:t>ми, так і податковими органами</w:t>
            </w:r>
            <w:r w:rsidRPr="00BF04B8">
              <w:rPr>
                <w:rFonts w:ascii="Tahoma" w:hAnsi="Tahoma" w:cs="Tahoma"/>
                <w:sz w:val="20"/>
                <w:szCs w:val="20"/>
              </w:rPr>
              <w:t>, абсолютно не відповідає а ні суті цих операцій, а ні міжнародній практиці. Факторинг відповідно до міжнародної практики, зокрема Конвенція UNIDROIT про</w:t>
            </w:r>
            <w:r>
              <w:rPr>
                <w:rFonts w:ascii="Tahoma" w:hAnsi="Tahoma" w:cs="Tahoma"/>
                <w:sz w:val="20"/>
                <w:szCs w:val="20"/>
              </w:rPr>
              <w:t xml:space="preserve"> міжнародний факторинг (</w:t>
            </w:r>
            <w:r w:rsidRPr="00BF04B8">
              <w:rPr>
                <w:rFonts w:ascii="Tahoma" w:hAnsi="Tahoma" w:cs="Tahoma"/>
                <w:sz w:val="20"/>
                <w:szCs w:val="20"/>
              </w:rPr>
              <w:t xml:space="preserve">ратифікована </w:t>
            </w:r>
            <w:r w:rsidRPr="00BF04B8">
              <w:rPr>
                <w:rFonts w:ascii="Tahoma" w:hAnsi="Tahoma" w:cs="Tahoma"/>
                <w:sz w:val="20"/>
                <w:szCs w:val="20"/>
              </w:rPr>
              <w:lastRenderedPageBreak/>
              <w:t>Україною) це операція з торгового фінансування, де відступлення є одним з елементів такого правочину. Тоді як в Україні будь-які транзакції з дисконтом намагаються визнати факторингом, що не відповідає а ні суті транзакції, а ні світовій практиці.</w:t>
            </w:r>
          </w:p>
        </w:tc>
        <w:tc>
          <w:tcPr>
            <w:tcW w:w="5040" w:type="dxa"/>
          </w:tcPr>
          <w:p w:rsidR="00FC3F9F" w:rsidRPr="008D13B9" w:rsidRDefault="00FC3F9F" w:rsidP="00B87F4C">
            <w:pPr>
              <w:jc w:val="both"/>
              <w:rPr>
                <w:rFonts w:ascii="Tahoma" w:hAnsi="Tahoma" w:cs="Tahoma"/>
                <w:sz w:val="20"/>
                <w:szCs w:val="20"/>
              </w:rPr>
            </w:pPr>
            <w:r>
              <w:rPr>
                <w:rFonts w:ascii="Tahoma" w:hAnsi="Tahoma" w:cs="Tahoma"/>
                <w:sz w:val="20"/>
                <w:szCs w:val="20"/>
              </w:rPr>
              <w:lastRenderedPageBreak/>
              <w:t>Внесення змін до</w:t>
            </w:r>
            <w:r w:rsidRPr="00BF04B8">
              <w:rPr>
                <w:rFonts w:ascii="Tahoma" w:hAnsi="Tahoma" w:cs="Tahoma"/>
                <w:sz w:val="20"/>
                <w:szCs w:val="20"/>
              </w:rPr>
              <w:t xml:space="preserve"> ЦК, доопрацювати закон про валюту</w:t>
            </w:r>
          </w:p>
        </w:tc>
      </w:tr>
      <w:tr w:rsidR="00FC3F9F" w:rsidRPr="008D13B9" w:rsidTr="00D203A9">
        <w:trPr>
          <w:gridAfter w:val="1"/>
          <w:wAfter w:w="21" w:type="dxa"/>
        </w:trPr>
        <w:tc>
          <w:tcPr>
            <w:tcW w:w="5125" w:type="dxa"/>
          </w:tcPr>
          <w:p w:rsidR="00FC3F9F" w:rsidRPr="008D13B9" w:rsidRDefault="00FC3F9F" w:rsidP="009728B7">
            <w:pPr>
              <w:jc w:val="both"/>
              <w:rPr>
                <w:rFonts w:ascii="Tahoma" w:hAnsi="Tahoma" w:cs="Tahoma"/>
                <w:sz w:val="20"/>
                <w:szCs w:val="20"/>
              </w:rPr>
            </w:pPr>
            <w:r>
              <w:rPr>
                <w:rFonts w:ascii="Tahoma" w:hAnsi="Tahoma" w:cs="Tahoma"/>
                <w:sz w:val="20"/>
                <w:szCs w:val="20"/>
              </w:rPr>
              <w:t xml:space="preserve">Надати чіткі критерії визначення </w:t>
            </w:r>
            <w:r w:rsidRPr="009728B7">
              <w:rPr>
                <w:rFonts w:ascii="Tahoma" w:hAnsi="Tahoma" w:cs="Tahoma"/>
                <w:sz w:val="20"/>
                <w:szCs w:val="20"/>
              </w:rPr>
              <w:t>нестійкого фінансового стану банківської системи, тиску на платіжний баланс України, виникнення обставин, що загрожують стабільності банківської т</w:t>
            </w:r>
            <w:r>
              <w:rPr>
                <w:rFonts w:ascii="Tahoma" w:hAnsi="Tahoma" w:cs="Tahoma"/>
                <w:sz w:val="20"/>
                <w:szCs w:val="20"/>
              </w:rPr>
              <w:t>а/або фінансової системи країни,</w:t>
            </w:r>
            <w:r w:rsidRPr="009728B7">
              <w:rPr>
                <w:rFonts w:ascii="Tahoma" w:hAnsi="Tahoma" w:cs="Tahoma"/>
                <w:sz w:val="20"/>
                <w:szCs w:val="20"/>
              </w:rPr>
              <w:t xml:space="preserve"> за якого </w:t>
            </w:r>
            <w:r>
              <w:rPr>
                <w:rFonts w:ascii="Tahoma" w:hAnsi="Tahoma" w:cs="Tahoma"/>
                <w:sz w:val="20"/>
                <w:szCs w:val="20"/>
              </w:rPr>
              <w:t>вводяться заходи захисту відповідно до с</w:t>
            </w:r>
            <w:r w:rsidRPr="009728B7">
              <w:rPr>
                <w:rFonts w:ascii="Tahoma" w:hAnsi="Tahoma" w:cs="Tahoma"/>
                <w:sz w:val="20"/>
                <w:szCs w:val="20"/>
              </w:rPr>
              <w:t>т. 13 Закону</w:t>
            </w:r>
            <w:r>
              <w:rPr>
                <w:rFonts w:ascii="Tahoma" w:hAnsi="Tahoma" w:cs="Tahoma"/>
                <w:sz w:val="20"/>
                <w:szCs w:val="20"/>
              </w:rPr>
              <w:t>.</w:t>
            </w:r>
          </w:p>
        </w:tc>
        <w:tc>
          <w:tcPr>
            <w:tcW w:w="5189" w:type="dxa"/>
          </w:tcPr>
          <w:p w:rsidR="00FC3F9F" w:rsidRPr="008D13B9" w:rsidRDefault="00FC3F9F">
            <w:pPr>
              <w:rPr>
                <w:rFonts w:ascii="Tahoma" w:hAnsi="Tahoma" w:cs="Tahoma"/>
                <w:sz w:val="20"/>
                <w:szCs w:val="20"/>
              </w:rPr>
            </w:pPr>
          </w:p>
        </w:tc>
        <w:tc>
          <w:tcPr>
            <w:tcW w:w="5040" w:type="dxa"/>
          </w:tcPr>
          <w:p w:rsidR="00FC3F9F" w:rsidRPr="008D13B9" w:rsidRDefault="00FC3F9F">
            <w:pPr>
              <w:rPr>
                <w:rFonts w:ascii="Tahoma" w:hAnsi="Tahoma" w:cs="Tahoma"/>
                <w:sz w:val="20"/>
                <w:szCs w:val="20"/>
              </w:rPr>
            </w:pPr>
            <w:r w:rsidRPr="005C30EF">
              <w:rPr>
                <w:rFonts w:ascii="Tahoma" w:hAnsi="Tahoma" w:cs="Tahoma"/>
                <w:sz w:val="20"/>
                <w:szCs w:val="20"/>
              </w:rPr>
              <w:t>Доопрацювання проекту Закону</w:t>
            </w:r>
            <w:r>
              <w:t xml:space="preserve"> \</w:t>
            </w:r>
            <w:r w:rsidRPr="005C30EF">
              <w:rPr>
                <w:rFonts w:ascii="Tahoma" w:hAnsi="Tahoma" w:cs="Tahoma"/>
                <w:sz w:val="20"/>
                <w:szCs w:val="20"/>
              </w:rPr>
              <w:t>Лист роз’яснення НБУ</w:t>
            </w:r>
          </w:p>
        </w:tc>
      </w:tr>
      <w:tr w:rsidR="00FC3F9F" w:rsidRPr="008D13B9" w:rsidTr="00D203A9">
        <w:trPr>
          <w:gridAfter w:val="1"/>
          <w:wAfter w:w="21" w:type="dxa"/>
        </w:trPr>
        <w:tc>
          <w:tcPr>
            <w:tcW w:w="5125" w:type="dxa"/>
          </w:tcPr>
          <w:p w:rsidR="00FC3F9F" w:rsidRPr="008D13B9" w:rsidRDefault="00FC3F9F" w:rsidP="00332586">
            <w:pPr>
              <w:rPr>
                <w:rFonts w:ascii="Tahoma" w:hAnsi="Tahoma" w:cs="Tahoma"/>
                <w:sz w:val="20"/>
                <w:szCs w:val="20"/>
              </w:rPr>
            </w:pPr>
            <w:r>
              <w:rPr>
                <w:rFonts w:ascii="Tahoma" w:hAnsi="Tahoma" w:cs="Tahoma"/>
                <w:sz w:val="20"/>
                <w:szCs w:val="20"/>
              </w:rPr>
              <w:t>Скасування обмежень щодо дивідендів.</w:t>
            </w:r>
          </w:p>
        </w:tc>
        <w:tc>
          <w:tcPr>
            <w:tcW w:w="5189" w:type="dxa"/>
          </w:tcPr>
          <w:p w:rsidR="00FC3F9F" w:rsidRPr="008D13B9" w:rsidRDefault="00FC3F9F" w:rsidP="00C06447">
            <w:pPr>
              <w:jc w:val="both"/>
              <w:rPr>
                <w:rFonts w:ascii="Tahoma" w:hAnsi="Tahoma" w:cs="Tahoma"/>
                <w:sz w:val="20"/>
                <w:szCs w:val="20"/>
              </w:rPr>
            </w:pPr>
            <w:r w:rsidRPr="00332586">
              <w:rPr>
                <w:rFonts w:ascii="Tahoma" w:hAnsi="Tahoma" w:cs="Tahoma"/>
                <w:sz w:val="20"/>
                <w:szCs w:val="20"/>
              </w:rPr>
              <w:t>Поточний рівень чистих інвестиційних надходжень є надзвичайно низьким (прямі іноземних інвестиції, що вкрай необхідні країні, становлять менше 250 мільйонів доларів США протягом кварталу). Переважна більшість іноземних інвесторів розцінює дивіденди як одн</w:t>
            </w:r>
            <w:r w:rsidR="00C06447">
              <w:rPr>
                <w:rFonts w:ascii="Tahoma" w:hAnsi="Tahoma" w:cs="Tahoma"/>
                <w:sz w:val="20"/>
                <w:szCs w:val="20"/>
              </w:rPr>
              <w:t>е</w:t>
            </w:r>
            <w:r w:rsidRPr="00332586">
              <w:rPr>
                <w:rFonts w:ascii="Tahoma" w:hAnsi="Tahoma" w:cs="Tahoma"/>
                <w:sz w:val="20"/>
                <w:szCs w:val="20"/>
              </w:rPr>
              <w:t xml:space="preserve"> із фундаментальних прав бізнесу і найбільш прозорий шлях повернення отриманих прибутків. </w:t>
            </w:r>
          </w:p>
        </w:tc>
        <w:tc>
          <w:tcPr>
            <w:tcW w:w="5040" w:type="dxa"/>
          </w:tcPr>
          <w:p w:rsidR="00FC3F9F" w:rsidRPr="008D13B9" w:rsidRDefault="00FC3F9F" w:rsidP="00332586">
            <w:pPr>
              <w:jc w:val="center"/>
              <w:rPr>
                <w:rFonts w:ascii="Tahoma" w:hAnsi="Tahoma" w:cs="Tahoma"/>
                <w:sz w:val="20"/>
                <w:szCs w:val="20"/>
              </w:rPr>
            </w:pPr>
            <w:r w:rsidRPr="00332586">
              <w:rPr>
                <w:rFonts w:ascii="Tahoma" w:hAnsi="Tahoma" w:cs="Tahoma"/>
                <w:sz w:val="20"/>
                <w:szCs w:val="20"/>
              </w:rPr>
              <w:t>Постанова НБУ</w:t>
            </w:r>
          </w:p>
        </w:tc>
      </w:tr>
      <w:tr w:rsidR="00FC3F9F" w:rsidRPr="008D13B9" w:rsidTr="00D203A9">
        <w:trPr>
          <w:gridAfter w:val="1"/>
          <w:wAfter w:w="21" w:type="dxa"/>
        </w:trPr>
        <w:tc>
          <w:tcPr>
            <w:tcW w:w="5125" w:type="dxa"/>
          </w:tcPr>
          <w:p w:rsidR="00FC3F9F" w:rsidRDefault="00FC3F9F" w:rsidP="00332586">
            <w:pPr>
              <w:pStyle w:val="NormalWeb"/>
              <w:spacing w:before="0" w:beforeAutospacing="0" w:after="0" w:afterAutospacing="0"/>
              <w:rPr>
                <w:rFonts w:ascii="Tahoma" w:hAnsi="Tahoma" w:cs="Tahoma"/>
                <w:b/>
                <w:bCs/>
                <w:sz w:val="20"/>
                <w:szCs w:val="20"/>
              </w:rPr>
            </w:pPr>
            <w:r>
              <w:rPr>
                <w:rFonts w:ascii="Tahoma" w:hAnsi="Tahoma" w:cs="Tahoma"/>
                <w:sz w:val="20"/>
                <w:szCs w:val="20"/>
              </w:rPr>
              <w:t>Скасування обмежень щодо дострокового погашення кредитів.</w:t>
            </w:r>
          </w:p>
          <w:p w:rsidR="00FC3F9F" w:rsidRPr="00332586" w:rsidRDefault="00FC3F9F">
            <w:pPr>
              <w:rPr>
                <w:rFonts w:ascii="Tahoma" w:hAnsi="Tahoma" w:cs="Tahoma"/>
                <w:b/>
                <w:sz w:val="20"/>
                <w:szCs w:val="20"/>
              </w:rPr>
            </w:pPr>
          </w:p>
        </w:tc>
        <w:tc>
          <w:tcPr>
            <w:tcW w:w="5189" w:type="dxa"/>
          </w:tcPr>
          <w:p w:rsidR="00FC3F9F" w:rsidRPr="008D13B9" w:rsidRDefault="00FC3F9F" w:rsidP="00402CE7">
            <w:pPr>
              <w:jc w:val="both"/>
              <w:rPr>
                <w:rFonts w:ascii="Tahoma" w:hAnsi="Tahoma" w:cs="Tahoma"/>
                <w:sz w:val="20"/>
                <w:szCs w:val="20"/>
              </w:rPr>
            </w:pPr>
            <w:r w:rsidRPr="00332586">
              <w:rPr>
                <w:rFonts w:ascii="Tahoma" w:hAnsi="Tahoma" w:cs="Tahoma"/>
                <w:sz w:val="20"/>
                <w:szCs w:val="20"/>
              </w:rPr>
              <w:t>На даний момент обмеження щодо дострокового погашення кредитів були усунуті частково. Однак</w:t>
            </w:r>
            <w:r>
              <w:rPr>
                <w:rFonts w:ascii="Tahoma" w:hAnsi="Tahoma" w:cs="Tahoma"/>
                <w:sz w:val="20"/>
                <w:szCs w:val="20"/>
              </w:rPr>
              <w:t>,</w:t>
            </w:r>
            <w:r w:rsidRPr="00332586">
              <w:rPr>
                <w:rFonts w:ascii="Tahoma" w:hAnsi="Tahoma" w:cs="Tahoma"/>
                <w:sz w:val="20"/>
                <w:szCs w:val="20"/>
              </w:rPr>
              <w:t xml:space="preserve"> багато прозорих великих суб’єктів господарської діяльності, які раніше залучили фінансові ресурси під високі відсоткові ставки та бажають повернути їх, досі не можуть зробити цього через обмеження, що були запроваджені НБУ. </w:t>
            </w:r>
            <w:r>
              <w:rPr>
                <w:rFonts w:ascii="Tahoma" w:hAnsi="Tahoma" w:cs="Tahoma"/>
                <w:sz w:val="20"/>
                <w:szCs w:val="20"/>
              </w:rPr>
              <w:t xml:space="preserve">Функція моніторингу дозволить НБУ </w:t>
            </w:r>
            <w:r w:rsidRPr="00332586">
              <w:rPr>
                <w:rFonts w:ascii="Tahoma" w:hAnsi="Tahoma" w:cs="Tahoma"/>
                <w:sz w:val="20"/>
                <w:szCs w:val="20"/>
              </w:rPr>
              <w:t>відслідковувати дострокові погашення кредитів закордонним кредиторам і ставити під сумніви лише підозрілі та непрозорі транзакції.</w:t>
            </w:r>
          </w:p>
        </w:tc>
        <w:tc>
          <w:tcPr>
            <w:tcW w:w="5040" w:type="dxa"/>
          </w:tcPr>
          <w:p w:rsidR="00FC3F9F" w:rsidRPr="008D13B9" w:rsidRDefault="00FC3F9F" w:rsidP="00332586">
            <w:pPr>
              <w:jc w:val="center"/>
              <w:rPr>
                <w:rFonts w:ascii="Tahoma" w:hAnsi="Tahoma" w:cs="Tahoma"/>
                <w:sz w:val="20"/>
                <w:szCs w:val="20"/>
              </w:rPr>
            </w:pPr>
            <w:r w:rsidRPr="00332586">
              <w:rPr>
                <w:rFonts w:ascii="Tahoma" w:hAnsi="Tahoma" w:cs="Tahoma"/>
                <w:sz w:val="20"/>
                <w:szCs w:val="20"/>
              </w:rPr>
              <w:t>Постанова НБУ</w:t>
            </w:r>
          </w:p>
        </w:tc>
      </w:tr>
      <w:tr w:rsidR="00FC3F9F" w:rsidRPr="008D13B9" w:rsidTr="00D203A9">
        <w:trPr>
          <w:gridAfter w:val="1"/>
          <w:wAfter w:w="21" w:type="dxa"/>
        </w:trPr>
        <w:tc>
          <w:tcPr>
            <w:tcW w:w="5125" w:type="dxa"/>
          </w:tcPr>
          <w:p w:rsidR="00FC3F9F" w:rsidRPr="008D13B9" w:rsidRDefault="00FC3F9F">
            <w:pPr>
              <w:rPr>
                <w:rFonts w:ascii="Tahoma" w:hAnsi="Tahoma" w:cs="Tahoma"/>
                <w:sz w:val="20"/>
                <w:szCs w:val="20"/>
              </w:rPr>
            </w:pPr>
            <w:r w:rsidRPr="00B9445C">
              <w:rPr>
                <w:rFonts w:ascii="Tahoma" w:hAnsi="Tahoma" w:cs="Tahoma"/>
                <w:sz w:val="20"/>
                <w:szCs w:val="20"/>
              </w:rPr>
              <w:t>Відміна обов'язкового продажу надходжень в іноземній валюті у розмірі 50 відсотків</w:t>
            </w:r>
          </w:p>
        </w:tc>
        <w:tc>
          <w:tcPr>
            <w:tcW w:w="5189" w:type="dxa"/>
          </w:tcPr>
          <w:p w:rsidR="00FC3F9F" w:rsidRPr="00B9445C" w:rsidRDefault="00FC3F9F" w:rsidP="00FC3F9F">
            <w:pPr>
              <w:pStyle w:val="ListParagraph"/>
              <w:numPr>
                <w:ilvl w:val="0"/>
                <w:numId w:val="10"/>
              </w:numPr>
              <w:tabs>
                <w:tab w:val="left" w:pos="350"/>
              </w:tabs>
              <w:spacing w:line="240" w:lineRule="auto"/>
              <w:ind w:left="120" w:firstLine="0"/>
              <w:jc w:val="both"/>
              <w:rPr>
                <w:rFonts w:ascii="Tahoma" w:hAnsi="Tahoma" w:cs="Tahoma"/>
                <w:sz w:val="20"/>
                <w:szCs w:val="20"/>
              </w:rPr>
            </w:pPr>
            <w:r w:rsidRPr="00B9445C">
              <w:rPr>
                <w:rFonts w:ascii="Tahoma" w:hAnsi="Tahoma" w:cs="Tahoma"/>
                <w:sz w:val="20"/>
                <w:szCs w:val="20"/>
              </w:rPr>
              <w:t>По-перше, це позбавляє клієнта права самостійно розпоряджатися валютними коштами, тим самим створюючи ризики фінансових втрат за рахунок коливань курсу валют;</w:t>
            </w:r>
          </w:p>
          <w:p w:rsidR="00FC3F9F" w:rsidRPr="00B9445C" w:rsidRDefault="00FC3F9F" w:rsidP="00B9445C">
            <w:pPr>
              <w:ind w:left="120"/>
              <w:jc w:val="both"/>
              <w:rPr>
                <w:rFonts w:ascii="Tahoma" w:hAnsi="Tahoma" w:cs="Tahoma"/>
                <w:sz w:val="20"/>
                <w:szCs w:val="20"/>
              </w:rPr>
            </w:pPr>
          </w:p>
          <w:p w:rsidR="00FC3F9F" w:rsidRPr="00B9445C" w:rsidRDefault="00FC3F9F" w:rsidP="00FC3F9F">
            <w:pPr>
              <w:pStyle w:val="ListParagraph"/>
              <w:numPr>
                <w:ilvl w:val="0"/>
                <w:numId w:val="10"/>
              </w:numPr>
              <w:tabs>
                <w:tab w:val="left" w:pos="334"/>
              </w:tabs>
              <w:spacing w:line="240" w:lineRule="auto"/>
              <w:ind w:left="120" w:firstLine="0"/>
              <w:jc w:val="both"/>
              <w:rPr>
                <w:rFonts w:ascii="Tahoma" w:hAnsi="Tahoma" w:cs="Tahoma"/>
                <w:sz w:val="20"/>
                <w:szCs w:val="20"/>
              </w:rPr>
            </w:pPr>
            <w:r w:rsidRPr="00B9445C">
              <w:rPr>
                <w:rFonts w:ascii="Tahoma" w:hAnsi="Tahoma" w:cs="Tahoma"/>
                <w:sz w:val="20"/>
                <w:szCs w:val="20"/>
              </w:rPr>
              <w:t xml:space="preserve">По-друге, такий обов'язковий продаж здійснюється банком лише наступного робочого </w:t>
            </w:r>
            <w:r w:rsidRPr="00B9445C">
              <w:rPr>
                <w:rFonts w:ascii="Tahoma" w:hAnsi="Tahoma" w:cs="Tahoma"/>
                <w:sz w:val="20"/>
                <w:szCs w:val="20"/>
              </w:rPr>
              <w:lastRenderedPageBreak/>
              <w:t>дня після надходження, що затримує можливість використання коштів, що надійшли на рахунок клієнта.</w:t>
            </w:r>
          </w:p>
        </w:tc>
        <w:tc>
          <w:tcPr>
            <w:tcW w:w="5040" w:type="dxa"/>
          </w:tcPr>
          <w:p w:rsidR="00FC3F9F" w:rsidRPr="008D13B9" w:rsidRDefault="00FC3F9F" w:rsidP="00B9445C">
            <w:pPr>
              <w:jc w:val="center"/>
              <w:rPr>
                <w:rFonts w:ascii="Tahoma" w:hAnsi="Tahoma" w:cs="Tahoma"/>
                <w:sz w:val="20"/>
                <w:szCs w:val="20"/>
              </w:rPr>
            </w:pPr>
            <w:r w:rsidRPr="00B9445C">
              <w:rPr>
                <w:rFonts w:ascii="Tahoma" w:hAnsi="Tahoma" w:cs="Tahoma"/>
                <w:sz w:val="20"/>
                <w:szCs w:val="20"/>
              </w:rPr>
              <w:lastRenderedPageBreak/>
              <w:t>Постанова НБУ</w:t>
            </w:r>
          </w:p>
        </w:tc>
      </w:tr>
    </w:tbl>
    <w:p w:rsidR="00FC3F9F" w:rsidRPr="008D13B9" w:rsidRDefault="00FC3F9F">
      <w:pPr>
        <w:rPr>
          <w:rFonts w:ascii="Tahoma" w:hAnsi="Tahoma" w:cs="Tahoma"/>
          <w:sz w:val="20"/>
          <w:szCs w:val="20"/>
        </w:rPr>
      </w:pPr>
    </w:p>
    <w:p w:rsidR="00FC3F9F" w:rsidRPr="00FC3F9F" w:rsidRDefault="00FC3F9F" w:rsidP="00FC3F9F">
      <w:pPr>
        <w:rPr>
          <w:rFonts w:ascii="Times New Roman" w:hAnsi="Times New Roman" w:cs="Times New Roman"/>
          <w:b/>
          <w:sz w:val="24"/>
          <w:szCs w:val="24"/>
          <w:lang w:val="en-US"/>
        </w:rPr>
      </w:pPr>
    </w:p>
    <w:sectPr w:rsidR="00FC3F9F" w:rsidRPr="00FC3F9F" w:rsidSect="00FC3F9F">
      <w:headerReference w:type="default" r:id="rId15"/>
      <w:footerReference w:type="default" r:id="rId16"/>
      <w:pgSz w:w="16838" w:h="11906" w:orient="landscape"/>
      <w:pgMar w:top="1418" w:right="1418" w:bottom="709"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5F5" w:rsidRDefault="00D755F5" w:rsidP="00341EBB">
      <w:pPr>
        <w:spacing w:after="0" w:line="240" w:lineRule="auto"/>
      </w:pPr>
      <w:r>
        <w:separator/>
      </w:r>
    </w:p>
  </w:endnote>
  <w:endnote w:type="continuationSeparator" w:id="0">
    <w:p w:rsidR="00D755F5" w:rsidRDefault="00D755F5"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D" w:rsidRDefault="00B31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D" w:rsidRDefault="00B31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2D" w:rsidRDefault="00B31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8E" w:rsidRPr="00FC3F9F" w:rsidRDefault="00D755F5">
    <w:pPr>
      <w:pStyle w:val="Footer"/>
      <w:pBdr>
        <w:top w:val="thinThickSmallGap" w:sz="24" w:space="1" w:color="823B0B" w:themeColor="accent2" w:themeShade="7F"/>
      </w:pBdr>
      <w:rPr>
        <w:rFonts w:asciiTheme="majorHAnsi" w:eastAsiaTheme="majorEastAsia" w:hAnsiTheme="majorHAnsi" w:cstheme="majorBidi"/>
        <w:lang w:val="en-US"/>
      </w:rPr>
    </w:pPr>
    <w:hyperlink r:id="rId1" w:history="1">
      <w:r w:rsidR="00B44A23" w:rsidRPr="006E684C">
        <w:rPr>
          <w:rStyle w:val="Hyperlink"/>
          <w:rFonts w:ascii="Cambria" w:hAnsi="Cambria"/>
          <w:lang w:val="en-US"/>
        </w:rPr>
        <w:t>www.chamber.ua</w:t>
      </w:r>
    </w:hyperlink>
    <w:r w:rsidR="00B44A23">
      <w:rPr>
        <w:rFonts w:ascii="Cambria" w:hAnsi="Cambria"/>
        <w:lang w:val="en-US"/>
      </w:rPr>
      <w:tab/>
    </w:r>
    <w:r w:rsidR="00B44A23">
      <w:rPr>
        <w:rFonts w:ascii="Cambria" w:hAnsi="Cambria"/>
        <w:lang w:val="en-US"/>
      </w:rPr>
      <w:tab/>
    </w:r>
    <w:r w:rsidR="00B44A23">
      <w:rPr>
        <w:rFonts w:asciiTheme="majorHAnsi" w:eastAsiaTheme="majorEastAsia" w:hAnsiTheme="majorHAnsi" w:cstheme="majorBidi"/>
      </w:rPr>
      <w:ptab w:relativeTo="margin" w:alignment="right" w:leader="none"/>
    </w:r>
    <w:r w:rsidR="00B44A23">
      <w:rPr>
        <w:rFonts w:asciiTheme="majorHAnsi" w:eastAsiaTheme="majorEastAsia" w:hAnsiTheme="majorHAnsi" w:cstheme="majorBidi"/>
      </w:rPr>
      <w:t xml:space="preserve"> </w:t>
    </w:r>
  </w:p>
  <w:p w:rsidR="0009248E" w:rsidRDefault="00D7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5F5" w:rsidRDefault="00D755F5" w:rsidP="00341EBB">
      <w:pPr>
        <w:spacing w:after="0" w:line="240" w:lineRule="auto"/>
      </w:pPr>
      <w:r>
        <w:separator/>
      </w:r>
    </w:p>
  </w:footnote>
  <w:footnote w:type="continuationSeparator" w:id="0">
    <w:p w:rsidR="00D755F5" w:rsidRDefault="00D755F5" w:rsidP="0034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B" w:rsidRDefault="00D755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7A" w:rsidRPr="003E00EA" w:rsidRDefault="00B9707A" w:rsidP="00B9707A">
    <w:pPr>
      <w:pStyle w:val="Header"/>
      <w:jc w:val="right"/>
      <w:rPr>
        <w:u w:val="single"/>
        <w:lang w:val="en-US"/>
      </w:rPr>
    </w:pPr>
    <w:bookmarkStart w:id="0" w:name="_GoBack"/>
    <w:r w:rsidRPr="003E00EA">
      <w:rPr>
        <w:sz w:val="16"/>
        <w:u w:val="single"/>
        <w:lang w:val="en-US"/>
      </w:rPr>
      <w:t xml:space="preserve">Comments (1): </w:t>
    </w:r>
    <w:r w:rsidR="00417F79">
      <w:rPr>
        <w:sz w:val="16"/>
        <w:u w:val="single"/>
        <w:lang w:val="en-US"/>
      </w:rPr>
      <w:t>8</w:t>
    </w:r>
    <w:r w:rsidRPr="003E00EA">
      <w:rPr>
        <w:sz w:val="16"/>
        <w:u w:val="single"/>
        <w:lang w:val="en-US"/>
      </w:rPr>
      <w:t xml:space="preserve"> September 2017 </w:t>
    </w:r>
  </w:p>
  <w:bookmarkEnd w:id="0"/>
  <w:p w:rsidR="00341EBB" w:rsidRPr="00B9707A" w:rsidRDefault="00341EBB" w:rsidP="00B97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B" w:rsidRDefault="00D755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9F" w:rsidRPr="00FC3F9F" w:rsidRDefault="00D755F5" w:rsidP="00FC3F9F">
    <w:pPr>
      <w:pStyle w:val="Header"/>
      <w:pBdr>
        <w:bottom w:val="thickThinSmallGap" w:sz="24" w:space="1" w:color="823B0B" w:themeColor="accent2" w:themeShade="7F"/>
      </w:pBdr>
      <w:jc w:val="center"/>
      <w:rPr>
        <w:rFonts w:ascii="Times New Roman" w:eastAsia="Andale Sans UI" w:hAnsi="Times New Roman" w:cs="Tahoma"/>
        <w:b/>
        <w:kern w:val="3"/>
        <w:sz w:val="24"/>
        <w:szCs w:val="24"/>
        <w:lang w:eastAsia="ja-JP" w:bidi="fa-IR"/>
      </w:rPr>
    </w:pPr>
    <w:sdt>
      <w:sdtPr>
        <w:rPr>
          <w:rFonts w:ascii="Times New Roman" w:eastAsia="Andale Sans UI" w:hAnsi="Times New Roman" w:cs="Tahoma"/>
          <w:b/>
          <w:kern w:val="3"/>
          <w:sz w:val="24"/>
          <w:szCs w:val="24"/>
          <w:lang w:eastAsia="ja-JP" w:bidi="fa-IR"/>
        </w:rPr>
        <w:alias w:val="Title"/>
        <w:id w:val="1602145571"/>
        <w:showingPlcHdr/>
        <w:dataBinding w:prefixMappings="xmlns:ns0='http://schemas.openxmlformats.org/package/2006/metadata/core-properties' xmlns:ns1='http://purl.org/dc/elements/1.1/'" w:xpath="/ns0:coreProperties[1]/ns1:title[1]" w:storeItemID="{6C3C8BC8-F283-45AE-878A-BAB7291924A1}"/>
        <w:text/>
      </w:sdtPr>
      <w:sdtEndPr/>
      <w:sdtContent>
        <w:r w:rsidR="002437B0">
          <w:rPr>
            <w:rFonts w:ascii="Times New Roman" w:eastAsia="Andale Sans UI" w:hAnsi="Times New Roman" w:cs="Tahoma"/>
            <w:b/>
            <w:kern w:val="3"/>
            <w:sz w:val="24"/>
            <w:szCs w:val="24"/>
            <w:lang w:eastAsia="ja-JP" w:bidi="fa-IR"/>
          </w:rPr>
          <w:t xml:space="preserve">     </w:t>
        </w:r>
      </w:sdtContent>
    </w:sdt>
    <w:r w:rsidR="00FC3F9F" w:rsidRPr="00FC3F9F">
      <w:t xml:space="preserve"> </w:t>
    </w:r>
    <w:proofErr w:type="spellStart"/>
    <w:r w:rsidR="00FC3F9F" w:rsidRPr="00FC3F9F">
      <w:rPr>
        <w:rFonts w:ascii="Times New Roman" w:eastAsia="Andale Sans UI" w:hAnsi="Times New Roman" w:cs="Tahoma"/>
        <w:b/>
        <w:kern w:val="3"/>
        <w:sz w:val="24"/>
        <w:szCs w:val="24"/>
        <w:lang w:eastAsia="ja-JP" w:bidi="fa-IR"/>
      </w:rPr>
      <w:t>Пропозиції</w:t>
    </w:r>
    <w:proofErr w:type="spellEnd"/>
    <w:r w:rsidR="00FC3F9F" w:rsidRPr="00FC3F9F">
      <w:rPr>
        <w:rFonts w:ascii="Times New Roman" w:eastAsia="Andale Sans UI" w:hAnsi="Times New Roman" w:cs="Tahoma"/>
        <w:b/>
        <w:kern w:val="3"/>
        <w:sz w:val="24"/>
        <w:szCs w:val="24"/>
        <w:lang w:eastAsia="ja-JP" w:bidi="fa-IR"/>
      </w:rPr>
      <w:t xml:space="preserve"> </w:t>
    </w:r>
    <w:proofErr w:type="spellStart"/>
    <w:r w:rsidR="00FC3F9F" w:rsidRPr="00FC3F9F">
      <w:rPr>
        <w:rFonts w:ascii="Times New Roman" w:eastAsia="Andale Sans UI" w:hAnsi="Times New Roman" w:cs="Tahoma"/>
        <w:b/>
        <w:kern w:val="3"/>
        <w:sz w:val="24"/>
        <w:szCs w:val="24"/>
        <w:lang w:eastAsia="ja-JP" w:bidi="fa-IR"/>
      </w:rPr>
      <w:t>Американської</w:t>
    </w:r>
    <w:proofErr w:type="spellEnd"/>
    <w:r w:rsidR="00FC3F9F" w:rsidRPr="00FC3F9F">
      <w:rPr>
        <w:rFonts w:ascii="Times New Roman" w:eastAsia="Andale Sans UI" w:hAnsi="Times New Roman" w:cs="Tahoma"/>
        <w:b/>
        <w:kern w:val="3"/>
        <w:sz w:val="24"/>
        <w:szCs w:val="24"/>
        <w:lang w:eastAsia="ja-JP" w:bidi="fa-IR"/>
      </w:rPr>
      <w:t xml:space="preserve"> </w:t>
    </w:r>
    <w:proofErr w:type="spellStart"/>
    <w:r w:rsidR="00FC3F9F" w:rsidRPr="00FC3F9F">
      <w:rPr>
        <w:rFonts w:ascii="Times New Roman" w:eastAsia="Andale Sans UI" w:hAnsi="Times New Roman" w:cs="Tahoma"/>
        <w:b/>
        <w:kern w:val="3"/>
        <w:sz w:val="24"/>
        <w:szCs w:val="24"/>
        <w:lang w:eastAsia="ja-JP" w:bidi="fa-IR"/>
      </w:rPr>
      <w:t>торгівельної</w:t>
    </w:r>
    <w:proofErr w:type="spellEnd"/>
    <w:r w:rsidR="00FC3F9F" w:rsidRPr="00FC3F9F">
      <w:rPr>
        <w:rFonts w:ascii="Times New Roman" w:eastAsia="Andale Sans UI" w:hAnsi="Times New Roman" w:cs="Tahoma"/>
        <w:b/>
        <w:kern w:val="3"/>
        <w:sz w:val="24"/>
        <w:szCs w:val="24"/>
        <w:lang w:eastAsia="ja-JP" w:bidi="fa-IR"/>
      </w:rPr>
      <w:t xml:space="preserve"> </w:t>
    </w:r>
    <w:proofErr w:type="spellStart"/>
    <w:r w:rsidR="00FC3F9F" w:rsidRPr="00FC3F9F">
      <w:rPr>
        <w:rFonts w:ascii="Times New Roman" w:eastAsia="Andale Sans UI" w:hAnsi="Times New Roman" w:cs="Tahoma"/>
        <w:b/>
        <w:kern w:val="3"/>
        <w:sz w:val="24"/>
        <w:szCs w:val="24"/>
        <w:lang w:eastAsia="ja-JP" w:bidi="fa-IR"/>
      </w:rPr>
      <w:t>палати</w:t>
    </w:r>
    <w:proofErr w:type="spellEnd"/>
    <w:r w:rsidR="00FC3F9F" w:rsidRPr="00FC3F9F">
      <w:rPr>
        <w:rFonts w:ascii="Times New Roman" w:eastAsia="Andale Sans UI" w:hAnsi="Times New Roman" w:cs="Tahoma"/>
        <w:b/>
        <w:kern w:val="3"/>
        <w:sz w:val="24"/>
        <w:szCs w:val="24"/>
        <w:lang w:eastAsia="ja-JP" w:bidi="fa-IR"/>
      </w:rPr>
      <w:t xml:space="preserve"> в </w:t>
    </w:r>
    <w:proofErr w:type="spellStart"/>
    <w:r w:rsidR="00FC3F9F" w:rsidRPr="00FC3F9F">
      <w:rPr>
        <w:rFonts w:ascii="Times New Roman" w:eastAsia="Andale Sans UI" w:hAnsi="Times New Roman" w:cs="Tahoma"/>
        <w:b/>
        <w:kern w:val="3"/>
        <w:sz w:val="24"/>
        <w:szCs w:val="24"/>
        <w:lang w:eastAsia="ja-JP" w:bidi="fa-IR"/>
      </w:rPr>
      <w:t>Україні</w:t>
    </w:r>
    <w:proofErr w:type="spellEnd"/>
    <w:r w:rsidR="00FC3F9F" w:rsidRPr="00FC3F9F">
      <w:rPr>
        <w:rFonts w:ascii="Times New Roman" w:eastAsia="Andale Sans UI" w:hAnsi="Times New Roman" w:cs="Tahoma"/>
        <w:b/>
        <w:kern w:val="3"/>
        <w:sz w:val="24"/>
        <w:szCs w:val="24"/>
        <w:lang w:eastAsia="ja-JP" w:bidi="fa-IR"/>
      </w:rPr>
      <w:t xml:space="preserve"> </w:t>
    </w:r>
    <w:proofErr w:type="spellStart"/>
    <w:r w:rsidR="00FC3F9F" w:rsidRPr="00FC3F9F">
      <w:rPr>
        <w:rFonts w:ascii="Times New Roman" w:eastAsia="Andale Sans UI" w:hAnsi="Times New Roman" w:cs="Tahoma"/>
        <w:b/>
        <w:kern w:val="3"/>
        <w:sz w:val="24"/>
        <w:szCs w:val="24"/>
        <w:lang w:eastAsia="ja-JP" w:bidi="fa-IR"/>
      </w:rPr>
      <w:t>щодо</w:t>
    </w:r>
    <w:proofErr w:type="spellEnd"/>
    <w:r w:rsidR="00FC3F9F" w:rsidRPr="00FC3F9F">
      <w:rPr>
        <w:rFonts w:ascii="Times New Roman" w:eastAsia="Andale Sans UI" w:hAnsi="Times New Roman" w:cs="Tahoma"/>
        <w:b/>
        <w:kern w:val="3"/>
        <w:sz w:val="24"/>
        <w:szCs w:val="24"/>
        <w:lang w:eastAsia="ja-JP" w:bidi="fa-IR"/>
      </w:rPr>
      <w:t xml:space="preserve"> проекту Закону «Про валюту»</w:t>
    </w:r>
  </w:p>
  <w:p w:rsidR="0009248E" w:rsidRPr="0009248E" w:rsidRDefault="00D755F5" w:rsidP="0009248E">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05F"/>
    <w:multiLevelType w:val="hybridMultilevel"/>
    <w:tmpl w:val="2A08C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CCD4A17"/>
    <w:multiLevelType w:val="hybridMultilevel"/>
    <w:tmpl w:val="0D4A16DA"/>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8" w15:restartNumberingAfterBreak="0">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6"/>
  </w:num>
  <w:num w:numId="6">
    <w:abstractNumId w:val="5"/>
  </w:num>
  <w:num w:numId="7">
    <w:abstractNumId w:val="1"/>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i" w:val="Kyiv - ENGLISH.ini"/>
  </w:docVars>
  <w:rsids>
    <w:rsidRoot w:val="00F072EE"/>
    <w:rsid w:val="00016A98"/>
    <w:rsid w:val="00063915"/>
    <w:rsid w:val="00082B4D"/>
    <w:rsid w:val="000E42D8"/>
    <w:rsid w:val="000F1DED"/>
    <w:rsid w:val="00112487"/>
    <w:rsid w:val="00115815"/>
    <w:rsid w:val="0012332C"/>
    <w:rsid w:val="00153898"/>
    <w:rsid w:val="00197FE3"/>
    <w:rsid w:val="001C1837"/>
    <w:rsid w:val="001E2774"/>
    <w:rsid w:val="001F088D"/>
    <w:rsid w:val="002024C5"/>
    <w:rsid w:val="0020687B"/>
    <w:rsid w:val="002402C0"/>
    <w:rsid w:val="002437B0"/>
    <w:rsid w:val="002445B0"/>
    <w:rsid w:val="00260039"/>
    <w:rsid w:val="00276626"/>
    <w:rsid w:val="00297DC6"/>
    <w:rsid w:val="002A5F6C"/>
    <w:rsid w:val="002C6678"/>
    <w:rsid w:val="002F3BE2"/>
    <w:rsid w:val="00307D45"/>
    <w:rsid w:val="00341EBB"/>
    <w:rsid w:val="00345C22"/>
    <w:rsid w:val="003645B8"/>
    <w:rsid w:val="003735BC"/>
    <w:rsid w:val="003C20AF"/>
    <w:rsid w:val="003E00EA"/>
    <w:rsid w:val="00417F79"/>
    <w:rsid w:val="004C624A"/>
    <w:rsid w:val="004F1285"/>
    <w:rsid w:val="00536B80"/>
    <w:rsid w:val="00543FB7"/>
    <w:rsid w:val="00551001"/>
    <w:rsid w:val="00551872"/>
    <w:rsid w:val="00560FE9"/>
    <w:rsid w:val="00592560"/>
    <w:rsid w:val="005F03CA"/>
    <w:rsid w:val="005F41CA"/>
    <w:rsid w:val="00614B17"/>
    <w:rsid w:val="0064181E"/>
    <w:rsid w:val="006622E7"/>
    <w:rsid w:val="00671D83"/>
    <w:rsid w:val="0068025F"/>
    <w:rsid w:val="00685FC5"/>
    <w:rsid w:val="006B7224"/>
    <w:rsid w:val="006B7A52"/>
    <w:rsid w:val="006F3881"/>
    <w:rsid w:val="006F3B35"/>
    <w:rsid w:val="00717906"/>
    <w:rsid w:val="00745B81"/>
    <w:rsid w:val="00792857"/>
    <w:rsid w:val="007B1953"/>
    <w:rsid w:val="007E530A"/>
    <w:rsid w:val="007F04AF"/>
    <w:rsid w:val="00922D5E"/>
    <w:rsid w:val="00942348"/>
    <w:rsid w:val="00951349"/>
    <w:rsid w:val="009649C9"/>
    <w:rsid w:val="009847A6"/>
    <w:rsid w:val="009861DC"/>
    <w:rsid w:val="00A778CC"/>
    <w:rsid w:val="00A8111A"/>
    <w:rsid w:val="00AA0071"/>
    <w:rsid w:val="00AA72B3"/>
    <w:rsid w:val="00AF4589"/>
    <w:rsid w:val="00B31F2D"/>
    <w:rsid w:val="00B43797"/>
    <w:rsid w:val="00B44A23"/>
    <w:rsid w:val="00B6160B"/>
    <w:rsid w:val="00B7786E"/>
    <w:rsid w:val="00B86EF1"/>
    <w:rsid w:val="00B9707A"/>
    <w:rsid w:val="00BA5826"/>
    <w:rsid w:val="00BF6AC5"/>
    <w:rsid w:val="00C01A74"/>
    <w:rsid w:val="00C06447"/>
    <w:rsid w:val="00C1091F"/>
    <w:rsid w:val="00C35C3C"/>
    <w:rsid w:val="00C55C29"/>
    <w:rsid w:val="00CE019A"/>
    <w:rsid w:val="00CE4035"/>
    <w:rsid w:val="00D11B7B"/>
    <w:rsid w:val="00D1506F"/>
    <w:rsid w:val="00D15309"/>
    <w:rsid w:val="00D23016"/>
    <w:rsid w:val="00D434BF"/>
    <w:rsid w:val="00D755F5"/>
    <w:rsid w:val="00D80782"/>
    <w:rsid w:val="00DC0230"/>
    <w:rsid w:val="00DF3A09"/>
    <w:rsid w:val="00E0636B"/>
    <w:rsid w:val="00E128B3"/>
    <w:rsid w:val="00E46086"/>
    <w:rsid w:val="00EE4531"/>
    <w:rsid w:val="00F00A49"/>
    <w:rsid w:val="00F072EE"/>
    <w:rsid w:val="00F1448F"/>
    <w:rsid w:val="00F61949"/>
    <w:rsid w:val="00F809D4"/>
    <w:rsid w:val="00FC3F9F"/>
    <w:rsid w:val="00FD3D27"/>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586B88F2-E3BD-4609-A937-30AB30E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styleId="Hyperlink">
    <w:name w:val="Hyperlink"/>
    <w:basedOn w:val="DefaultParagraphFont"/>
    <w:unhideWhenUsed/>
    <w:rsid w:val="00745B81"/>
    <w:rPr>
      <w:color w:val="0563C1" w:themeColor="hyperlink"/>
      <w:u w:val="single"/>
    </w:rPr>
  </w:style>
  <w:style w:type="table" w:styleId="TableGrid">
    <w:name w:val="Table Grid"/>
    <w:basedOn w:val="TableNormal"/>
    <w:uiPriority w:val="59"/>
    <w:rsid w:val="00FC3F9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3F9F"/>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vaniuk@chamber.u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chamb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E283-36E7-46F7-9363-07DB0191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10495</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Bogdan Ivaniuk</cp:lastModifiedBy>
  <cp:revision>19</cp:revision>
  <dcterms:created xsi:type="dcterms:W3CDTF">2017-09-04T15:43:00Z</dcterms:created>
  <dcterms:modified xsi:type="dcterms:W3CDTF">2017-09-11T07:53:00Z</dcterms:modified>
</cp:coreProperties>
</file>