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20D3" w14:textId="77777777" w:rsidR="000D03B1" w:rsidRPr="00F94407" w:rsidRDefault="000D03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A77F03" w:rsidRPr="00F66F37" w14:paraId="6C6A1FB4" w14:textId="77777777" w:rsidTr="000903A5">
        <w:tc>
          <w:tcPr>
            <w:tcW w:w="5211" w:type="dxa"/>
          </w:tcPr>
          <w:p w14:paraId="69204E1E" w14:textId="77777777" w:rsidR="00F94407" w:rsidRPr="00F66F37" w:rsidRDefault="000D03B1" w:rsidP="00F94407">
            <w:r w:rsidRPr="00F66F37">
              <w:t>№</w:t>
            </w:r>
            <w:r w:rsidR="00F94407" w:rsidRPr="00F66F37">
              <w:t xml:space="preserve"> </w:t>
            </w:r>
          </w:p>
          <w:p w14:paraId="56B0708E" w14:textId="6E7324C3" w:rsidR="00A77F03" w:rsidRPr="00F66F37" w:rsidRDefault="00F94407" w:rsidP="00F351A8">
            <w:r w:rsidRPr="00F66F37">
              <w:t xml:space="preserve">     </w:t>
            </w:r>
            <w:r w:rsidR="00F351A8" w:rsidRPr="00F66F37">
              <w:t xml:space="preserve">вересня </w:t>
            </w:r>
            <w:r w:rsidR="000D03B1" w:rsidRPr="00F66F37">
              <w:t>2017 року</w:t>
            </w:r>
          </w:p>
        </w:tc>
        <w:tc>
          <w:tcPr>
            <w:tcW w:w="4253" w:type="dxa"/>
          </w:tcPr>
          <w:p w14:paraId="494196AC" w14:textId="77777777" w:rsidR="00F94407" w:rsidRPr="00F66F37" w:rsidRDefault="00F94407" w:rsidP="007165D5">
            <w:pPr>
              <w:rPr>
                <w:b/>
                <w:lang w:val="ru-RU"/>
              </w:rPr>
            </w:pPr>
          </w:p>
          <w:p w14:paraId="743E1734" w14:textId="77777777" w:rsidR="00F94407" w:rsidRPr="00F66F37" w:rsidRDefault="00F94407" w:rsidP="007165D5">
            <w:pPr>
              <w:rPr>
                <w:b/>
                <w:lang w:val="ru-RU"/>
              </w:rPr>
            </w:pPr>
          </w:p>
          <w:p w14:paraId="49DADD57" w14:textId="2F56609E" w:rsidR="00A77F03" w:rsidRPr="00F66F37" w:rsidRDefault="0086172D" w:rsidP="0086172D">
            <w:pPr>
              <w:rPr>
                <w:b/>
              </w:rPr>
            </w:pPr>
            <w:r w:rsidRPr="00F66F37">
              <w:rPr>
                <w:b/>
              </w:rPr>
              <w:t xml:space="preserve"> </w:t>
            </w:r>
          </w:p>
        </w:tc>
      </w:tr>
      <w:tr w:rsidR="00C12D94" w:rsidRPr="00F66F37" w14:paraId="42C9EDB1" w14:textId="77777777" w:rsidTr="000903A5">
        <w:tc>
          <w:tcPr>
            <w:tcW w:w="5211" w:type="dxa"/>
          </w:tcPr>
          <w:p w14:paraId="16C9A024" w14:textId="1BF5344D" w:rsidR="00C12D94" w:rsidRPr="00F66F37" w:rsidRDefault="00C12D94" w:rsidP="00C12D94"/>
        </w:tc>
        <w:tc>
          <w:tcPr>
            <w:tcW w:w="4253" w:type="dxa"/>
          </w:tcPr>
          <w:p w14:paraId="50114D29" w14:textId="74EBFA7B" w:rsidR="00C12D94" w:rsidRPr="00F66F37" w:rsidRDefault="00C12D94" w:rsidP="00C12D94">
            <w:pPr>
              <w:rPr>
                <w:b/>
                <w:lang w:val="en-US"/>
              </w:rPr>
            </w:pPr>
          </w:p>
        </w:tc>
      </w:tr>
      <w:tr w:rsidR="00BE03E9" w:rsidRPr="00F66F37" w14:paraId="0C603627" w14:textId="77777777" w:rsidTr="000903A5">
        <w:tc>
          <w:tcPr>
            <w:tcW w:w="5211" w:type="dxa"/>
          </w:tcPr>
          <w:p w14:paraId="0CC73D04" w14:textId="77777777" w:rsidR="00BE03E9" w:rsidRPr="00F66F37" w:rsidRDefault="00BE03E9" w:rsidP="00F027C6">
            <w:pPr>
              <w:rPr>
                <w:b/>
              </w:rPr>
            </w:pPr>
          </w:p>
        </w:tc>
        <w:tc>
          <w:tcPr>
            <w:tcW w:w="4253" w:type="dxa"/>
          </w:tcPr>
          <w:p w14:paraId="66857259" w14:textId="77777777" w:rsidR="00E50D7B" w:rsidRPr="00F66F37" w:rsidRDefault="00E50D7B" w:rsidP="00E50D7B">
            <w:pPr>
              <w:rPr>
                <w:b/>
              </w:rPr>
            </w:pPr>
            <w:r w:rsidRPr="00F66F37">
              <w:rPr>
                <w:b/>
              </w:rPr>
              <w:t>Голові Верховної Ради України</w:t>
            </w:r>
          </w:p>
          <w:p w14:paraId="48BC2C9B" w14:textId="77777777" w:rsidR="00BE03E9" w:rsidRPr="00F66F37" w:rsidRDefault="00E50D7B" w:rsidP="00E50D7B">
            <w:pPr>
              <w:rPr>
                <w:b/>
              </w:rPr>
            </w:pPr>
            <w:r w:rsidRPr="00F66F37">
              <w:rPr>
                <w:b/>
              </w:rPr>
              <w:t>Парубію А.В.</w:t>
            </w:r>
          </w:p>
          <w:p w14:paraId="7608152A" w14:textId="77777777" w:rsidR="00E50D7B" w:rsidRPr="00F66F37" w:rsidRDefault="00E50D7B" w:rsidP="00E50D7B">
            <w:pPr>
              <w:rPr>
                <w:b/>
              </w:rPr>
            </w:pPr>
          </w:p>
          <w:p w14:paraId="527C79F9" w14:textId="0A570DE1" w:rsidR="00E50D7B" w:rsidRPr="00F66F37" w:rsidRDefault="00E50D7B" w:rsidP="00E50D7B">
            <w:pPr>
              <w:rPr>
                <w:b/>
              </w:rPr>
            </w:pPr>
          </w:p>
        </w:tc>
      </w:tr>
      <w:tr w:rsidR="00F93EA2" w:rsidRPr="00F66F37" w14:paraId="6C7C3992" w14:textId="77777777" w:rsidTr="000903A5">
        <w:tc>
          <w:tcPr>
            <w:tcW w:w="5211" w:type="dxa"/>
          </w:tcPr>
          <w:p w14:paraId="1BA32144" w14:textId="77777777" w:rsidR="00F93EA2" w:rsidRPr="00F66F37" w:rsidRDefault="00F93EA2" w:rsidP="00F027C6">
            <w:pPr>
              <w:rPr>
                <w:b/>
              </w:rPr>
            </w:pPr>
          </w:p>
          <w:p w14:paraId="5C3FE1DA" w14:textId="39B4F34C" w:rsidR="00F93EA2" w:rsidRPr="00F66F37" w:rsidRDefault="00F93EA2" w:rsidP="00F027C6">
            <w:pPr>
              <w:rPr>
                <w:b/>
              </w:rPr>
            </w:pPr>
            <w:r w:rsidRPr="00F66F37">
              <w:rPr>
                <w:b/>
              </w:rPr>
              <w:tab/>
            </w:r>
          </w:p>
        </w:tc>
        <w:tc>
          <w:tcPr>
            <w:tcW w:w="4253" w:type="dxa"/>
          </w:tcPr>
          <w:p w14:paraId="1BE1572C" w14:textId="77777777" w:rsidR="00BE03E9" w:rsidRPr="00F66F37" w:rsidRDefault="00BE03E9" w:rsidP="003A7CC0">
            <w:pPr>
              <w:rPr>
                <w:b/>
              </w:rPr>
            </w:pPr>
            <w:r w:rsidRPr="00F66F37">
              <w:rPr>
                <w:b/>
              </w:rPr>
              <w:t xml:space="preserve">Голові Комітету з питань </w:t>
            </w:r>
            <w:r w:rsidR="003A7CC0" w:rsidRPr="00F66F37">
              <w:rPr>
                <w:b/>
              </w:rPr>
              <w:t>фінансової політики і банківської діяльності</w:t>
            </w:r>
          </w:p>
          <w:p w14:paraId="21BEF4E9" w14:textId="2ED9ECC1" w:rsidR="003A7CC0" w:rsidRPr="00F66F37" w:rsidRDefault="003A7CC0" w:rsidP="003A7CC0">
            <w:pPr>
              <w:rPr>
                <w:b/>
              </w:rPr>
            </w:pPr>
            <w:r w:rsidRPr="00F66F37">
              <w:rPr>
                <w:b/>
              </w:rPr>
              <w:t>Верховної Ради України</w:t>
            </w:r>
          </w:p>
          <w:p w14:paraId="69F16352" w14:textId="665B354B" w:rsidR="003A7CC0" w:rsidRPr="00F66F37" w:rsidRDefault="003A7CC0" w:rsidP="003A7CC0">
            <w:pPr>
              <w:rPr>
                <w:b/>
              </w:rPr>
            </w:pPr>
            <w:r w:rsidRPr="00F66F37">
              <w:rPr>
                <w:b/>
              </w:rPr>
              <w:t>Рибалці С. В.</w:t>
            </w:r>
          </w:p>
        </w:tc>
      </w:tr>
    </w:tbl>
    <w:p w14:paraId="2CE465B7" w14:textId="1562DA9D" w:rsidR="00F94407" w:rsidRPr="00F66F37" w:rsidRDefault="000D03B1" w:rsidP="00F94407">
      <w:pPr>
        <w:jc w:val="both"/>
        <w:rPr>
          <w:lang w:val="ru-RU"/>
        </w:rPr>
      </w:pPr>
      <w:r w:rsidRPr="00F66F37">
        <w:tab/>
      </w:r>
      <w:r w:rsidR="00F00363" w:rsidRPr="00F66F37">
        <w:tab/>
      </w:r>
      <w:r w:rsidR="00F00363" w:rsidRPr="00F66F37">
        <w:tab/>
      </w:r>
      <w:r w:rsidR="00C12D94" w:rsidRPr="00F66F37">
        <w:tab/>
      </w:r>
      <w:r w:rsidR="001338E0" w:rsidRPr="00F66F37">
        <w:rPr>
          <w:lang w:val="ru-RU"/>
        </w:rPr>
        <w:tab/>
      </w:r>
    </w:p>
    <w:p w14:paraId="463C244F" w14:textId="77777777" w:rsidR="00BE5C43" w:rsidRPr="00BE5C43" w:rsidRDefault="00F94407" w:rsidP="00BE03E9">
      <w:pPr>
        <w:jc w:val="both"/>
        <w:rPr>
          <w:i/>
        </w:rPr>
      </w:pPr>
      <w:r w:rsidRPr="00BE5C43">
        <w:rPr>
          <w:i/>
        </w:rPr>
        <w:t xml:space="preserve">Щодо </w:t>
      </w:r>
      <w:r w:rsidR="00E50D7B" w:rsidRPr="00BE5C43">
        <w:rPr>
          <w:i/>
        </w:rPr>
        <w:t>проекту Закону</w:t>
      </w:r>
      <w:r w:rsidR="00BE03E9" w:rsidRPr="00BE5C43">
        <w:rPr>
          <w:i/>
        </w:rPr>
        <w:t xml:space="preserve"> №</w:t>
      </w:r>
      <w:r w:rsidR="001D50A5" w:rsidRPr="00BE5C43">
        <w:rPr>
          <w:i/>
        </w:rPr>
        <w:t>6573</w:t>
      </w:r>
      <w:r w:rsidR="00BE5C43" w:rsidRPr="00BE5C43">
        <w:rPr>
          <w:i/>
        </w:rPr>
        <w:t xml:space="preserve"> </w:t>
      </w:r>
    </w:p>
    <w:p w14:paraId="15E27605" w14:textId="77777777" w:rsidR="00BE5C43" w:rsidRPr="00BE5C43" w:rsidRDefault="000154E9" w:rsidP="00BE03E9">
      <w:pPr>
        <w:jc w:val="both"/>
        <w:rPr>
          <w:i/>
        </w:rPr>
      </w:pPr>
      <w:r w:rsidRPr="00BE5C43">
        <w:rPr>
          <w:i/>
        </w:rPr>
        <w:t>“Про внесення змін до Закону України</w:t>
      </w:r>
    </w:p>
    <w:p w14:paraId="19ABA681" w14:textId="77777777" w:rsidR="00BE5C43" w:rsidRPr="00BE5C43" w:rsidRDefault="000154E9" w:rsidP="00BE03E9">
      <w:pPr>
        <w:jc w:val="both"/>
        <w:rPr>
          <w:i/>
        </w:rPr>
      </w:pPr>
      <w:r w:rsidRPr="00BE5C43">
        <w:rPr>
          <w:i/>
        </w:rPr>
        <w:t xml:space="preserve"> про плат</w:t>
      </w:r>
      <w:bookmarkStart w:id="0" w:name="_GoBack"/>
      <w:bookmarkEnd w:id="0"/>
      <w:r w:rsidRPr="00BE5C43">
        <w:rPr>
          <w:i/>
        </w:rPr>
        <w:t xml:space="preserve">іжні системи та переказ </w:t>
      </w:r>
    </w:p>
    <w:p w14:paraId="00C183BF" w14:textId="77777777" w:rsidR="00BE5C43" w:rsidRPr="00BE5C43" w:rsidRDefault="000154E9" w:rsidP="00BE03E9">
      <w:pPr>
        <w:jc w:val="both"/>
        <w:rPr>
          <w:i/>
        </w:rPr>
      </w:pPr>
      <w:r w:rsidRPr="00BE5C43">
        <w:rPr>
          <w:i/>
        </w:rPr>
        <w:t xml:space="preserve">коштів щодо комісійної винагороди під </w:t>
      </w:r>
    </w:p>
    <w:p w14:paraId="59B0E7C1" w14:textId="682223BA" w:rsidR="00BE03E9" w:rsidRPr="00BE5C43" w:rsidRDefault="000154E9" w:rsidP="00BE03E9">
      <w:pPr>
        <w:jc w:val="both"/>
        <w:rPr>
          <w:i/>
        </w:rPr>
      </w:pPr>
      <w:r w:rsidRPr="00BE5C43">
        <w:rPr>
          <w:i/>
        </w:rPr>
        <w:t>час здійснення еквайрингу”</w:t>
      </w:r>
    </w:p>
    <w:p w14:paraId="7898B43C" w14:textId="77777777" w:rsidR="00F94407" w:rsidRPr="00F66F37" w:rsidRDefault="00F94407" w:rsidP="00F00363">
      <w:pPr>
        <w:ind w:left="3540" w:firstLine="708"/>
      </w:pPr>
    </w:p>
    <w:p w14:paraId="1A77F06D" w14:textId="77777777" w:rsidR="0086172D" w:rsidRPr="00F66F37" w:rsidRDefault="0086172D" w:rsidP="0086172D"/>
    <w:p w14:paraId="064F4AC3" w14:textId="782DA65D" w:rsidR="0086172D" w:rsidRPr="00F66F37" w:rsidRDefault="0086172D" w:rsidP="0086172D">
      <w:pPr>
        <w:jc w:val="center"/>
        <w:rPr>
          <w:b/>
        </w:rPr>
      </w:pPr>
      <w:r w:rsidRPr="00F66F37">
        <w:rPr>
          <w:b/>
        </w:rPr>
        <w:t>Шановний</w:t>
      </w:r>
      <w:r w:rsidR="00E50D7B" w:rsidRPr="00F66F37">
        <w:rPr>
          <w:b/>
        </w:rPr>
        <w:t xml:space="preserve"> Андрію Володимировичу</w:t>
      </w:r>
      <w:r w:rsidRPr="00F66F37">
        <w:rPr>
          <w:b/>
        </w:rPr>
        <w:t>!</w:t>
      </w:r>
    </w:p>
    <w:p w14:paraId="560A9540" w14:textId="77777777" w:rsidR="008F67DD" w:rsidRPr="00F66F37" w:rsidRDefault="008F67DD" w:rsidP="00F00363">
      <w:pPr>
        <w:spacing w:after="120"/>
        <w:jc w:val="center"/>
        <w:rPr>
          <w:b/>
          <w:color w:val="000000"/>
        </w:rPr>
      </w:pPr>
    </w:p>
    <w:p w14:paraId="6A39E2D4" w14:textId="77777777" w:rsidR="009D3457" w:rsidRPr="00F66F37" w:rsidRDefault="00F94407" w:rsidP="009D3457">
      <w:pPr>
        <w:spacing w:after="120"/>
        <w:ind w:firstLine="709"/>
        <w:jc w:val="both"/>
        <w:rPr>
          <w:color w:val="000000"/>
        </w:rPr>
      </w:pPr>
      <w:r w:rsidRPr="00F66F37">
        <w:t xml:space="preserve">Від імені Ради директорів Американської торгівельної палати в Україні (далі – </w:t>
      </w:r>
      <w:r w:rsidR="00D119CE" w:rsidRPr="00F66F37">
        <w:t xml:space="preserve">Палата) та компаній-членів засвідчуємо Вам свою глибоку повагу </w:t>
      </w:r>
      <w:r w:rsidR="00BE03E9" w:rsidRPr="00F66F37">
        <w:t xml:space="preserve">та хочемо звернутися з питанням щодо </w:t>
      </w:r>
      <w:r w:rsidR="001D50A5" w:rsidRPr="00F66F37">
        <w:t>ситуації функціонування банківської системи України.</w:t>
      </w:r>
    </w:p>
    <w:p w14:paraId="494EDC8E" w14:textId="5FAC6C27" w:rsidR="009D3457" w:rsidRPr="00F66F37" w:rsidRDefault="00E50D7B" w:rsidP="001F4D87">
      <w:pPr>
        <w:spacing w:before="240" w:after="120"/>
        <w:ind w:firstLine="709"/>
        <w:jc w:val="both"/>
      </w:pPr>
      <w:r w:rsidRPr="00F66F37">
        <w:t xml:space="preserve">Експерти компаній-членів Палати неодноразово розглядали на засіданнях Комітету Палати з питань банківських та фінансових послуг проект Закону </w:t>
      </w:r>
      <w:r w:rsidR="001D50A5" w:rsidRPr="00F66F37">
        <w:t>України “</w:t>
      </w:r>
      <w:r w:rsidR="001D50A5" w:rsidRPr="001F4D87">
        <w:rPr>
          <w:i/>
        </w:rPr>
        <w:t>Про внесення змін до Закону України про платіжні системи та переказ коштів в Україні щодо комісійної винагороди під час здійснення еквайрингу</w:t>
      </w:r>
      <w:r w:rsidR="001D50A5" w:rsidRPr="00F66F37">
        <w:t xml:space="preserve">” (реєстраційний №6573 від 09.06.2017 р.) (далі – </w:t>
      </w:r>
      <w:r w:rsidR="00E252C6" w:rsidRPr="00F66F37">
        <w:t>“</w:t>
      </w:r>
      <w:r w:rsidR="001D50A5" w:rsidRPr="00F66F37">
        <w:rPr>
          <w:b/>
        </w:rPr>
        <w:t>Законопроект</w:t>
      </w:r>
      <w:r w:rsidR="00E252C6" w:rsidRPr="00F66F37">
        <w:t>”</w:t>
      </w:r>
      <w:r w:rsidR="001D50A5" w:rsidRPr="00F66F37">
        <w:t>), який наразі перебуває на розгляді Комітету з питань фінансової політики і банківської діяльності</w:t>
      </w:r>
      <w:r w:rsidR="008D4B07" w:rsidRPr="00F66F37">
        <w:t>,</w:t>
      </w:r>
      <w:r w:rsidR="001D50A5" w:rsidRPr="00F66F37">
        <w:t xml:space="preserve"> та відзначили</w:t>
      </w:r>
      <w:r w:rsidR="008D4B07" w:rsidRPr="00F66F37">
        <w:t>,</w:t>
      </w:r>
      <w:r w:rsidR="001D50A5" w:rsidRPr="00F66F37">
        <w:t xml:space="preserve"> </w:t>
      </w:r>
      <w:r w:rsidR="009D3457" w:rsidRPr="00F66F37">
        <w:t xml:space="preserve">що практична імплементація цього законопроекту </w:t>
      </w:r>
      <w:r w:rsidR="00E252C6" w:rsidRPr="00F66F37">
        <w:t xml:space="preserve">може мати </w:t>
      </w:r>
      <w:r w:rsidR="00760174" w:rsidRPr="00F66F37">
        <w:t xml:space="preserve">значний </w:t>
      </w:r>
      <w:r w:rsidR="009D3457" w:rsidRPr="00F66F37">
        <w:t>негативний вплив як на споживачів</w:t>
      </w:r>
      <w:r w:rsidR="008D4B07" w:rsidRPr="00F66F37">
        <w:t>,</w:t>
      </w:r>
      <w:r w:rsidR="009D3457" w:rsidRPr="00F66F37">
        <w:t xml:space="preserve"> так і на функціонування банківської системи в Україні</w:t>
      </w:r>
      <w:r w:rsidR="007743F4" w:rsidRPr="00F66F37">
        <w:t xml:space="preserve"> в</w:t>
      </w:r>
      <w:r w:rsidR="00E252C6" w:rsidRPr="00F66F37">
        <w:t xml:space="preserve"> </w:t>
      </w:r>
      <w:r w:rsidR="007743F4" w:rsidRPr="00F66F37">
        <w:t>цілому</w:t>
      </w:r>
      <w:r w:rsidR="009D3457" w:rsidRPr="00F66F37">
        <w:t xml:space="preserve">. </w:t>
      </w:r>
    </w:p>
    <w:p w14:paraId="14BF3443" w14:textId="50BB3008" w:rsidR="00324E67" w:rsidRPr="00F66F37" w:rsidRDefault="00A4582B" w:rsidP="001F4D87">
      <w:pPr>
        <w:spacing w:before="240"/>
        <w:ind w:firstLine="720"/>
        <w:jc w:val="both"/>
      </w:pPr>
      <w:r w:rsidRPr="00F66F37">
        <w:t>Насамперед</w:t>
      </w:r>
      <w:r w:rsidR="00CC4DE0" w:rsidRPr="00F66F37">
        <w:t xml:space="preserve">, </w:t>
      </w:r>
      <w:r w:rsidR="008D4B07" w:rsidRPr="00F66F37">
        <w:t xml:space="preserve">зазначений Законопроект </w:t>
      </w:r>
      <w:r w:rsidR="00760174" w:rsidRPr="00F66F37">
        <w:t xml:space="preserve">суттєво </w:t>
      </w:r>
      <w:r w:rsidR="008D4B07" w:rsidRPr="00F66F37">
        <w:t>вплин</w:t>
      </w:r>
      <w:r w:rsidR="00760174" w:rsidRPr="00F66F37">
        <w:t xml:space="preserve">е </w:t>
      </w:r>
      <w:r w:rsidR="008D4B07" w:rsidRPr="00F66F37">
        <w:t>на</w:t>
      </w:r>
      <w:r w:rsidRPr="00F66F37">
        <w:t xml:space="preserve"> зменшення діяльності карткового та еквайрингового бізнесу</w:t>
      </w:r>
      <w:r w:rsidR="008D4B07" w:rsidRPr="00F66F37">
        <w:t xml:space="preserve">, оскільки запропоновані у Законопроекті ліміти </w:t>
      </w:r>
      <w:r w:rsidR="007102AE" w:rsidRPr="00F66F37">
        <w:t xml:space="preserve">можуть виявитися недостатніми для </w:t>
      </w:r>
      <w:r w:rsidR="008D4B07" w:rsidRPr="00F66F37">
        <w:t>покри</w:t>
      </w:r>
      <w:r w:rsidR="007102AE" w:rsidRPr="00F66F37">
        <w:t>ття витрат</w:t>
      </w:r>
      <w:r w:rsidR="008D4B07" w:rsidRPr="00F66F37">
        <w:t xml:space="preserve"> банків–еквайрів</w:t>
      </w:r>
      <w:r w:rsidR="007743F4" w:rsidRPr="00F66F37">
        <w:t xml:space="preserve"> і не </w:t>
      </w:r>
      <w:r w:rsidR="008D4B07" w:rsidRPr="00F66F37">
        <w:t>стимулювати</w:t>
      </w:r>
      <w:r w:rsidR="007743F4" w:rsidRPr="00F66F37">
        <w:t>муть</w:t>
      </w:r>
      <w:r w:rsidR="00F311C4" w:rsidRPr="00F66F37">
        <w:t xml:space="preserve"> </w:t>
      </w:r>
      <w:r w:rsidR="007102AE" w:rsidRPr="00F66F37">
        <w:t xml:space="preserve">належним чином </w:t>
      </w:r>
      <w:r w:rsidR="00F311C4" w:rsidRPr="00F66F37">
        <w:t xml:space="preserve">розвиток еквайрингової мережі </w:t>
      </w:r>
      <w:r w:rsidR="007102AE" w:rsidRPr="00F66F37">
        <w:t>та імплементацію</w:t>
      </w:r>
      <w:r w:rsidR="008D4B07" w:rsidRPr="00F66F37">
        <w:t xml:space="preserve"> нових технологій. </w:t>
      </w:r>
      <w:r w:rsidR="00760174" w:rsidRPr="00F66F37">
        <w:t>Зокрема, в</w:t>
      </w:r>
      <w:r w:rsidR="00324E67" w:rsidRPr="00F66F37">
        <w:t xml:space="preserve">ажливо звернути увагу на те що, Регламент 2015/751 Європейського Парламенту та Ради від 29 квітня 2015 року, на який посилаються ініціатори </w:t>
      </w:r>
      <w:r w:rsidR="007102AE" w:rsidRPr="00F66F37">
        <w:t>З</w:t>
      </w:r>
      <w:r w:rsidR="00324E67" w:rsidRPr="00F66F37">
        <w:t xml:space="preserve">аконопроекту, регулює лише </w:t>
      </w:r>
      <w:r w:rsidR="007102AE" w:rsidRPr="00F66F37">
        <w:t>міжбанківську комісію (</w:t>
      </w:r>
      <w:r w:rsidR="00324E67" w:rsidRPr="00F66F37">
        <w:t>інтерчейндж</w:t>
      </w:r>
      <w:r w:rsidR="007102AE" w:rsidRPr="00F66F37">
        <w:t>)</w:t>
      </w:r>
      <w:r w:rsidR="00324E67" w:rsidRPr="00F66F37">
        <w:t xml:space="preserve"> щодо електронних карткових платежів, які здійснюються на території ЄС, та не регулює </w:t>
      </w:r>
      <w:r w:rsidR="008179BB" w:rsidRPr="001F4D87">
        <w:t>розмір комісійної винагороди за послуги еквайра</w:t>
      </w:r>
      <w:r w:rsidR="00324E67" w:rsidRPr="00F66F37">
        <w:t xml:space="preserve">. </w:t>
      </w:r>
    </w:p>
    <w:p w14:paraId="314D5E62" w14:textId="77777777" w:rsidR="007C72FA" w:rsidRPr="00F66F37" w:rsidRDefault="007C72FA" w:rsidP="00324E67">
      <w:pPr>
        <w:ind w:firstLine="720"/>
        <w:jc w:val="both"/>
      </w:pPr>
    </w:p>
    <w:p w14:paraId="2DBDF46A" w14:textId="4A88E12B" w:rsidR="00E90777" w:rsidRPr="00F66F37" w:rsidRDefault="00DF4FBB" w:rsidP="00DF4FBB">
      <w:pPr>
        <w:ind w:firstLine="720"/>
        <w:jc w:val="both"/>
      </w:pPr>
      <w:r w:rsidRPr="001F4D87">
        <w:t xml:space="preserve">Крім того, видається, що встановлення обмежень щодо застосування міжбанківської комісії призведе до ситуації, коли банки-емітенти будуть змушені шукати додаткові джерела надходжень, оскільки отримані кошти дозволяють фінансувати розвиток платіжних інструментів та заохочувати картодержателів до користування платіжними картками завдяки </w:t>
      </w:r>
      <w:r w:rsidRPr="001F4D87">
        <w:lastRenderedPageBreak/>
        <w:t>різноманітним програмам лояльності та повернення частини міжбанківської комісії (</w:t>
      </w:r>
      <w:r w:rsidRPr="001F4D87">
        <w:rPr>
          <w:lang w:val="en-US"/>
        </w:rPr>
        <w:t>cash</w:t>
      </w:r>
      <w:r w:rsidRPr="001F4D87">
        <w:t xml:space="preserve"> </w:t>
      </w:r>
      <w:r w:rsidRPr="001F4D87">
        <w:rPr>
          <w:lang w:val="en-US"/>
        </w:rPr>
        <w:t>back</w:t>
      </w:r>
      <w:r w:rsidRPr="001F4D87">
        <w:t>). Це може призвести до ряду</w:t>
      </w:r>
      <w:r w:rsidRPr="00F66F37">
        <w:t xml:space="preserve"> </w:t>
      </w:r>
      <w:r w:rsidR="00644A52" w:rsidRPr="00F66F37">
        <w:t>негативних наслідків</w:t>
      </w:r>
      <w:r w:rsidR="007743F4" w:rsidRPr="00F66F37">
        <w:t xml:space="preserve"> і, перш за все, </w:t>
      </w:r>
      <w:r w:rsidR="00324E67" w:rsidRPr="00F66F37">
        <w:rPr>
          <w:lang w:val="ru-RU"/>
        </w:rPr>
        <w:t xml:space="preserve">для </w:t>
      </w:r>
      <w:r w:rsidR="00AB37FC" w:rsidRPr="001F4D87">
        <w:t>картодержателів</w:t>
      </w:r>
      <w:r w:rsidR="00644A52" w:rsidRPr="00F66F37">
        <w:t>,</w:t>
      </w:r>
      <w:r w:rsidR="003C42CC" w:rsidRPr="00F66F37">
        <w:rPr>
          <w:lang w:val="ru-RU"/>
        </w:rPr>
        <w:t xml:space="preserve"> </w:t>
      </w:r>
      <w:r w:rsidR="00644A52" w:rsidRPr="00F66F37">
        <w:t>а саме:</w:t>
      </w:r>
      <w:r w:rsidR="00981289" w:rsidRPr="00F66F37">
        <w:t xml:space="preserve"> підвищення тариф</w:t>
      </w:r>
      <w:r w:rsidR="00644A52" w:rsidRPr="00F66F37">
        <w:t xml:space="preserve">ів на інші банківські операції, </w:t>
      </w:r>
      <w:r w:rsidR="00981289" w:rsidRPr="00F66F37">
        <w:t xml:space="preserve">введення плати </w:t>
      </w:r>
      <w:r w:rsidR="00644A52" w:rsidRPr="00F66F37">
        <w:t xml:space="preserve">для </w:t>
      </w:r>
      <w:r w:rsidR="00AB37FC" w:rsidRPr="001F4D87">
        <w:t>картодержателів</w:t>
      </w:r>
      <w:r w:rsidR="00AB37FC" w:rsidRPr="00F66F37">
        <w:t xml:space="preserve"> </w:t>
      </w:r>
      <w:r w:rsidR="00CC4DE0" w:rsidRPr="00F66F37">
        <w:t>за послуги (</w:t>
      </w:r>
      <w:r w:rsidR="00981289" w:rsidRPr="00F66F37">
        <w:t>які раніше були безкоштовними</w:t>
      </w:r>
      <w:bookmarkStart w:id="1" w:name="_Hlk487645659"/>
      <w:r w:rsidR="00CC4DE0" w:rsidRPr="00F66F37">
        <w:t>)</w:t>
      </w:r>
      <w:r w:rsidR="00981289" w:rsidRPr="00F66F37">
        <w:t xml:space="preserve">, </w:t>
      </w:r>
      <w:bookmarkEnd w:id="1"/>
      <w:r w:rsidR="00644A52" w:rsidRPr="00F66F37">
        <w:t>зростання вартості кредитів</w:t>
      </w:r>
      <w:r w:rsidR="008D4B07" w:rsidRPr="00F66F37">
        <w:t>, з</w:t>
      </w:r>
      <w:r w:rsidR="00FE3A91" w:rsidRPr="00F66F37">
        <w:t>гортання</w:t>
      </w:r>
      <w:r w:rsidR="008D4B07" w:rsidRPr="00F66F37">
        <w:t xml:space="preserve"> </w:t>
      </w:r>
      <w:r w:rsidR="00AB37FC" w:rsidRPr="001F4D87">
        <w:t>згаданих вище</w:t>
      </w:r>
      <w:r w:rsidR="00AB37FC" w:rsidRPr="00F66F37">
        <w:t xml:space="preserve"> </w:t>
      </w:r>
      <w:r w:rsidR="008D4B07" w:rsidRPr="00F66F37">
        <w:t>програм лояльності тощо</w:t>
      </w:r>
      <w:r w:rsidR="00644A52" w:rsidRPr="00F66F37">
        <w:t>.</w:t>
      </w:r>
      <w:r w:rsidR="00981289" w:rsidRPr="00F66F37">
        <w:t xml:space="preserve"> </w:t>
      </w:r>
      <w:r w:rsidR="00FE3A91" w:rsidRPr="00F66F37">
        <w:t>Наразі в</w:t>
      </w:r>
      <w:r w:rsidR="00644A52" w:rsidRPr="00F66F37">
        <w:t xml:space="preserve"> рамках зарплатних проектів </w:t>
      </w:r>
      <w:r w:rsidR="00981289" w:rsidRPr="00F66F37">
        <w:t>основна частина карткових рахунків</w:t>
      </w:r>
      <w:r w:rsidR="00644A52" w:rsidRPr="00F66F37">
        <w:t xml:space="preserve"> відкрита </w:t>
      </w:r>
      <w:r w:rsidR="00324E67" w:rsidRPr="00F66F37">
        <w:rPr>
          <w:lang w:val="ru-RU"/>
        </w:rPr>
        <w:t>орган</w:t>
      </w:r>
      <w:r w:rsidR="00324E67" w:rsidRPr="00F66F37">
        <w:t xml:space="preserve">ізаціями-роботодавцями </w:t>
      </w:r>
      <w:r w:rsidR="00644A52" w:rsidRPr="00F66F37">
        <w:t>і при зростанні</w:t>
      </w:r>
      <w:r w:rsidR="00981289" w:rsidRPr="00F66F37">
        <w:t xml:space="preserve"> супутніх тарифів </w:t>
      </w:r>
      <w:r w:rsidR="00644A52" w:rsidRPr="00F66F37">
        <w:t>виникнуть додаткові</w:t>
      </w:r>
      <w:r w:rsidR="00981289" w:rsidRPr="00F66F37">
        <w:t xml:space="preserve"> витрат</w:t>
      </w:r>
      <w:r w:rsidR="00644A52" w:rsidRPr="00F66F37">
        <w:t>и не тільки у власника рахунку</w:t>
      </w:r>
      <w:r w:rsidR="008D4B07" w:rsidRPr="00F66F37">
        <w:t>,</w:t>
      </w:r>
      <w:r w:rsidR="00644A52" w:rsidRPr="00F66F37">
        <w:t xml:space="preserve"> а й у організації-роботодавця.</w:t>
      </w:r>
      <w:r w:rsidR="003C42CC" w:rsidRPr="00F66F37">
        <w:rPr>
          <w:lang w:val="ru-RU"/>
        </w:rPr>
        <w:t xml:space="preserve"> </w:t>
      </w:r>
      <w:r w:rsidR="00E90777" w:rsidRPr="00F66F37">
        <w:t xml:space="preserve">У </w:t>
      </w:r>
      <w:r w:rsidR="00E0748F" w:rsidRPr="00F66F37">
        <w:t>зв’язку</w:t>
      </w:r>
      <w:r w:rsidR="00E90777" w:rsidRPr="00F66F37">
        <w:t xml:space="preserve"> з цим</w:t>
      </w:r>
      <w:r w:rsidR="008D4B07" w:rsidRPr="00F66F37">
        <w:t>,</w:t>
      </w:r>
      <w:r w:rsidR="00E90777" w:rsidRPr="00F66F37">
        <w:t xml:space="preserve"> </w:t>
      </w:r>
      <w:r w:rsidR="00F855BB" w:rsidRPr="00F66F37">
        <w:t>підп</w:t>
      </w:r>
      <w:r w:rsidR="00E90777" w:rsidRPr="00F66F37">
        <w:t>риємства, установи та організації можуть змінити виплату заробітн</w:t>
      </w:r>
      <w:r w:rsidR="00CC4DE0" w:rsidRPr="00F66F37">
        <w:t>ої плати на</w:t>
      </w:r>
      <w:r w:rsidR="00E90777" w:rsidRPr="00F66F37">
        <w:t xml:space="preserve"> готівкову форму, а згодом</w:t>
      </w:r>
      <w:r w:rsidR="008D4B07" w:rsidRPr="00F66F37">
        <w:t xml:space="preserve"> –</w:t>
      </w:r>
      <w:r w:rsidR="00E90777" w:rsidRPr="00F66F37">
        <w:t xml:space="preserve"> взагалі відмовитись від обслуговування в рамках зарплатних проектів</w:t>
      </w:r>
      <w:r w:rsidR="007743F4" w:rsidRPr="00F66F37">
        <w:t>, що в свою чергу теж впливатиме на зростання тіньового сектору економіки.</w:t>
      </w:r>
    </w:p>
    <w:p w14:paraId="044BF02F" w14:textId="77777777" w:rsidR="00AB37FC" w:rsidRPr="00F66F37" w:rsidRDefault="00AB37FC" w:rsidP="00DF4FBB">
      <w:pPr>
        <w:ind w:firstLine="720"/>
        <w:jc w:val="both"/>
      </w:pPr>
    </w:p>
    <w:p w14:paraId="311AD098" w14:textId="0032FFFF" w:rsidR="00981289" w:rsidRPr="00F66F37" w:rsidRDefault="00AB37FC" w:rsidP="00981289">
      <w:pPr>
        <w:ind w:firstLine="720"/>
        <w:jc w:val="both"/>
      </w:pPr>
      <w:r w:rsidRPr="001F4D87">
        <w:t>Також, з огляду на те, що найбільшими емітентами в Україні є державні банки і міжбанківська комісія складає суттєву частину їх доходу, відповідне обмеження такої комісії призведе до зменшення надходжень до зведеного державного бюджету.</w:t>
      </w:r>
    </w:p>
    <w:p w14:paraId="2FFFE80C" w14:textId="1C1A91E2" w:rsidR="008D4B07" w:rsidRPr="00F66F37" w:rsidRDefault="0032258B" w:rsidP="003220E1">
      <w:pPr>
        <w:ind w:firstLine="708"/>
        <w:jc w:val="both"/>
      </w:pPr>
      <w:r w:rsidRPr="00F66F37">
        <w:t xml:space="preserve">Водночас, </w:t>
      </w:r>
      <w:r w:rsidR="005F3FC7" w:rsidRPr="00F66F37">
        <w:t xml:space="preserve">законодавче </w:t>
      </w:r>
      <w:r w:rsidR="009D3457" w:rsidRPr="00F66F37">
        <w:t>регулювання розміру комісії за послуги еквайра</w:t>
      </w:r>
      <w:r w:rsidR="008D4B07" w:rsidRPr="00F66F37">
        <w:t xml:space="preserve"> та інтерчейнджу</w:t>
      </w:r>
      <w:r w:rsidR="009D3457" w:rsidRPr="00F66F37">
        <w:t xml:space="preserve">, передбачене </w:t>
      </w:r>
      <w:r w:rsidR="008D4B07" w:rsidRPr="00F66F37">
        <w:t>З</w:t>
      </w:r>
      <w:r w:rsidR="009D3457" w:rsidRPr="00F66F37">
        <w:t>аконопроектом</w:t>
      </w:r>
      <w:r w:rsidR="00572922" w:rsidRPr="00F66F37">
        <w:t>,</w:t>
      </w:r>
      <w:r w:rsidR="009D3457" w:rsidRPr="00F66F37">
        <w:t xml:space="preserve"> суперечить розвитку безготівкових розрахунків в Україні та ставить під загрозу подальший розвиток проекту </w:t>
      </w:r>
      <w:r w:rsidR="009D3457" w:rsidRPr="00F66F37">
        <w:rPr>
          <w:lang w:val="en-US"/>
        </w:rPr>
        <w:t>Cashless</w:t>
      </w:r>
      <w:r w:rsidR="009D3457" w:rsidRPr="00F66F37">
        <w:t xml:space="preserve"> </w:t>
      </w:r>
      <w:r w:rsidR="009D3457" w:rsidRPr="00F66F37">
        <w:rPr>
          <w:lang w:val="en-US"/>
        </w:rPr>
        <w:t>economy</w:t>
      </w:r>
      <w:r w:rsidR="008D4B07" w:rsidRPr="00F66F37">
        <w:t>, оскільки рівень розвитку безготівкових платежів в Україні є досить низьким порівняно з країнами ЄС</w:t>
      </w:r>
      <w:r w:rsidRPr="00F66F37">
        <w:t>.</w:t>
      </w:r>
      <w:r w:rsidR="00E0748F" w:rsidRPr="00F66F37">
        <w:t xml:space="preserve"> </w:t>
      </w:r>
    </w:p>
    <w:p w14:paraId="50995F36" w14:textId="77777777" w:rsidR="008D4B07" w:rsidRPr="00F66F37" w:rsidRDefault="008D4B07" w:rsidP="003220E1">
      <w:pPr>
        <w:ind w:firstLine="708"/>
        <w:jc w:val="both"/>
      </w:pPr>
    </w:p>
    <w:p w14:paraId="1EC7D993" w14:textId="09CF30BD" w:rsidR="007C0C03" w:rsidRPr="00F66F37" w:rsidRDefault="0032258B" w:rsidP="003220E1">
      <w:pPr>
        <w:ind w:firstLine="708"/>
        <w:jc w:val="both"/>
        <w:rPr>
          <w:lang w:val="ru-RU"/>
        </w:rPr>
      </w:pPr>
      <w:r w:rsidRPr="00F66F37">
        <w:t xml:space="preserve">У цьому контексті важливо зазначити, що </w:t>
      </w:r>
      <w:r w:rsidR="00F91C77" w:rsidRPr="00F66F37">
        <w:t xml:space="preserve">на нашу думку </w:t>
      </w:r>
      <w:r w:rsidRPr="00F66F37">
        <w:t xml:space="preserve">реалізація </w:t>
      </w:r>
      <w:r w:rsidR="00F91C77" w:rsidRPr="00F66F37">
        <w:t>З</w:t>
      </w:r>
      <w:r w:rsidRPr="00F66F37">
        <w:t>аконопроекту</w:t>
      </w:r>
      <w:r w:rsidR="00065951" w:rsidRPr="00F66F37">
        <w:t xml:space="preserve"> </w:t>
      </w:r>
      <w:r w:rsidR="00F91C77" w:rsidRPr="00F66F37">
        <w:t xml:space="preserve">може </w:t>
      </w:r>
      <w:r w:rsidR="00065951" w:rsidRPr="00F66F37">
        <w:t>мати наступні наслідки</w:t>
      </w:r>
      <w:r w:rsidR="00BC4924" w:rsidRPr="00F66F37">
        <w:t xml:space="preserve">: емісія </w:t>
      </w:r>
      <w:r w:rsidR="009D3457" w:rsidRPr="00F66F37">
        <w:t xml:space="preserve">електронних платіжних інструментів та еквайриновий бізнес </w:t>
      </w:r>
      <w:r w:rsidR="004628DC" w:rsidRPr="00F66F37">
        <w:t xml:space="preserve">втрачають привабливість </w:t>
      </w:r>
      <w:r w:rsidR="00BC4924" w:rsidRPr="00F66F37">
        <w:t xml:space="preserve">для банків; </w:t>
      </w:r>
      <w:r w:rsidR="009D3457" w:rsidRPr="00F66F37">
        <w:t>банки-емітенти не будуть розвивати карткові продукти та нарощу</w:t>
      </w:r>
      <w:r w:rsidR="00BC4924" w:rsidRPr="00F66F37">
        <w:t>вати емісію платіжних карток</w:t>
      </w:r>
      <w:r w:rsidR="008D4B07" w:rsidRPr="00F66F37">
        <w:t xml:space="preserve"> </w:t>
      </w:r>
      <w:r w:rsidR="00AB37FC" w:rsidRPr="001F4D87">
        <w:t>і заохочувати картодержателів до використання платіжних карток через програми лояльності та повернення частини міжбанківської комісії (</w:t>
      </w:r>
      <w:r w:rsidR="00AB37FC" w:rsidRPr="001F4D87">
        <w:rPr>
          <w:lang w:val="en-US"/>
        </w:rPr>
        <w:t>cash</w:t>
      </w:r>
      <w:r w:rsidR="00AB37FC" w:rsidRPr="001F4D87">
        <w:t xml:space="preserve"> </w:t>
      </w:r>
      <w:r w:rsidR="00AB37FC" w:rsidRPr="001F4D87">
        <w:rPr>
          <w:lang w:val="en-US"/>
        </w:rPr>
        <w:t>back</w:t>
      </w:r>
      <w:r w:rsidR="00AB37FC" w:rsidRPr="001F4D87">
        <w:t>)</w:t>
      </w:r>
      <w:r w:rsidR="00AB37FC" w:rsidRPr="00F66F37">
        <w:t xml:space="preserve"> </w:t>
      </w:r>
      <w:r w:rsidR="008D4B07" w:rsidRPr="00F66F37">
        <w:t>(або взагалі відмовляться від ведення цього бізнесу)</w:t>
      </w:r>
      <w:r w:rsidR="00BC4924" w:rsidRPr="00F66F37">
        <w:t xml:space="preserve">; </w:t>
      </w:r>
      <w:r w:rsidR="009D3457" w:rsidRPr="00F66F37">
        <w:t>банки-еквайри не будуть зацікавлені у розвитку</w:t>
      </w:r>
      <w:r w:rsidR="008D4B07" w:rsidRPr="00F66F37">
        <w:t xml:space="preserve"> платіжної інфраструктури, у тому числі</w:t>
      </w:r>
      <w:r w:rsidR="009D3457" w:rsidRPr="00F66F37">
        <w:t xml:space="preserve"> мере</w:t>
      </w:r>
      <w:r w:rsidR="00F91C77" w:rsidRPr="00F66F37">
        <w:t>жі POS-</w:t>
      </w:r>
      <w:r w:rsidR="00BC4924" w:rsidRPr="00F66F37">
        <w:t>терміналів.</w:t>
      </w:r>
      <w:r w:rsidR="00324E67" w:rsidRPr="00F66F37">
        <w:t xml:space="preserve"> </w:t>
      </w:r>
      <w:r w:rsidR="00BC4924" w:rsidRPr="00F66F37">
        <w:t>В результаті</w:t>
      </w:r>
      <w:r w:rsidR="009D3457" w:rsidRPr="00F66F37">
        <w:t xml:space="preserve"> це призведе до унеможливлення реалізації проекту Cashless economy та стагнації ринку платіжних послуг.</w:t>
      </w:r>
      <w:r w:rsidR="007C72FA" w:rsidRPr="00F66F37">
        <w:rPr>
          <w:lang w:val="ru-RU"/>
        </w:rPr>
        <w:t xml:space="preserve"> </w:t>
      </w:r>
    </w:p>
    <w:p w14:paraId="4A29A655" w14:textId="77777777" w:rsidR="00760174" w:rsidRPr="00F66F37" w:rsidRDefault="00760174" w:rsidP="003220E1">
      <w:pPr>
        <w:ind w:firstLine="708"/>
        <w:jc w:val="both"/>
        <w:rPr>
          <w:lang w:val="ru-RU"/>
        </w:rPr>
      </w:pPr>
    </w:p>
    <w:p w14:paraId="215735A7" w14:textId="77777777" w:rsidR="00B309DD" w:rsidRPr="00BE5C43" w:rsidRDefault="00A11829" w:rsidP="00566B06">
      <w:pPr>
        <w:ind w:firstLine="708"/>
        <w:jc w:val="both"/>
        <w:rPr>
          <w:color w:val="000000"/>
          <w:shd w:val="clear" w:color="auto" w:fill="FFFFFF"/>
        </w:rPr>
      </w:pPr>
      <w:r w:rsidRPr="00F66F37">
        <w:t xml:space="preserve">Регулювання </w:t>
      </w:r>
      <w:r w:rsidR="005F3FC7" w:rsidRPr="00F66F37">
        <w:t xml:space="preserve">комісій банку </w:t>
      </w:r>
      <w:r w:rsidR="00AB37FC" w:rsidRPr="00F66F37">
        <w:t xml:space="preserve">за еквайринг </w:t>
      </w:r>
      <w:r w:rsidR="005F3FC7" w:rsidRPr="00F66F37">
        <w:t>на рівні закону прямо суперечить вимогам статті 47 Закону України «</w:t>
      </w:r>
      <w:r w:rsidR="005F3FC7" w:rsidRPr="001F4D87">
        <w:rPr>
          <w:i/>
        </w:rPr>
        <w:t>Про банки і банківську діяльність</w:t>
      </w:r>
      <w:r w:rsidR="005F3FC7" w:rsidRPr="001F4D87">
        <w:t>», згідно з як</w:t>
      </w:r>
      <w:r w:rsidRPr="00F66F37">
        <w:t xml:space="preserve">ою </w:t>
      </w:r>
      <w:r w:rsidR="005F3FC7" w:rsidRPr="001F4D87">
        <w:t>«</w:t>
      </w:r>
      <w:r w:rsidR="005F3FC7" w:rsidRPr="001F4D87">
        <w:rPr>
          <w:i/>
        </w:rPr>
        <w:t>б</w:t>
      </w:r>
      <w:r w:rsidR="005F3FC7" w:rsidRPr="001F4D87">
        <w:rPr>
          <w:rStyle w:val="st42"/>
          <w:i/>
        </w:rPr>
        <w:t>анк самостійно встановлює процентні ставки та комісійну винагороду за надані послуги</w:t>
      </w:r>
      <w:r w:rsidR="005F3FC7" w:rsidRPr="001F4D87">
        <w:rPr>
          <w:rStyle w:val="st42"/>
        </w:rPr>
        <w:t>».</w:t>
      </w:r>
      <w:r w:rsidR="005F3FC7" w:rsidRPr="00F66F37">
        <w:t xml:space="preserve"> </w:t>
      </w:r>
      <w:r w:rsidRPr="00F66F37">
        <w:t xml:space="preserve"> Крім того,у  разі запровадження державного цінового регулювання, як це передбачено у Законопроекті, банки та інші учасники ринку зможуть вимагати компенсацій з бюджету, оскільки запропоновані цінові обмеження не відповідатимуть </w:t>
      </w:r>
      <w:r w:rsidRPr="00F66F37">
        <w:rPr>
          <w:color w:val="000000"/>
          <w:shd w:val="clear" w:color="auto" w:fill="FFFFFF"/>
        </w:rPr>
        <w:t>економічно обґрунтованому розміру відповідно до статті 15 Закону України "</w:t>
      </w:r>
      <w:r w:rsidRPr="001F4D87">
        <w:rPr>
          <w:i/>
          <w:color w:val="000000"/>
          <w:shd w:val="clear" w:color="auto" w:fill="FFFFFF"/>
        </w:rPr>
        <w:t>Про ціни і ціноутворення</w:t>
      </w:r>
      <w:r w:rsidRPr="00F66F37">
        <w:rPr>
          <w:color w:val="000000"/>
          <w:shd w:val="clear" w:color="auto" w:fill="FFFFFF"/>
        </w:rPr>
        <w:t xml:space="preserve">". </w:t>
      </w:r>
    </w:p>
    <w:p w14:paraId="2C080B99" w14:textId="77777777" w:rsidR="00B309DD" w:rsidRPr="00BE5C43" w:rsidRDefault="00B309DD" w:rsidP="00566B06">
      <w:pPr>
        <w:ind w:firstLine="708"/>
        <w:jc w:val="both"/>
        <w:rPr>
          <w:color w:val="000000"/>
          <w:shd w:val="clear" w:color="auto" w:fill="FFFFFF"/>
        </w:rPr>
      </w:pPr>
    </w:p>
    <w:p w14:paraId="7DA88CF7" w14:textId="29B1FB72" w:rsidR="00566B06" w:rsidRPr="00F66F37" w:rsidRDefault="00760174" w:rsidP="00566B06">
      <w:pPr>
        <w:ind w:firstLine="708"/>
        <w:jc w:val="both"/>
        <w:rPr>
          <w:b/>
        </w:rPr>
      </w:pPr>
      <w:r w:rsidRPr="001F4D87">
        <w:rPr>
          <w:b/>
        </w:rPr>
        <w:t xml:space="preserve">Експерти компаній-членів Палати вважають </w:t>
      </w:r>
      <w:r w:rsidR="007C0C03" w:rsidRPr="00F66F37">
        <w:rPr>
          <w:b/>
        </w:rPr>
        <w:t>за доцільне</w:t>
      </w:r>
      <w:r w:rsidR="007C72FA" w:rsidRPr="00F66F37">
        <w:rPr>
          <w:b/>
        </w:rPr>
        <w:t xml:space="preserve"> провести економічне дослідження впливу </w:t>
      </w:r>
      <w:r w:rsidRPr="00F66F37">
        <w:rPr>
          <w:b/>
        </w:rPr>
        <w:t>ініціатив щодо обмеження розміру</w:t>
      </w:r>
      <w:r w:rsidR="00566B06" w:rsidRPr="00F66F37">
        <w:rPr>
          <w:b/>
        </w:rPr>
        <w:t xml:space="preserve"> комісій банку за еквайринг та міжбанківських (інтерчендж) комісій</w:t>
      </w:r>
      <w:r w:rsidR="007C72FA" w:rsidRPr="00F66F37">
        <w:rPr>
          <w:b/>
        </w:rPr>
        <w:t xml:space="preserve"> на розвиток безготівкових платежів в Україні</w:t>
      </w:r>
      <w:r w:rsidR="007C0C03" w:rsidRPr="00F66F37">
        <w:rPr>
          <w:b/>
        </w:rPr>
        <w:t xml:space="preserve">. </w:t>
      </w:r>
      <w:r w:rsidR="00566B06" w:rsidRPr="00F66F37">
        <w:rPr>
          <w:b/>
        </w:rPr>
        <w:t xml:space="preserve"> Таке дослідження стане підставою для </w:t>
      </w:r>
      <w:r w:rsidR="007C72FA" w:rsidRPr="00F66F37">
        <w:rPr>
          <w:b/>
        </w:rPr>
        <w:t>визнач</w:t>
      </w:r>
      <w:r w:rsidR="00566B06" w:rsidRPr="00F66F37">
        <w:rPr>
          <w:b/>
        </w:rPr>
        <w:t xml:space="preserve">ення </w:t>
      </w:r>
      <w:r w:rsidR="007C72FA" w:rsidRPr="00F66F37">
        <w:rPr>
          <w:b/>
        </w:rPr>
        <w:t>економічно доцільн</w:t>
      </w:r>
      <w:r w:rsidR="00566B06" w:rsidRPr="00F66F37">
        <w:rPr>
          <w:b/>
        </w:rPr>
        <w:t>ої</w:t>
      </w:r>
      <w:r w:rsidR="007C72FA" w:rsidRPr="00F66F37">
        <w:rPr>
          <w:b/>
        </w:rPr>
        <w:t xml:space="preserve"> </w:t>
      </w:r>
      <w:r w:rsidR="005B6099" w:rsidRPr="00F66F37">
        <w:rPr>
          <w:b/>
        </w:rPr>
        <w:t>та виправдан</w:t>
      </w:r>
      <w:r w:rsidR="00566B06" w:rsidRPr="00F66F37">
        <w:rPr>
          <w:b/>
        </w:rPr>
        <w:t>ої</w:t>
      </w:r>
      <w:r w:rsidR="007C72FA" w:rsidRPr="00F66F37">
        <w:rPr>
          <w:b/>
        </w:rPr>
        <w:t xml:space="preserve"> комісі</w:t>
      </w:r>
      <w:r w:rsidR="00566B06" w:rsidRPr="00F66F37">
        <w:rPr>
          <w:b/>
        </w:rPr>
        <w:t xml:space="preserve">ї за вказані </w:t>
      </w:r>
      <w:r w:rsidR="007C72FA" w:rsidRPr="00F66F37">
        <w:rPr>
          <w:b/>
        </w:rPr>
        <w:t>послуги</w:t>
      </w:r>
      <w:r w:rsidR="00566B06" w:rsidRPr="00F66F37">
        <w:rPr>
          <w:b/>
        </w:rPr>
        <w:t>.   Більш того, на базі такого дослідження учасники ринку можуть самостійно домовитись про економічно доцільні комісії банків ринковими методами без адміністративного або іншого державного регулювання та втручання</w:t>
      </w:r>
      <w:r w:rsidR="007C72FA" w:rsidRPr="00F66F37">
        <w:rPr>
          <w:b/>
        </w:rPr>
        <w:t>.</w:t>
      </w:r>
      <w:r w:rsidR="00566B06" w:rsidRPr="00F66F37">
        <w:rPr>
          <w:b/>
        </w:rPr>
        <w:t xml:space="preserve">  У разі недосягнення згоди щодо розміру таких комісій чинне законодавство України про економічну конкуренцію вже передбачає можливості для встановлення та/або рекомендацій обмежень таких комісій.  </w:t>
      </w:r>
    </w:p>
    <w:p w14:paraId="44FBFBA0" w14:textId="5ED73E66" w:rsidR="00143245" w:rsidRPr="00F66F37" w:rsidRDefault="00143245" w:rsidP="0047646B">
      <w:pPr>
        <w:jc w:val="both"/>
        <w:rPr>
          <w:b/>
        </w:rPr>
      </w:pPr>
    </w:p>
    <w:p w14:paraId="7C47B808" w14:textId="74B4F8FC" w:rsidR="007E6646" w:rsidRPr="00F66F37" w:rsidRDefault="007D6068" w:rsidP="00E50D7B">
      <w:pPr>
        <w:ind w:firstLine="709"/>
        <w:jc w:val="both"/>
      </w:pPr>
      <w:r w:rsidRPr="00F66F37">
        <w:t>Просимо Вас врахувати позицію бізнес-спільноти</w:t>
      </w:r>
      <w:r w:rsidR="007743F4" w:rsidRPr="00F66F37">
        <w:t xml:space="preserve"> </w:t>
      </w:r>
      <w:r w:rsidRPr="00F66F37">
        <w:t>під час</w:t>
      </w:r>
      <w:r w:rsidR="00BE03E9" w:rsidRPr="00F66F37">
        <w:t xml:space="preserve"> роз</w:t>
      </w:r>
      <w:r w:rsidR="00E50D7B" w:rsidRPr="00F66F37">
        <w:t xml:space="preserve">гляду </w:t>
      </w:r>
      <w:r w:rsidR="007743F4" w:rsidRPr="00F66F37">
        <w:t>З</w:t>
      </w:r>
      <w:r w:rsidRPr="00F66F37">
        <w:t xml:space="preserve">аконопроекту </w:t>
      </w:r>
      <w:r w:rsidR="00E50D7B" w:rsidRPr="00F66F37">
        <w:t xml:space="preserve">Верховною Радою України. </w:t>
      </w:r>
    </w:p>
    <w:p w14:paraId="6ADCCE91" w14:textId="5A506774" w:rsidR="007D6068" w:rsidRPr="00F66F37" w:rsidRDefault="007D6068" w:rsidP="007D6068">
      <w:pPr>
        <w:jc w:val="both"/>
        <w:rPr>
          <w:b/>
          <w:lang w:val="ru-RU"/>
        </w:rPr>
      </w:pPr>
    </w:p>
    <w:p w14:paraId="5BD15DC2" w14:textId="008727FF" w:rsidR="00080533" w:rsidRPr="00F66F37" w:rsidRDefault="00080533" w:rsidP="00765876">
      <w:pPr>
        <w:spacing w:after="120"/>
        <w:ind w:firstLine="708"/>
        <w:jc w:val="both"/>
      </w:pPr>
      <w:r w:rsidRPr="00F66F37">
        <w:t xml:space="preserve">Будь ласка, ще раз прийміть запевнення у нашій глибокій повазі та побажання успіху. Ми високо цінуємо рівень нашої співпраці з Вами і розраховуємо на продовження плідної співпраці. </w:t>
      </w:r>
    </w:p>
    <w:p w14:paraId="7D995694" w14:textId="1940E4EE" w:rsidR="00986CE3" w:rsidRPr="00F66F37" w:rsidRDefault="00080533" w:rsidP="00E50D7B">
      <w:pPr>
        <w:spacing w:after="120"/>
        <w:ind w:firstLine="708"/>
        <w:jc w:val="both"/>
      </w:pPr>
      <w:r w:rsidRPr="00F66F37">
        <w:t>У разі виникнення будь-яких запитань щодо цього звернення просимо Вас визначити відповідальну особу, яка зможе звернутися за телефоном 490-58-00 та за електронною адресою bivaniuk@chamber.ua до Богдана Іванюка, менеджера з питань стратегічного розвитку (ба</w:t>
      </w:r>
      <w:r w:rsidR="000E5471" w:rsidRPr="00F66F37">
        <w:t>нківські та фінансові послуги).</w:t>
      </w:r>
    </w:p>
    <w:p w14:paraId="2DA7DB89" w14:textId="77777777" w:rsidR="003C7C5C" w:rsidRPr="00F66F37" w:rsidRDefault="003C7C5C" w:rsidP="004C4780">
      <w:pPr>
        <w:spacing w:after="240"/>
        <w:ind w:right="141"/>
        <w:jc w:val="both"/>
        <w:rPr>
          <w:b/>
        </w:rPr>
      </w:pPr>
    </w:p>
    <w:p w14:paraId="3819FF11" w14:textId="2DBC58CF" w:rsidR="00765876" w:rsidRPr="00F66F37" w:rsidRDefault="000E5471" w:rsidP="004C4780">
      <w:pPr>
        <w:spacing w:after="240"/>
        <w:ind w:right="141"/>
        <w:jc w:val="both"/>
        <w:rPr>
          <w:b/>
        </w:rPr>
      </w:pPr>
      <w:r w:rsidRPr="00F66F37">
        <w:rPr>
          <w:b/>
        </w:rPr>
        <w:t>З глибокою повагою,</w:t>
      </w:r>
    </w:p>
    <w:p w14:paraId="63F64DA5" w14:textId="760EB82C" w:rsidR="000E5471" w:rsidRPr="00E50D7B" w:rsidRDefault="000E5471" w:rsidP="00E50D7B">
      <w:pPr>
        <w:spacing w:after="240"/>
        <w:ind w:right="141"/>
        <w:rPr>
          <w:b/>
        </w:rPr>
      </w:pPr>
      <w:r w:rsidRPr="00F66F37">
        <w:rPr>
          <w:b/>
        </w:rPr>
        <w:t xml:space="preserve">Президент  </w:t>
      </w:r>
      <w:r w:rsidRPr="00F66F37">
        <w:rPr>
          <w:b/>
        </w:rPr>
        <w:tab/>
      </w:r>
      <w:r w:rsidRPr="00F66F37">
        <w:rPr>
          <w:b/>
        </w:rPr>
        <w:tab/>
      </w:r>
      <w:r w:rsidRPr="00F66F37">
        <w:rPr>
          <w:b/>
        </w:rPr>
        <w:tab/>
      </w:r>
      <w:r w:rsidRPr="00F66F37">
        <w:rPr>
          <w:b/>
        </w:rPr>
        <w:tab/>
      </w:r>
      <w:r w:rsidRPr="00F66F37">
        <w:rPr>
          <w:b/>
        </w:rPr>
        <w:tab/>
      </w:r>
      <w:r w:rsidRPr="00F66F37">
        <w:rPr>
          <w:b/>
        </w:rPr>
        <w:tab/>
      </w:r>
      <w:r w:rsidRPr="00F66F37">
        <w:rPr>
          <w:b/>
        </w:rPr>
        <w:tab/>
        <w:t xml:space="preserve">                            </w:t>
      </w:r>
      <w:r w:rsidR="004C4780" w:rsidRPr="00F66F37">
        <w:rPr>
          <w:b/>
        </w:rPr>
        <w:t xml:space="preserve"> </w:t>
      </w:r>
      <w:r w:rsidRPr="00F66F37">
        <w:rPr>
          <w:b/>
        </w:rPr>
        <w:t xml:space="preserve">   Андрій Гундер</w:t>
      </w:r>
    </w:p>
    <w:sectPr w:rsidR="000E5471" w:rsidRPr="00E50D7B" w:rsidSect="006E5552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EC99" w14:textId="77777777" w:rsidR="00D361CA" w:rsidRDefault="00D361CA" w:rsidP="000D03B1">
      <w:r>
        <w:separator/>
      </w:r>
    </w:p>
  </w:endnote>
  <w:endnote w:type="continuationSeparator" w:id="0">
    <w:p w14:paraId="7E43BC1D" w14:textId="77777777" w:rsidR="00D361CA" w:rsidRDefault="00D361CA" w:rsidP="000D03B1">
      <w:r>
        <w:continuationSeparator/>
      </w:r>
    </w:p>
  </w:endnote>
  <w:endnote w:type="continuationNotice" w:id="1">
    <w:p w14:paraId="6CE27402" w14:textId="77777777" w:rsidR="00D361CA" w:rsidRDefault="00D36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09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A9E28" w14:textId="218C72B0" w:rsidR="00760174" w:rsidRDefault="00760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C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B17447" w14:textId="1632BE48" w:rsidR="00C12D94" w:rsidRDefault="00C12D94" w:rsidP="006E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BD8A" w14:textId="77777777" w:rsidR="00D361CA" w:rsidRDefault="00D361CA" w:rsidP="000D03B1">
      <w:r>
        <w:separator/>
      </w:r>
    </w:p>
  </w:footnote>
  <w:footnote w:type="continuationSeparator" w:id="0">
    <w:p w14:paraId="1D735400" w14:textId="77777777" w:rsidR="00D361CA" w:rsidRDefault="00D361CA" w:rsidP="000D03B1">
      <w:r>
        <w:continuationSeparator/>
      </w:r>
    </w:p>
  </w:footnote>
  <w:footnote w:type="continuationNotice" w:id="1">
    <w:p w14:paraId="41A2B7B5" w14:textId="77777777" w:rsidR="00D361CA" w:rsidRDefault="00D36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EA69" w14:textId="45F6E123" w:rsidR="00F94407" w:rsidRPr="00B313F7" w:rsidRDefault="00F351A8" w:rsidP="001F4D87">
    <w:pPr>
      <w:pStyle w:val="Header"/>
      <w:jc w:val="right"/>
      <w:rPr>
        <w:u w:val="single"/>
      </w:rPr>
    </w:pPr>
    <w:r w:rsidRPr="00B313F7">
      <w:rPr>
        <w:b/>
        <w:sz w:val="20"/>
        <w:u w:val="single"/>
        <w:lang w:val="en-US"/>
      </w:rPr>
      <w:t>Comments (2): 7 September 2017</w:t>
    </w:r>
  </w:p>
  <w:p w14:paraId="7339CE94" w14:textId="0BB6FD87" w:rsidR="006E5552" w:rsidRPr="006E5552" w:rsidRDefault="006E5552" w:rsidP="00D119CE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5BB"/>
    <w:multiLevelType w:val="hybridMultilevel"/>
    <w:tmpl w:val="CA8A995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6AA31CC"/>
    <w:multiLevelType w:val="hybridMultilevel"/>
    <w:tmpl w:val="43DCBEC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4362CB"/>
    <w:multiLevelType w:val="hybridMultilevel"/>
    <w:tmpl w:val="94E47A4C"/>
    <w:lvl w:ilvl="0" w:tplc="910E372A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i" w:val="Kyiv - ENGLISH.ini"/>
  </w:docVars>
  <w:rsids>
    <w:rsidRoot w:val="00296E28"/>
    <w:rsid w:val="00011A75"/>
    <w:rsid w:val="000154E9"/>
    <w:rsid w:val="00034B18"/>
    <w:rsid w:val="00065951"/>
    <w:rsid w:val="00080533"/>
    <w:rsid w:val="000903A5"/>
    <w:rsid w:val="000A5762"/>
    <w:rsid w:val="000B2FF0"/>
    <w:rsid w:val="000B75BD"/>
    <w:rsid w:val="000D03B1"/>
    <w:rsid w:val="000E5471"/>
    <w:rsid w:val="000F06E5"/>
    <w:rsid w:val="000F0F17"/>
    <w:rsid w:val="000F4D24"/>
    <w:rsid w:val="001338E0"/>
    <w:rsid w:val="00143245"/>
    <w:rsid w:val="00152F00"/>
    <w:rsid w:val="00187E6F"/>
    <w:rsid w:val="001B416C"/>
    <w:rsid w:val="001B6DFA"/>
    <w:rsid w:val="001D50A5"/>
    <w:rsid w:val="001E4C42"/>
    <w:rsid w:val="001F0F87"/>
    <w:rsid w:val="001F4D87"/>
    <w:rsid w:val="002009C1"/>
    <w:rsid w:val="00206DC4"/>
    <w:rsid w:val="00207447"/>
    <w:rsid w:val="00213571"/>
    <w:rsid w:val="00240906"/>
    <w:rsid w:val="00275CD7"/>
    <w:rsid w:val="00296E28"/>
    <w:rsid w:val="002E00B6"/>
    <w:rsid w:val="003054C6"/>
    <w:rsid w:val="0031011F"/>
    <w:rsid w:val="00311CE0"/>
    <w:rsid w:val="003220E1"/>
    <w:rsid w:val="0032258B"/>
    <w:rsid w:val="00324E67"/>
    <w:rsid w:val="00351FD0"/>
    <w:rsid w:val="003969E5"/>
    <w:rsid w:val="003A7CC0"/>
    <w:rsid w:val="003C42CC"/>
    <w:rsid w:val="003C7C5C"/>
    <w:rsid w:val="003F2872"/>
    <w:rsid w:val="00461B58"/>
    <w:rsid w:val="004628DC"/>
    <w:rsid w:val="0047646B"/>
    <w:rsid w:val="004B02CD"/>
    <w:rsid w:val="004C4780"/>
    <w:rsid w:val="004E6C1D"/>
    <w:rsid w:val="00512D52"/>
    <w:rsid w:val="0054668B"/>
    <w:rsid w:val="00566B06"/>
    <w:rsid w:val="00572922"/>
    <w:rsid w:val="00573048"/>
    <w:rsid w:val="00573CFF"/>
    <w:rsid w:val="005B4C37"/>
    <w:rsid w:val="005B6099"/>
    <w:rsid w:val="005F3FC7"/>
    <w:rsid w:val="005F4C0B"/>
    <w:rsid w:val="006246F0"/>
    <w:rsid w:val="00631439"/>
    <w:rsid w:val="006331DD"/>
    <w:rsid w:val="00637E89"/>
    <w:rsid w:val="006432AE"/>
    <w:rsid w:val="00644A52"/>
    <w:rsid w:val="0066024C"/>
    <w:rsid w:val="00675A27"/>
    <w:rsid w:val="00677B22"/>
    <w:rsid w:val="00684FFB"/>
    <w:rsid w:val="006863A7"/>
    <w:rsid w:val="006D1F01"/>
    <w:rsid w:val="006E5552"/>
    <w:rsid w:val="006E5B5C"/>
    <w:rsid w:val="007039AA"/>
    <w:rsid w:val="007102AE"/>
    <w:rsid w:val="007165D5"/>
    <w:rsid w:val="00721DEE"/>
    <w:rsid w:val="00733707"/>
    <w:rsid w:val="00742F87"/>
    <w:rsid w:val="00753BD6"/>
    <w:rsid w:val="00760174"/>
    <w:rsid w:val="00760BB3"/>
    <w:rsid w:val="00760BC2"/>
    <w:rsid w:val="00765876"/>
    <w:rsid w:val="007743F4"/>
    <w:rsid w:val="007834D2"/>
    <w:rsid w:val="00792460"/>
    <w:rsid w:val="007A13D7"/>
    <w:rsid w:val="007A7D9C"/>
    <w:rsid w:val="007C0C03"/>
    <w:rsid w:val="007C72FA"/>
    <w:rsid w:val="007D6068"/>
    <w:rsid w:val="007E3B72"/>
    <w:rsid w:val="007E6646"/>
    <w:rsid w:val="007F0B3F"/>
    <w:rsid w:val="0080156B"/>
    <w:rsid w:val="008047BF"/>
    <w:rsid w:val="008179BB"/>
    <w:rsid w:val="008412C5"/>
    <w:rsid w:val="00857F1A"/>
    <w:rsid w:val="0086172D"/>
    <w:rsid w:val="008627D1"/>
    <w:rsid w:val="00862AD9"/>
    <w:rsid w:val="00866944"/>
    <w:rsid w:val="00882189"/>
    <w:rsid w:val="0088386B"/>
    <w:rsid w:val="008901C5"/>
    <w:rsid w:val="008919C6"/>
    <w:rsid w:val="008D4B07"/>
    <w:rsid w:val="008D6D7C"/>
    <w:rsid w:val="008E5D44"/>
    <w:rsid w:val="008E6EBF"/>
    <w:rsid w:val="008F67DD"/>
    <w:rsid w:val="0090778F"/>
    <w:rsid w:val="00937C90"/>
    <w:rsid w:val="00956458"/>
    <w:rsid w:val="0097171E"/>
    <w:rsid w:val="00981289"/>
    <w:rsid w:val="00986CE3"/>
    <w:rsid w:val="009B3A13"/>
    <w:rsid w:val="009D3457"/>
    <w:rsid w:val="009D4DF4"/>
    <w:rsid w:val="009F6339"/>
    <w:rsid w:val="009F727A"/>
    <w:rsid w:val="00A11829"/>
    <w:rsid w:val="00A4307D"/>
    <w:rsid w:val="00A4582B"/>
    <w:rsid w:val="00A71A79"/>
    <w:rsid w:val="00A77F03"/>
    <w:rsid w:val="00A96294"/>
    <w:rsid w:val="00A96CEF"/>
    <w:rsid w:val="00AA261C"/>
    <w:rsid w:val="00AB37FC"/>
    <w:rsid w:val="00AB5488"/>
    <w:rsid w:val="00AB65B5"/>
    <w:rsid w:val="00AC58F9"/>
    <w:rsid w:val="00AC66A5"/>
    <w:rsid w:val="00AF342E"/>
    <w:rsid w:val="00B131DA"/>
    <w:rsid w:val="00B15F3E"/>
    <w:rsid w:val="00B309DD"/>
    <w:rsid w:val="00B313F7"/>
    <w:rsid w:val="00B659FD"/>
    <w:rsid w:val="00B83CBC"/>
    <w:rsid w:val="00B84175"/>
    <w:rsid w:val="00BB3091"/>
    <w:rsid w:val="00BC4924"/>
    <w:rsid w:val="00BE03E9"/>
    <w:rsid w:val="00BE5C43"/>
    <w:rsid w:val="00C12D94"/>
    <w:rsid w:val="00C24767"/>
    <w:rsid w:val="00C5550C"/>
    <w:rsid w:val="00C56B88"/>
    <w:rsid w:val="00C60DBD"/>
    <w:rsid w:val="00C62EBA"/>
    <w:rsid w:val="00C67B6E"/>
    <w:rsid w:val="00C96709"/>
    <w:rsid w:val="00CB03F1"/>
    <w:rsid w:val="00CC4DE0"/>
    <w:rsid w:val="00CD09FB"/>
    <w:rsid w:val="00CF1D5C"/>
    <w:rsid w:val="00D119CE"/>
    <w:rsid w:val="00D15659"/>
    <w:rsid w:val="00D252B3"/>
    <w:rsid w:val="00D361CA"/>
    <w:rsid w:val="00D37A4D"/>
    <w:rsid w:val="00D4633D"/>
    <w:rsid w:val="00D535D7"/>
    <w:rsid w:val="00D550CD"/>
    <w:rsid w:val="00D62A70"/>
    <w:rsid w:val="00D93FC8"/>
    <w:rsid w:val="00D95F22"/>
    <w:rsid w:val="00DA3AE2"/>
    <w:rsid w:val="00DD01F5"/>
    <w:rsid w:val="00DE2F86"/>
    <w:rsid w:val="00DF4FBB"/>
    <w:rsid w:val="00DF795B"/>
    <w:rsid w:val="00E0626E"/>
    <w:rsid w:val="00E0748F"/>
    <w:rsid w:val="00E138BA"/>
    <w:rsid w:val="00E16577"/>
    <w:rsid w:val="00E252C6"/>
    <w:rsid w:val="00E26850"/>
    <w:rsid w:val="00E34784"/>
    <w:rsid w:val="00E41937"/>
    <w:rsid w:val="00E50B2D"/>
    <w:rsid w:val="00E50D7B"/>
    <w:rsid w:val="00E56E69"/>
    <w:rsid w:val="00E577FD"/>
    <w:rsid w:val="00E9034F"/>
    <w:rsid w:val="00E90777"/>
    <w:rsid w:val="00EA6DDC"/>
    <w:rsid w:val="00EC6133"/>
    <w:rsid w:val="00EC7B44"/>
    <w:rsid w:val="00EE0D63"/>
    <w:rsid w:val="00EF5CB6"/>
    <w:rsid w:val="00F00363"/>
    <w:rsid w:val="00F0767F"/>
    <w:rsid w:val="00F16ECA"/>
    <w:rsid w:val="00F311C4"/>
    <w:rsid w:val="00F351A8"/>
    <w:rsid w:val="00F40A9E"/>
    <w:rsid w:val="00F4793B"/>
    <w:rsid w:val="00F66F37"/>
    <w:rsid w:val="00F855BB"/>
    <w:rsid w:val="00F91C77"/>
    <w:rsid w:val="00F93EA2"/>
    <w:rsid w:val="00F94407"/>
    <w:rsid w:val="00F9496F"/>
    <w:rsid w:val="00FC5801"/>
    <w:rsid w:val="00FE2437"/>
    <w:rsid w:val="00FE3A91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BDCF6"/>
  <w15:docId w15:val="{DA7E3FC8-2E62-4EB9-A216-AB208E8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2">
    <w:name w:val="heading 2"/>
    <w:basedOn w:val="Normal"/>
    <w:link w:val="Heading2Char"/>
    <w:uiPriority w:val="9"/>
    <w:qFormat/>
    <w:rsid w:val="00721DE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7B22"/>
  </w:style>
  <w:style w:type="character" w:customStyle="1" w:styleId="Heading2Char">
    <w:name w:val="Heading 2 Char"/>
    <w:basedOn w:val="DefaultParagraphFont"/>
    <w:link w:val="Heading2"/>
    <w:uiPriority w:val="9"/>
    <w:rsid w:val="0072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9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ListParagraph">
    <w:name w:val="List Paragraph"/>
    <w:basedOn w:val="Normal"/>
    <w:qFormat/>
    <w:rsid w:val="008919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19C6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1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C6"/>
    <w:rPr>
      <w:rFonts w:ascii="Tahoma" w:eastAsia="Times New Roman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59"/>
    <w:rsid w:val="00A7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0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st42">
    <w:name w:val="st42"/>
    <w:uiPriority w:val="99"/>
    <w:rsid w:val="005F3FC7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AAD4-C56C-4AA4-A0D5-5831220E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Ivaniuk</cp:lastModifiedBy>
  <cp:revision>9</cp:revision>
  <cp:lastPrinted>2017-03-31T05:57:00Z</cp:lastPrinted>
  <dcterms:created xsi:type="dcterms:W3CDTF">2017-09-07T13:28:00Z</dcterms:created>
  <dcterms:modified xsi:type="dcterms:W3CDTF">2017-09-11T07:55:00Z</dcterms:modified>
</cp:coreProperties>
</file>