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BB" w:rsidRPr="00ED7FA6" w:rsidRDefault="00341EBB" w:rsidP="00ED7FA6">
      <w:pPr>
        <w:spacing w:after="0" w:line="240" w:lineRule="auto"/>
        <w:jc w:val="both"/>
        <w:rPr>
          <w:rFonts w:ascii="Times New Roman" w:hAnsi="Times New Roman" w:cs="Times New Roman"/>
          <w:i/>
          <w:sz w:val="24"/>
          <w:szCs w:val="24"/>
          <w:lang w:val="uk-UA"/>
        </w:rPr>
      </w:pPr>
      <w:bookmarkStart w:id="0" w:name="_Hlk490123130"/>
      <w:bookmarkStart w:id="1" w:name="_GoBack"/>
      <w:bookmarkEnd w:id="1"/>
    </w:p>
    <w:p w:rsidR="00341EBB" w:rsidRPr="00ED7FA6" w:rsidRDefault="00341EBB" w:rsidP="00ED7FA6">
      <w:pPr>
        <w:spacing w:after="0" w:line="240" w:lineRule="auto"/>
        <w:jc w:val="both"/>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ook w:val="04A0" w:firstRow="1" w:lastRow="0" w:firstColumn="1" w:lastColumn="0" w:noHBand="0" w:noVBand="1"/>
      </w:tblPr>
      <w:tblGrid>
        <w:gridCol w:w="3679"/>
        <w:gridCol w:w="1820"/>
        <w:gridCol w:w="5532"/>
      </w:tblGrid>
      <w:tr w:rsidR="00341EBB" w:rsidRPr="00ED7FA6" w:rsidTr="00116007">
        <w:trPr>
          <w:trHeight w:val="582"/>
        </w:trPr>
        <w:tc>
          <w:tcPr>
            <w:tcW w:w="3679" w:type="dxa"/>
          </w:tcPr>
          <w:p w:rsidR="00341EBB" w:rsidRPr="00ED7FA6" w:rsidRDefault="00341EBB" w:rsidP="00ED7FA6">
            <w:pPr>
              <w:tabs>
                <w:tab w:val="left" w:pos="709"/>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 xml:space="preserve">№ 17 - </w:t>
            </w:r>
          </w:p>
          <w:p w:rsidR="00341EBB" w:rsidRPr="00ED7FA6" w:rsidRDefault="00B04DD0" w:rsidP="00ED7FA6">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116007">
              <w:rPr>
                <w:rFonts w:ascii="Times New Roman" w:hAnsi="Times New Roman" w:cs="Times New Roman"/>
                <w:b/>
                <w:sz w:val="24"/>
                <w:szCs w:val="24"/>
                <w:lang w:val="uk-UA"/>
              </w:rPr>
              <w:t>6</w:t>
            </w:r>
            <w:r w:rsidR="00341EBB" w:rsidRPr="00ED7FA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вересня</w:t>
            </w:r>
            <w:r w:rsidR="00341EBB" w:rsidRPr="00ED7FA6">
              <w:rPr>
                <w:rFonts w:ascii="Times New Roman" w:hAnsi="Times New Roman" w:cs="Times New Roman"/>
                <w:b/>
                <w:sz w:val="24"/>
                <w:szCs w:val="24"/>
                <w:lang w:val="uk-UA"/>
              </w:rPr>
              <w:t xml:space="preserve"> 2017 року </w:t>
            </w:r>
          </w:p>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20" w:type="dxa"/>
          </w:tcPr>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1214" w:hanging="11"/>
              <w:jc w:val="both"/>
              <w:rPr>
                <w:rFonts w:ascii="Times New Roman" w:hAnsi="Times New Roman" w:cs="Times New Roman"/>
                <w:b/>
                <w:sz w:val="24"/>
                <w:szCs w:val="24"/>
                <w:lang w:val="uk-UA"/>
              </w:rPr>
            </w:pPr>
          </w:p>
        </w:tc>
        <w:tc>
          <w:tcPr>
            <w:tcW w:w="5532" w:type="dxa"/>
          </w:tcPr>
          <w:p w:rsidR="00EA53C9" w:rsidRPr="00ED7FA6" w:rsidRDefault="00EA53C9" w:rsidP="00EA53C9">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Міністру інфраструктури України</w:t>
            </w:r>
          </w:p>
          <w:p w:rsidR="00EA53C9" w:rsidRDefault="00EA53C9" w:rsidP="00EA53C9">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Омеляну</w:t>
            </w:r>
            <w:r w:rsidRPr="00ED7FA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w:t>
            </w:r>
            <w:r w:rsidRPr="00ED7FA6">
              <w:rPr>
                <w:rFonts w:ascii="Times New Roman" w:hAnsi="Times New Roman" w:cs="Times New Roman"/>
                <w:b/>
                <w:sz w:val="24"/>
                <w:szCs w:val="24"/>
                <w:lang w:val="uk-UA"/>
              </w:rPr>
              <w:t>.</w:t>
            </w:r>
            <w:r>
              <w:rPr>
                <w:rFonts w:ascii="Times New Roman" w:hAnsi="Times New Roman" w:cs="Times New Roman"/>
                <w:b/>
                <w:sz w:val="24"/>
                <w:szCs w:val="24"/>
                <w:lang w:val="uk-UA"/>
              </w:rPr>
              <w:t>В</w:t>
            </w:r>
            <w:r w:rsidRPr="00ED7FA6">
              <w:rPr>
                <w:rFonts w:ascii="Times New Roman" w:hAnsi="Times New Roman" w:cs="Times New Roman"/>
                <w:b/>
                <w:sz w:val="24"/>
                <w:szCs w:val="24"/>
                <w:lang w:val="uk-UA"/>
              </w:rPr>
              <w:t>.</w:t>
            </w:r>
          </w:p>
          <w:p w:rsidR="00341EBB" w:rsidRPr="00ED7FA6" w:rsidRDefault="00341EBB" w:rsidP="00ED7FA6">
            <w:pPr>
              <w:tabs>
                <w:tab w:val="left" w:pos="-724"/>
              </w:tabs>
              <w:spacing w:after="0" w:line="240" w:lineRule="auto"/>
              <w:jc w:val="both"/>
              <w:rPr>
                <w:rFonts w:ascii="Times New Roman" w:hAnsi="Times New Roman" w:cs="Times New Roman"/>
                <w:b/>
                <w:sz w:val="24"/>
                <w:szCs w:val="24"/>
                <w:lang w:val="uk-UA"/>
              </w:rPr>
            </w:pPr>
          </w:p>
        </w:tc>
      </w:tr>
      <w:tr w:rsidR="00341EBB" w:rsidRPr="00B04DD0" w:rsidTr="00116007">
        <w:trPr>
          <w:trHeight w:val="582"/>
        </w:trPr>
        <w:tc>
          <w:tcPr>
            <w:tcW w:w="3679" w:type="dxa"/>
          </w:tcPr>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20" w:type="dxa"/>
          </w:tcPr>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5532" w:type="dxa"/>
          </w:tcPr>
          <w:p w:rsidR="00044510" w:rsidRPr="00ED7FA6" w:rsidRDefault="00044510" w:rsidP="00EA53C9">
            <w:pPr>
              <w:tabs>
                <w:tab w:val="left" w:pos="-724"/>
              </w:tabs>
              <w:spacing w:after="0" w:line="240" w:lineRule="auto"/>
              <w:jc w:val="both"/>
              <w:rPr>
                <w:rFonts w:ascii="Times New Roman" w:eastAsia="Times New Roman" w:hAnsi="Times New Roman" w:cs="Times New Roman"/>
                <w:b/>
                <w:sz w:val="24"/>
                <w:szCs w:val="24"/>
                <w:lang w:val="uk-UA" w:eastAsia="ru-RU"/>
              </w:rPr>
            </w:pPr>
          </w:p>
        </w:tc>
      </w:tr>
    </w:tbl>
    <w:bookmarkEnd w:id="0"/>
    <w:p w:rsidR="00116007" w:rsidRPr="00EA53C9" w:rsidRDefault="00116007" w:rsidP="00EA53C9">
      <w:pPr>
        <w:spacing w:after="0" w:line="240" w:lineRule="auto"/>
        <w:rPr>
          <w:rFonts w:ascii="Times New Roman" w:hAnsi="Times New Roman" w:cs="Times New Roman"/>
          <w:i/>
          <w:sz w:val="24"/>
          <w:szCs w:val="24"/>
          <w:lang w:val="uk-UA"/>
        </w:rPr>
      </w:pPr>
      <w:proofErr w:type="spellStart"/>
      <w:r w:rsidRPr="00116007">
        <w:rPr>
          <w:rFonts w:ascii="Times New Roman" w:hAnsi="Times New Roman" w:cs="Times New Roman"/>
          <w:i/>
          <w:sz w:val="24"/>
          <w:szCs w:val="24"/>
        </w:rPr>
        <w:t>Щодо</w:t>
      </w:r>
      <w:proofErr w:type="spellEnd"/>
      <w:r w:rsidRPr="00116007">
        <w:rPr>
          <w:rFonts w:ascii="Times New Roman" w:hAnsi="Times New Roman" w:cs="Times New Roman"/>
          <w:i/>
          <w:sz w:val="24"/>
          <w:szCs w:val="24"/>
        </w:rPr>
        <w:t xml:space="preserve"> </w:t>
      </w:r>
      <w:r w:rsidR="00EA53C9">
        <w:rPr>
          <w:rFonts w:ascii="Times New Roman" w:hAnsi="Times New Roman" w:cs="Times New Roman"/>
          <w:i/>
          <w:sz w:val="24"/>
          <w:szCs w:val="24"/>
          <w:lang w:val="uk-UA"/>
        </w:rPr>
        <w:t xml:space="preserve">Порядку </w:t>
      </w:r>
      <w:r w:rsidR="00EA53C9" w:rsidRPr="00EA53C9">
        <w:rPr>
          <w:rFonts w:ascii="Times New Roman" w:hAnsi="Times New Roman" w:cs="Times New Roman"/>
          <w:i/>
          <w:color w:val="000000"/>
          <w:sz w:val="24"/>
          <w:szCs w:val="24"/>
          <w:lang w:val="uk-UA"/>
        </w:rPr>
        <w:t>компенсації  інвестицій</w:t>
      </w:r>
    </w:p>
    <w:p w:rsidR="00B04DD0" w:rsidRPr="00EA53C9" w:rsidRDefault="00B04DD0" w:rsidP="00B04DD0">
      <w:pPr>
        <w:spacing w:after="0" w:line="240" w:lineRule="auto"/>
        <w:rPr>
          <w:rFonts w:ascii="Times New Roman" w:eastAsia="Times New Roman" w:hAnsi="Times New Roman" w:cs="Times New Roman"/>
          <w:b/>
          <w:sz w:val="24"/>
          <w:szCs w:val="24"/>
          <w:lang w:eastAsia="ru-RU"/>
        </w:rPr>
      </w:pPr>
    </w:p>
    <w:p w:rsidR="00116007" w:rsidRPr="00EA53C9" w:rsidRDefault="00116007" w:rsidP="00B04DD0">
      <w:pPr>
        <w:spacing w:after="0" w:line="240" w:lineRule="auto"/>
        <w:rPr>
          <w:rFonts w:ascii="Times New Roman" w:hAnsi="Times New Roman" w:cs="Times New Roman"/>
          <w:b/>
          <w:color w:val="2F5496" w:themeColor="accent5" w:themeShade="BF"/>
          <w:sz w:val="24"/>
          <w:szCs w:val="24"/>
        </w:rPr>
      </w:pPr>
    </w:p>
    <w:p w:rsidR="00341EBB" w:rsidRPr="00ED7FA6" w:rsidRDefault="00E128B3" w:rsidP="00ED7FA6">
      <w:pPr>
        <w:spacing w:after="120" w:line="240" w:lineRule="auto"/>
        <w:jc w:val="center"/>
        <w:rPr>
          <w:rFonts w:ascii="Times New Roman" w:hAnsi="Times New Roman" w:cs="Times New Roman"/>
          <w:i/>
          <w:sz w:val="24"/>
          <w:szCs w:val="24"/>
          <w:lang w:val="uk-UA"/>
        </w:rPr>
      </w:pPr>
      <w:r w:rsidRPr="00ED7FA6">
        <w:rPr>
          <w:rFonts w:ascii="Times New Roman" w:hAnsi="Times New Roman" w:cs="Times New Roman"/>
          <w:b/>
          <w:i/>
          <w:sz w:val="24"/>
          <w:szCs w:val="24"/>
          <w:lang w:val="uk-UA"/>
        </w:rPr>
        <w:t>Шановн</w:t>
      </w:r>
      <w:r w:rsidR="00250430" w:rsidRPr="00ED7FA6">
        <w:rPr>
          <w:rFonts w:ascii="Times New Roman" w:hAnsi="Times New Roman" w:cs="Times New Roman"/>
          <w:b/>
          <w:i/>
          <w:sz w:val="24"/>
          <w:szCs w:val="24"/>
          <w:lang w:val="uk-UA"/>
        </w:rPr>
        <w:t>ий</w:t>
      </w:r>
      <w:r w:rsidRPr="00ED7FA6">
        <w:rPr>
          <w:rFonts w:ascii="Times New Roman" w:hAnsi="Times New Roman" w:cs="Times New Roman"/>
          <w:b/>
          <w:i/>
          <w:sz w:val="24"/>
          <w:szCs w:val="24"/>
          <w:lang w:val="uk-UA"/>
        </w:rPr>
        <w:t xml:space="preserve"> </w:t>
      </w:r>
      <w:r w:rsidR="00EA53C9">
        <w:rPr>
          <w:rFonts w:ascii="Times New Roman" w:hAnsi="Times New Roman" w:cs="Times New Roman"/>
          <w:b/>
          <w:i/>
          <w:sz w:val="24"/>
          <w:szCs w:val="24"/>
          <w:lang w:val="uk-UA"/>
        </w:rPr>
        <w:t>Володимир Володимировичу</w:t>
      </w:r>
      <w:r w:rsidR="00341EBB" w:rsidRPr="00ED7FA6">
        <w:rPr>
          <w:rFonts w:ascii="Times New Roman" w:hAnsi="Times New Roman" w:cs="Times New Roman"/>
          <w:i/>
          <w:sz w:val="24"/>
          <w:szCs w:val="24"/>
          <w:lang w:val="uk-UA"/>
        </w:rPr>
        <w:t>!</w:t>
      </w:r>
    </w:p>
    <w:p w:rsidR="004E40AD" w:rsidRPr="004E40AD" w:rsidRDefault="00341EBB" w:rsidP="00077365">
      <w:pPr>
        <w:spacing w:after="120" w:line="240" w:lineRule="auto"/>
        <w:ind w:firstLine="446"/>
        <w:jc w:val="both"/>
        <w:rPr>
          <w:rFonts w:ascii="Times New Roman" w:hAnsi="Times New Roman" w:cs="Times New Roman"/>
          <w:sz w:val="24"/>
          <w:szCs w:val="24"/>
          <w:lang w:val="uk-UA"/>
        </w:rPr>
      </w:pPr>
      <w:bookmarkStart w:id="2" w:name="_Hlk490123193"/>
      <w:r w:rsidRPr="00ED7FA6">
        <w:rPr>
          <w:rFonts w:ascii="Times New Roman" w:hAnsi="Times New Roman" w:cs="Times New Roman"/>
          <w:sz w:val="24"/>
          <w:szCs w:val="24"/>
          <w:lang w:val="uk-UA"/>
        </w:rPr>
        <w:t>Від імені Ради директорів Американської торгівельної палати в Україні (надалі - Палата) та компаній-членів засвідчуємо Вам глибоку повагу та звертаємось із наступним.</w:t>
      </w:r>
      <w:bookmarkEnd w:id="2"/>
    </w:p>
    <w:p w:rsidR="00EA53C9" w:rsidRPr="00EA53C9" w:rsidRDefault="00EA53C9" w:rsidP="00EA53C9">
      <w:pPr>
        <w:spacing w:after="120" w:line="240" w:lineRule="auto"/>
        <w:ind w:firstLine="446"/>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В ході обговорення проекту Порядку та умов укладання договорів, на підставі яких здійснюється компенсація інвестицій, внесених суб’єктами господарювання у стратегічні об’єкти портової інфраструктури (далі – Порядок компенсації інвестицій), яке відбулось 6.09.2017 року за участю представників Американської торгової палати Міністерством інфраструктури України було запропоновано:</w:t>
      </w:r>
    </w:p>
    <w:p w:rsidR="00EA53C9" w:rsidRPr="00EA53C9" w:rsidRDefault="00EA53C9" w:rsidP="00EA53C9">
      <w:pPr>
        <w:numPr>
          <w:ilvl w:val="0"/>
          <w:numId w:val="9"/>
        </w:numPr>
        <w:spacing w:after="120" w:line="240" w:lineRule="auto"/>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виключити з проекту Порядку компенсації інвестицій норми, що передбачають включення до витрат інвестора витрат, що пов’язані із залученням коштів на умовах кредиту для участі в реалізації інвестиційного проекту;</w:t>
      </w:r>
    </w:p>
    <w:p w:rsidR="00EA53C9" w:rsidRPr="00EA53C9" w:rsidRDefault="00EA53C9" w:rsidP="00EA53C9">
      <w:pPr>
        <w:numPr>
          <w:ilvl w:val="0"/>
          <w:numId w:val="9"/>
        </w:numPr>
        <w:spacing w:after="120" w:line="240" w:lineRule="auto"/>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поширити дію Порядку компенсації інвестицій на договори оренди, концесії, а також інші договори, укладені в рамках державно-приватного партнерства.</w:t>
      </w:r>
    </w:p>
    <w:p w:rsidR="00EA53C9" w:rsidRPr="00EA53C9" w:rsidRDefault="00EA53C9" w:rsidP="00EA53C9">
      <w:pPr>
        <w:spacing w:after="12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думку експертів компаній-членів Палати, пропозиція щодо поширення положень Порядку </w:t>
      </w:r>
      <w:r w:rsidRPr="00EA53C9">
        <w:rPr>
          <w:rFonts w:ascii="Times New Roman" w:hAnsi="Times New Roman" w:cs="Times New Roman"/>
          <w:sz w:val="24"/>
          <w:szCs w:val="24"/>
          <w:lang w:val="uk-UA"/>
        </w:rPr>
        <w:t>компенсації інвестицій на договори оренди, концесії та інші договори, укладені в рамках держа</w:t>
      </w:r>
      <w:r>
        <w:rPr>
          <w:rFonts w:ascii="Times New Roman" w:hAnsi="Times New Roman" w:cs="Times New Roman"/>
          <w:sz w:val="24"/>
          <w:szCs w:val="24"/>
          <w:lang w:val="uk-UA"/>
        </w:rPr>
        <w:t>вно-приватного партнерства</w:t>
      </w:r>
      <w:r w:rsidRPr="00EA53C9">
        <w:rPr>
          <w:rFonts w:ascii="Times New Roman" w:hAnsi="Times New Roman" w:cs="Times New Roman"/>
          <w:sz w:val="24"/>
          <w:szCs w:val="24"/>
          <w:lang w:val="uk-UA"/>
        </w:rPr>
        <w:t xml:space="preserve">, не узгоджується з діючим законодавством та з метою, яку планувалось досягти при включенні норми про компенсацію інвестицій в стратегічні об’єкти портової інфраструктури до ст. 27 Закону України </w:t>
      </w:r>
      <w:r>
        <w:rPr>
          <w:rFonts w:ascii="Times New Roman" w:hAnsi="Times New Roman" w:cs="Times New Roman"/>
          <w:sz w:val="24"/>
          <w:szCs w:val="24"/>
          <w:lang w:val="uk-UA"/>
        </w:rPr>
        <w:t>«</w:t>
      </w:r>
      <w:r w:rsidRPr="00EA53C9">
        <w:rPr>
          <w:rFonts w:ascii="Times New Roman" w:hAnsi="Times New Roman" w:cs="Times New Roman"/>
          <w:sz w:val="24"/>
          <w:szCs w:val="24"/>
          <w:lang w:val="uk-UA"/>
        </w:rPr>
        <w:t>Про морські порти України</w:t>
      </w:r>
      <w:r>
        <w:rPr>
          <w:rFonts w:ascii="Times New Roman" w:hAnsi="Times New Roman" w:cs="Times New Roman"/>
          <w:sz w:val="24"/>
          <w:szCs w:val="24"/>
          <w:lang w:val="uk-UA"/>
        </w:rPr>
        <w:t>» (далі - Закон)</w:t>
      </w:r>
      <w:r w:rsidRPr="00EA53C9">
        <w:rPr>
          <w:rFonts w:ascii="Times New Roman" w:hAnsi="Times New Roman" w:cs="Times New Roman"/>
          <w:sz w:val="24"/>
          <w:szCs w:val="24"/>
          <w:lang w:val="uk-UA"/>
        </w:rPr>
        <w:t>.  Так, відповідно до ч. 1 ст.</w:t>
      </w:r>
      <w:r>
        <w:rPr>
          <w:rFonts w:ascii="Times New Roman" w:hAnsi="Times New Roman" w:cs="Times New Roman"/>
          <w:sz w:val="24"/>
          <w:szCs w:val="24"/>
          <w:lang w:val="uk-UA"/>
        </w:rPr>
        <w:t xml:space="preserve"> </w:t>
      </w:r>
      <w:r w:rsidRPr="00EA53C9">
        <w:rPr>
          <w:rFonts w:ascii="Times New Roman" w:hAnsi="Times New Roman" w:cs="Times New Roman"/>
          <w:sz w:val="24"/>
          <w:szCs w:val="24"/>
          <w:lang w:val="uk-UA"/>
        </w:rPr>
        <w:t>26 Закону приватне інвестування в об’єкти портової інфраструктури державної форми власності на території морського порту здійснюється на підставі договорів концесії, договорів про спільну діяльність, договорів оренди, інших видів інвестиційних договорів, що укладаються на основі спеціальних процедур, визначених законами України. </w:t>
      </w:r>
    </w:p>
    <w:p w:rsidR="00EA53C9" w:rsidRPr="00EA53C9" w:rsidRDefault="00EA53C9" w:rsidP="00EA53C9">
      <w:pPr>
        <w:spacing w:after="120" w:line="240" w:lineRule="auto"/>
        <w:ind w:firstLine="446"/>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 xml:space="preserve">       Однією із таких </w:t>
      </w:r>
      <w:r>
        <w:rPr>
          <w:rFonts w:ascii="Times New Roman" w:hAnsi="Times New Roman" w:cs="Times New Roman"/>
          <w:sz w:val="24"/>
          <w:szCs w:val="24"/>
          <w:lang w:val="uk-UA"/>
        </w:rPr>
        <w:t>«</w:t>
      </w:r>
      <w:r w:rsidRPr="00EA53C9">
        <w:rPr>
          <w:rFonts w:ascii="Times New Roman" w:hAnsi="Times New Roman" w:cs="Times New Roman"/>
          <w:sz w:val="24"/>
          <w:szCs w:val="24"/>
          <w:lang w:val="uk-UA"/>
        </w:rPr>
        <w:t>спеціальних</w:t>
      </w:r>
      <w:r>
        <w:rPr>
          <w:rFonts w:ascii="Times New Roman" w:hAnsi="Times New Roman" w:cs="Times New Roman"/>
          <w:sz w:val="24"/>
          <w:szCs w:val="24"/>
          <w:lang w:val="uk-UA"/>
        </w:rPr>
        <w:t>»</w:t>
      </w:r>
      <w:r w:rsidRPr="00EA53C9">
        <w:rPr>
          <w:rFonts w:ascii="Times New Roman" w:hAnsi="Times New Roman" w:cs="Times New Roman"/>
          <w:sz w:val="24"/>
          <w:szCs w:val="24"/>
          <w:lang w:val="uk-UA"/>
        </w:rPr>
        <w:t xml:space="preserve"> процедур, визначених законами України, є процедура інвестування у стратегічні об’єкти портової інфраструктури, передбачена</w:t>
      </w:r>
      <w:r>
        <w:rPr>
          <w:rFonts w:ascii="Times New Roman" w:hAnsi="Times New Roman" w:cs="Times New Roman"/>
          <w:sz w:val="24"/>
          <w:szCs w:val="24"/>
          <w:lang w:val="uk-UA"/>
        </w:rPr>
        <w:t xml:space="preserve"> ч.1 ст. 27 Закону</w:t>
      </w:r>
      <w:r w:rsidRPr="00EA53C9">
        <w:rPr>
          <w:rFonts w:ascii="Times New Roman" w:hAnsi="Times New Roman" w:cs="Times New Roman"/>
          <w:sz w:val="24"/>
          <w:szCs w:val="24"/>
          <w:lang w:val="uk-UA"/>
        </w:rPr>
        <w:t xml:space="preserve">, яка передбачає можливість приватного інвестування у стратегічні об’єкти на компенсаційній основі. При цьому, така компенсація здійснюється на підставі відповідних договорів, які укладаються між адміністрацією морських портів України та інвесторами в порядку та на умовах, визначених Кабінетом Міністрів України. Саме на виконання вказаної статті і було розроблено зазначений проект постанови. </w:t>
      </w:r>
    </w:p>
    <w:p w:rsidR="00EA53C9" w:rsidRPr="00EA53C9" w:rsidRDefault="00EA53C9" w:rsidP="00EA53C9">
      <w:pPr>
        <w:spacing w:after="120" w:line="240" w:lineRule="auto"/>
        <w:ind w:firstLine="446"/>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 xml:space="preserve">Необхідність вказаної норми викликана перш за все тим, що стратегічні об’єкти портової інфраструктури є об’єктами з особливим правовим режимом: вони можуть знаходитись виключно в державній власності (за виключенням причалів) та в силу ч.2 ст. 23 Закону стратегічні  об’єкти не можуть бути передані в оренду чи концесію, приватизовані чи відчужені в інший спосіб (за виключенням причалів, які можуть передаватись в оренду, а також причалів, залізничних та автомобільних під’їзних шляхів  ліній зв’язку, засобів тепло-, газо-, водо- та електропостачання, інженерних комунікацій, які можуть бути об’єктами концесії у складі цілісних майнових комплексів). </w:t>
      </w:r>
    </w:p>
    <w:p w:rsidR="00EA53C9" w:rsidRPr="00EA53C9" w:rsidRDefault="00EA53C9" w:rsidP="00EA53C9">
      <w:pPr>
        <w:spacing w:after="120" w:line="240" w:lineRule="auto"/>
        <w:ind w:firstLine="446"/>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lastRenderedPageBreak/>
        <w:t>За таких обставин, можливість інвестування у вказані об’єкти на основі типових для цієї мети правових конструкцій є досить обмеженою.</w:t>
      </w:r>
    </w:p>
    <w:p w:rsidR="00EA53C9" w:rsidRPr="00EA53C9" w:rsidRDefault="00EA53C9" w:rsidP="00EA53C9">
      <w:pPr>
        <w:spacing w:after="120" w:line="240" w:lineRule="auto"/>
        <w:ind w:firstLine="446"/>
        <w:jc w:val="both"/>
        <w:rPr>
          <w:rFonts w:ascii="Times New Roman" w:hAnsi="Times New Roman" w:cs="Times New Roman"/>
          <w:sz w:val="24"/>
          <w:szCs w:val="24"/>
          <w:lang w:val="uk-UA"/>
        </w:rPr>
      </w:pPr>
      <w:r w:rsidRPr="00EA53C9">
        <w:rPr>
          <w:rFonts w:ascii="Times New Roman" w:hAnsi="Times New Roman" w:cs="Times New Roman"/>
          <w:sz w:val="24"/>
          <w:szCs w:val="24"/>
          <w:lang w:val="uk-UA"/>
        </w:rPr>
        <w:t>Що стосується правовідносин оренди, концесії чи інших форм державно-приватного партнерства, то варто зазначити, що кожен із перелічених видів договорів має особливе правове регулювання, в тому числі в частині правового режиму інвестицій, процедури їх здійснення та можливос</w:t>
      </w:r>
      <w:r w:rsidR="00B1457F">
        <w:rPr>
          <w:rFonts w:ascii="Times New Roman" w:hAnsi="Times New Roman" w:cs="Times New Roman"/>
          <w:sz w:val="24"/>
          <w:szCs w:val="24"/>
          <w:lang w:val="uk-UA"/>
        </w:rPr>
        <w:t xml:space="preserve">тей щодо компенсації. Очевидно, </w:t>
      </w:r>
      <w:r w:rsidRPr="00EA53C9">
        <w:rPr>
          <w:rFonts w:ascii="Times New Roman" w:hAnsi="Times New Roman" w:cs="Times New Roman"/>
          <w:sz w:val="24"/>
          <w:szCs w:val="24"/>
          <w:lang w:val="uk-UA"/>
        </w:rPr>
        <w:t xml:space="preserve">якщо причал (один із  стратегічних об’єктів) буде передано в оренду, то порядок здійснення та погодження поліпшень об’єкта оренди, а також порядок компенсації здійснених поліпшень. Буде регулюватись законом про оренду, який є спеціальною нормою в контексті даних правовідносин. </w:t>
      </w:r>
    </w:p>
    <w:p w:rsidR="00116007" w:rsidRPr="00116007" w:rsidRDefault="00EA53C9" w:rsidP="004844A7">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Експерти компаній-членів Палати</w:t>
      </w:r>
      <w:r w:rsidR="004844A7">
        <w:rPr>
          <w:rFonts w:ascii="Times New Roman" w:hAnsi="Times New Roman" w:cs="Times New Roman"/>
          <w:sz w:val="24"/>
          <w:szCs w:val="24"/>
          <w:lang w:val="uk-UA"/>
        </w:rPr>
        <w:t xml:space="preserve"> прийшли до висновку, що с</w:t>
      </w:r>
      <w:r w:rsidRPr="00EA53C9">
        <w:rPr>
          <w:rFonts w:ascii="Times New Roman" w:hAnsi="Times New Roman" w:cs="Times New Roman"/>
          <w:sz w:val="24"/>
          <w:szCs w:val="24"/>
          <w:lang w:val="uk-UA"/>
        </w:rPr>
        <w:t>фе</w:t>
      </w:r>
      <w:r w:rsidR="004844A7">
        <w:rPr>
          <w:rFonts w:ascii="Times New Roman" w:hAnsi="Times New Roman" w:cs="Times New Roman"/>
          <w:sz w:val="24"/>
          <w:szCs w:val="24"/>
          <w:lang w:val="uk-UA"/>
        </w:rPr>
        <w:t xml:space="preserve">рою регулювання даного Порядку </w:t>
      </w:r>
      <w:r w:rsidRPr="00EA53C9">
        <w:rPr>
          <w:rFonts w:ascii="Times New Roman" w:hAnsi="Times New Roman" w:cs="Times New Roman"/>
          <w:sz w:val="24"/>
          <w:szCs w:val="24"/>
          <w:lang w:val="uk-UA"/>
        </w:rPr>
        <w:t xml:space="preserve">є стратегічні об’єкти портової </w:t>
      </w:r>
      <w:proofErr w:type="spellStart"/>
      <w:r w:rsidRPr="00EA53C9">
        <w:rPr>
          <w:rFonts w:ascii="Times New Roman" w:hAnsi="Times New Roman" w:cs="Times New Roman"/>
          <w:sz w:val="24"/>
          <w:szCs w:val="24"/>
          <w:lang w:val="uk-UA"/>
        </w:rPr>
        <w:t>інфраструтури</w:t>
      </w:r>
      <w:proofErr w:type="spellEnd"/>
      <w:r w:rsidRPr="00EA53C9">
        <w:rPr>
          <w:rFonts w:ascii="Times New Roman" w:hAnsi="Times New Roman" w:cs="Times New Roman"/>
          <w:sz w:val="24"/>
          <w:szCs w:val="24"/>
          <w:lang w:val="uk-UA"/>
        </w:rPr>
        <w:t>, які не передані в оренду чи концесію та потребують інвестицій в будівництво, модернізацію чи ремонт.</w:t>
      </w:r>
      <w:r w:rsidR="004844A7">
        <w:rPr>
          <w:rFonts w:ascii="Times New Roman" w:hAnsi="Times New Roman" w:cs="Times New Roman"/>
          <w:sz w:val="24"/>
          <w:szCs w:val="24"/>
          <w:lang w:val="uk-UA"/>
        </w:rPr>
        <w:t xml:space="preserve"> </w:t>
      </w:r>
      <w:r w:rsidR="00077365" w:rsidRPr="00077365">
        <w:rPr>
          <w:rFonts w:ascii="Times New Roman" w:hAnsi="Times New Roman" w:cs="Times New Roman"/>
          <w:sz w:val="24"/>
          <w:szCs w:val="24"/>
          <w:lang w:val="uk-UA"/>
        </w:rPr>
        <w:t>Окрім того, експерти компаній-членів Палати готові продовжити діалог з представниками Міністерства інфраструктури України напрацю</w:t>
      </w:r>
      <w:r w:rsidR="00077365">
        <w:rPr>
          <w:rFonts w:ascii="Times New Roman" w:hAnsi="Times New Roman" w:cs="Times New Roman"/>
          <w:sz w:val="24"/>
          <w:szCs w:val="24"/>
          <w:lang w:val="uk-UA"/>
        </w:rPr>
        <w:t>вання консолідованих пропозицій</w:t>
      </w:r>
      <w:r w:rsidR="00077365" w:rsidRPr="00077365">
        <w:rPr>
          <w:rFonts w:ascii="Times New Roman" w:hAnsi="Times New Roman" w:cs="Times New Roman"/>
          <w:sz w:val="24"/>
          <w:szCs w:val="24"/>
          <w:lang w:val="uk-UA"/>
        </w:rPr>
        <w:t>.</w:t>
      </w:r>
    </w:p>
    <w:p w:rsidR="00341EBB" w:rsidRPr="004E40AD" w:rsidRDefault="00341EBB" w:rsidP="00077365">
      <w:pPr>
        <w:spacing w:after="120"/>
        <w:ind w:firstLine="446"/>
        <w:jc w:val="both"/>
        <w:rPr>
          <w:color w:val="000000"/>
          <w:lang w:val="uk-UA"/>
        </w:rPr>
      </w:pPr>
      <w:bookmarkStart w:id="3" w:name="_Hlk490125074"/>
      <w:r w:rsidRPr="00ED7FA6">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w:t>
      </w:r>
      <w:r w:rsidR="005B5214">
        <w:rPr>
          <w:rFonts w:ascii="Times New Roman" w:hAnsi="Times New Roman" w:cs="Times New Roman"/>
          <w:sz w:val="24"/>
          <w:szCs w:val="24"/>
          <w:lang w:val="uk-UA"/>
        </w:rPr>
        <w:t>Богдан Іванюк</w:t>
      </w:r>
      <w:r w:rsidRPr="00ED7FA6">
        <w:rPr>
          <w:rFonts w:ascii="Times New Roman" w:hAnsi="Times New Roman" w:cs="Times New Roman"/>
          <w:sz w:val="24"/>
          <w:szCs w:val="24"/>
          <w:lang w:val="uk-UA"/>
        </w:rPr>
        <w:t xml:space="preserve">, менеджер з питань стратегічного розвитку) або електронною поштою за </w:t>
      </w:r>
      <w:proofErr w:type="spellStart"/>
      <w:r w:rsidRPr="00ED7FA6">
        <w:rPr>
          <w:rFonts w:ascii="Times New Roman" w:hAnsi="Times New Roman" w:cs="Times New Roman"/>
          <w:sz w:val="24"/>
          <w:szCs w:val="24"/>
          <w:lang w:val="uk-UA"/>
        </w:rPr>
        <w:t>адресою</w:t>
      </w:r>
      <w:proofErr w:type="spellEnd"/>
      <w:r w:rsidRPr="00ED7FA6">
        <w:rPr>
          <w:rFonts w:ascii="Times New Roman" w:hAnsi="Times New Roman" w:cs="Times New Roman"/>
          <w:sz w:val="24"/>
          <w:szCs w:val="24"/>
          <w:lang w:val="uk-UA"/>
        </w:rPr>
        <w:t xml:space="preserve"> </w:t>
      </w:r>
      <w:hyperlink r:id="rId9" w:history="1">
        <w:r w:rsidR="0025756B" w:rsidRPr="00E74DF8">
          <w:rPr>
            <w:rStyle w:val="Hyperlink"/>
            <w:rFonts w:ascii="Times New Roman" w:hAnsi="Times New Roman" w:cs="Times New Roman"/>
            <w:sz w:val="24"/>
            <w:szCs w:val="24"/>
            <w:lang w:val="en-US"/>
          </w:rPr>
          <w:t>bivaniuk</w:t>
        </w:r>
        <w:r w:rsidR="0025756B" w:rsidRPr="00E74DF8">
          <w:rPr>
            <w:rStyle w:val="Hyperlink"/>
            <w:rFonts w:ascii="Times New Roman" w:hAnsi="Times New Roman" w:cs="Times New Roman"/>
            <w:sz w:val="24"/>
            <w:szCs w:val="24"/>
            <w:lang w:val="uk-UA"/>
          </w:rPr>
          <w:t>@chamber.ua</w:t>
        </w:r>
      </w:hyperlink>
      <w:r w:rsidRPr="00ED7FA6">
        <w:rPr>
          <w:rFonts w:ascii="Times New Roman" w:hAnsi="Times New Roman" w:cs="Times New Roman"/>
          <w:sz w:val="24"/>
          <w:szCs w:val="24"/>
          <w:lang w:val="uk-UA"/>
        </w:rPr>
        <w:t>.</w:t>
      </w:r>
    </w:p>
    <w:p w:rsidR="00ED7FA6" w:rsidRDefault="00ED7FA6"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r w:rsidRPr="00ED7FA6">
        <w:rPr>
          <w:rFonts w:ascii="Times New Roman" w:eastAsia="Calibri" w:hAnsi="Times New Roman" w:cs="Times New Roman"/>
          <w:b/>
          <w:sz w:val="24"/>
          <w:szCs w:val="24"/>
          <w:lang w:val="uk-UA"/>
        </w:rPr>
        <w:t>З повагою,</w:t>
      </w: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ED7FA6" w:rsidRDefault="00341EBB" w:rsidP="00ED7FA6">
      <w:pPr>
        <w:spacing w:after="120" w:line="240" w:lineRule="auto"/>
        <w:jc w:val="both"/>
        <w:rPr>
          <w:rFonts w:ascii="Times New Roman" w:hAnsi="Times New Roman" w:cs="Times New Roman"/>
          <w:b/>
          <w:sz w:val="24"/>
          <w:szCs w:val="24"/>
          <w:lang w:val="uk-UA"/>
        </w:rPr>
      </w:pPr>
      <w:r w:rsidRPr="00ED7FA6">
        <w:rPr>
          <w:rFonts w:ascii="Times New Roman" w:eastAsia="Calibri" w:hAnsi="Times New Roman" w:cs="Times New Roman"/>
          <w:b/>
          <w:sz w:val="24"/>
          <w:szCs w:val="24"/>
          <w:lang w:val="uk-UA"/>
        </w:rPr>
        <w:t>Президент</w:t>
      </w:r>
      <w:r w:rsidRPr="00ED7FA6">
        <w:rPr>
          <w:rFonts w:ascii="Times New Roman" w:eastAsia="Calibri"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Андрій Гундер</w:t>
      </w:r>
    </w:p>
    <w:bookmarkEnd w:id="3"/>
    <w:p w:rsidR="00671D83" w:rsidRPr="000E2FED" w:rsidRDefault="00671D83" w:rsidP="00EC6399">
      <w:pPr>
        <w:spacing w:after="0" w:line="240" w:lineRule="auto"/>
        <w:rPr>
          <w:rFonts w:ascii="Times New Roman" w:hAnsi="Times New Roman" w:cs="Times New Roman"/>
          <w:b/>
          <w:sz w:val="24"/>
          <w:szCs w:val="24"/>
          <w:lang w:val="uk-UA"/>
        </w:rPr>
      </w:pPr>
    </w:p>
    <w:sectPr w:rsidR="00671D83" w:rsidRPr="000E2FED" w:rsidSect="00EC6399">
      <w:headerReference w:type="even" r:id="rId10"/>
      <w:headerReference w:type="default" r:id="rId11"/>
      <w:headerReference w:type="first" r:id="rId12"/>
      <w:pgSz w:w="11906" w:h="16838"/>
      <w:pgMar w:top="1411" w:right="360" w:bottom="1138"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80" w:rsidRDefault="00DA5780" w:rsidP="00341EBB">
      <w:pPr>
        <w:spacing w:after="0" w:line="240" w:lineRule="auto"/>
      </w:pPr>
      <w:r>
        <w:separator/>
      </w:r>
    </w:p>
  </w:endnote>
  <w:endnote w:type="continuationSeparator" w:id="0">
    <w:p w:rsidR="00DA5780" w:rsidRDefault="00DA5780"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80" w:rsidRDefault="00DA5780" w:rsidP="00341EBB">
      <w:pPr>
        <w:spacing w:after="0" w:line="240" w:lineRule="auto"/>
      </w:pPr>
      <w:r>
        <w:separator/>
      </w:r>
    </w:p>
  </w:footnote>
  <w:footnote w:type="continuationSeparator" w:id="0">
    <w:p w:rsidR="00DA5780" w:rsidRDefault="00DA5780" w:rsidP="0034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DA57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DA57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DA57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2602DA"/>
    <w:multiLevelType w:val="hybridMultilevel"/>
    <w:tmpl w:val="38A8EBFA"/>
    <w:lvl w:ilvl="0" w:tplc="48EC13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2415D"/>
    <w:rsid w:val="00044510"/>
    <w:rsid w:val="00063915"/>
    <w:rsid w:val="00077365"/>
    <w:rsid w:val="00082B4D"/>
    <w:rsid w:val="000E2FED"/>
    <w:rsid w:val="000E42D8"/>
    <w:rsid w:val="000F1DED"/>
    <w:rsid w:val="000F3B39"/>
    <w:rsid w:val="00112487"/>
    <w:rsid w:val="00115815"/>
    <w:rsid w:val="00116007"/>
    <w:rsid w:val="0012332C"/>
    <w:rsid w:val="00134B97"/>
    <w:rsid w:val="00153898"/>
    <w:rsid w:val="00197FE3"/>
    <w:rsid w:val="001C1837"/>
    <w:rsid w:val="001E2774"/>
    <w:rsid w:val="001F088D"/>
    <w:rsid w:val="002024C5"/>
    <w:rsid w:val="002402C0"/>
    <w:rsid w:val="002445B0"/>
    <w:rsid w:val="00250430"/>
    <w:rsid w:val="0025756B"/>
    <w:rsid w:val="00260039"/>
    <w:rsid w:val="00276626"/>
    <w:rsid w:val="00297DC6"/>
    <w:rsid w:val="002A5F6C"/>
    <w:rsid w:val="002C6678"/>
    <w:rsid w:val="002F3BE2"/>
    <w:rsid w:val="002F624C"/>
    <w:rsid w:val="00307D45"/>
    <w:rsid w:val="00341D77"/>
    <w:rsid w:val="00341EBB"/>
    <w:rsid w:val="00345C22"/>
    <w:rsid w:val="003645B8"/>
    <w:rsid w:val="003735BC"/>
    <w:rsid w:val="003C20AF"/>
    <w:rsid w:val="00450AC1"/>
    <w:rsid w:val="004844A7"/>
    <w:rsid w:val="004C624A"/>
    <w:rsid w:val="004E40AD"/>
    <w:rsid w:val="004F1285"/>
    <w:rsid w:val="00536B80"/>
    <w:rsid w:val="00543FB7"/>
    <w:rsid w:val="00551001"/>
    <w:rsid w:val="00551872"/>
    <w:rsid w:val="00560FE9"/>
    <w:rsid w:val="005666B8"/>
    <w:rsid w:val="005B5214"/>
    <w:rsid w:val="005F03CA"/>
    <w:rsid w:val="005F41CA"/>
    <w:rsid w:val="00614B17"/>
    <w:rsid w:val="00671D83"/>
    <w:rsid w:val="0068025F"/>
    <w:rsid w:val="00685FC5"/>
    <w:rsid w:val="006B7224"/>
    <w:rsid w:val="006F3881"/>
    <w:rsid w:val="00717906"/>
    <w:rsid w:val="00754673"/>
    <w:rsid w:val="00792857"/>
    <w:rsid w:val="007B1953"/>
    <w:rsid w:val="007F04AF"/>
    <w:rsid w:val="008B68CC"/>
    <w:rsid w:val="00922D5E"/>
    <w:rsid w:val="00951349"/>
    <w:rsid w:val="009649C9"/>
    <w:rsid w:val="009861DC"/>
    <w:rsid w:val="009F566C"/>
    <w:rsid w:val="00A04C04"/>
    <w:rsid w:val="00A70E4D"/>
    <w:rsid w:val="00A71D88"/>
    <w:rsid w:val="00A8111A"/>
    <w:rsid w:val="00AA72B3"/>
    <w:rsid w:val="00AF4589"/>
    <w:rsid w:val="00B04DD0"/>
    <w:rsid w:val="00B1457F"/>
    <w:rsid w:val="00B43797"/>
    <w:rsid w:val="00B6160B"/>
    <w:rsid w:val="00B86EF1"/>
    <w:rsid w:val="00BF6AC5"/>
    <w:rsid w:val="00C1091F"/>
    <w:rsid w:val="00C35C3C"/>
    <w:rsid w:val="00C55C29"/>
    <w:rsid w:val="00CE4035"/>
    <w:rsid w:val="00CF0CC1"/>
    <w:rsid w:val="00D11B7B"/>
    <w:rsid w:val="00D1506F"/>
    <w:rsid w:val="00D23016"/>
    <w:rsid w:val="00D434BF"/>
    <w:rsid w:val="00D71555"/>
    <w:rsid w:val="00D80782"/>
    <w:rsid w:val="00DA5780"/>
    <w:rsid w:val="00DC0230"/>
    <w:rsid w:val="00DF3A09"/>
    <w:rsid w:val="00DF68EE"/>
    <w:rsid w:val="00E0636B"/>
    <w:rsid w:val="00E118AE"/>
    <w:rsid w:val="00E128B3"/>
    <w:rsid w:val="00E41725"/>
    <w:rsid w:val="00E46086"/>
    <w:rsid w:val="00E7703F"/>
    <w:rsid w:val="00EA53C9"/>
    <w:rsid w:val="00EC6399"/>
    <w:rsid w:val="00ED7073"/>
    <w:rsid w:val="00ED7FA6"/>
    <w:rsid w:val="00F072EE"/>
    <w:rsid w:val="00F1448F"/>
    <w:rsid w:val="00F809D4"/>
    <w:rsid w:val="00FD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vaniuk@chamber.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D731-1F5F-4356-A575-B1FF9F8B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2935</Words>
  <Characters>1673</Characters>
  <Application>Microsoft Office Word</Application>
  <DocSecurity>0</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Olga Pidluzhna</cp:lastModifiedBy>
  <cp:revision>2</cp:revision>
  <cp:lastPrinted>2017-08-10T06:50:00Z</cp:lastPrinted>
  <dcterms:created xsi:type="dcterms:W3CDTF">2017-10-03T07:32:00Z</dcterms:created>
  <dcterms:modified xsi:type="dcterms:W3CDTF">2017-10-03T07:32:00Z</dcterms:modified>
</cp:coreProperties>
</file>