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47" w:rsidRPr="00385DD5" w:rsidRDefault="000A5047" w:rsidP="000A5047">
      <w:pPr>
        <w:rPr>
          <w:rFonts w:ascii="Times New Roman" w:hAnsi="Times New Roman" w:cs="Times New Roman"/>
          <w:sz w:val="24"/>
          <w:szCs w:val="24"/>
        </w:rPr>
      </w:pPr>
    </w:p>
    <w:p w:rsidR="00062E16" w:rsidRDefault="00062E16" w:rsidP="000A5047">
      <w:pPr>
        <w:rPr>
          <w:rFonts w:ascii="Times New Roman" w:hAnsi="Times New Roman" w:cs="Times New Roman"/>
          <w:sz w:val="24"/>
          <w:szCs w:val="24"/>
        </w:rPr>
      </w:pPr>
    </w:p>
    <w:p w:rsidR="001C74B3" w:rsidRDefault="001C74B3" w:rsidP="000A5047">
      <w:pPr>
        <w:rPr>
          <w:rFonts w:ascii="Times New Roman" w:hAnsi="Times New Roman" w:cs="Times New Roman"/>
          <w:sz w:val="24"/>
          <w:szCs w:val="24"/>
        </w:rPr>
      </w:pPr>
    </w:p>
    <w:p w:rsidR="001C74B3" w:rsidRPr="00385DD5" w:rsidRDefault="001C74B3" w:rsidP="000A5047">
      <w:pPr>
        <w:rPr>
          <w:rFonts w:ascii="Times New Roman" w:hAnsi="Times New Roman" w:cs="Times New Roman"/>
          <w:sz w:val="24"/>
          <w:szCs w:val="24"/>
        </w:rPr>
      </w:pPr>
    </w:p>
    <w:p w:rsidR="0065303C" w:rsidRPr="00385DD5" w:rsidRDefault="0065303C" w:rsidP="00062E16">
      <w:pPr>
        <w:pStyle w:val="NormalWeb"/>
        <w:shd w:val="clear" w:color="auto" w:fill="FFFFFF"/>
        <w:spacing w:before="0" w:beforeAutospacing="0" w:after="0" w:afterAutospacing="0"/>
        <w:contextualSpacing/>
        <w:mirrorIndents/>
        <w:jc w:val="both"/>
        <w:rPr>
          <w:b/>
          <w:lang w:val="uk-UA"/>
        </w:rPr>
      </w:pPr>
    </w:p>
    <w:tbl>
      <w:tblPr>
        <w:tblpPr w:leftFromText="180" w:rightFromText="180" w:vertAnchor="text" w:horzAnchor="margin" w:tblpXSpec="center" w:tblpY="-49"/>
        <w:tblW w:w="0" w:type="auto"/>
        <w:tblLook w:val="04A0" w:firstRow="1" w:lastRow="0" w:firstColumn="1" w:lastColumn="0" w:noHBand="0" w:noVBand="1"/>
      </w:tblPr>
      <w:tblGrid>
        <w:gridCol w:w="5178"/>
        <w:gridCol w:w="564"/>
        <w:gridCol w:w="4113"/>
      </w:tblGrid>
      <w:tr w:rsidR="0065303C" w:rsidRPr="00385DD5" w:rsidTr="00062E16">
        <w:tc>
          <w:tcPr>
            <w:tcW w:w="5178" w:type="dxa"/>
            <w:shd w:val="clear" w:color="auto" w:fill="auto"/>
          </w:tcPr>
          <w:p w:rsidR="0065303C" w:rsidRPr="00A91AFE" w:rsidRDefault="0065303C" w:rsidP="006618B3">
            <w:pPr>
              <w:spacing w:after="120" w:line="240" w:lineRule="auto"/>
              <w:jc w:val="both"/>
              <w:rPr>
                <w:rFonts w:ascii="Times New Roman" w:hAnsi="Times New Roman" w:cs="Times New Roman"/>
                <w:sz w:val="24"/>
                <w:szCs w:val="24"/>
                <w:lang w:val="en-US"/>
              </w:rPr>
            </w:pPr>
            <w:r w:rsidRPr="00385DD5">
              <w:rPr>
                <w:rFonts w:ascii="Times New Roman" w:hAnsi="Times New Roman" w:cs="Times New Roman"/>
                <w:sz w:val="24"/>
                <w:szCs w:val="24"/>
              </w:rPr>
              <w:t xml:space="preserve">№ </w:t>
            </w:r>
            <w:r w:rsidR="00676270">
              <w:rPr>
                <w:rFonts w:ascii="Times New Roman" w:hAnsi="Times New Roman" w:cs="Times New Roman"/>
                <w:sz w:val="24"/>
                <w:szCs w:val="24"/>
              </w:rPr>
              <w:t>1</w:t>
            </w:r>
            <w:r w:rsidR="00676270" w:rsidRPr="00676270">
              <w:rPr>
                <w:rFonts w:ascii="Times New Roman" w:hAnsi="Times New Roman" w:cs="Times New Roman"/>
                <w:sz w:val="24"/>
                <w:szCs w:val="24"/>
                <w:lang w:val="ru-RU"/>
              </w:rPr>
              <w:t>7</w:t>
            </w:r>
            <w:r w:rsidR="00B80F32" w:rsidRPr="00385DD5">
              <w:rPr>
                <w:rFonts w:ascii="Times New Roman" w:hAnsi="Times New Roman" w:cs="Times New Roman"/>
                <w:sz w:val="24"/>
                <w:szCs w:val="24"/>
              </w:rPr>
              <w:t xml:space="preserve"> - </w:t>
            </w:r>
            <w:r w:rsidR="00A91AFE">
              <w:rPr>
                <w:rFonts w:ascii="Times New Roman" w:hAnsi="Times New Roman" w:cs="Times New Roman"/>
                <w:sz w:val="24"/>
                <w:szCs w:val="24"/>
                <w:lang w:val="en-US"/>
              </w:rPr>
              <w:t>79</w:t>
            </w:r>
            <w:bookmarkStart w:id="0" w:name="_GoBack"/>
            <w:bookmarkEnd w:id="0"/>
          </w:p>
          <w:p w:rsidR="0065303C" w:rsidRPr="00385DD5" w:rsidRDefault="00B2033E" w:rsidP="00314FFD">
            <w:pPr>
              <w:spacing w:after="120" w:line="240" w:lineRule="auto"/>
              <w:jc w:val="both"/>
              <w:rPr>
                <w:rFonts w:ascii="Times New Roman" w:hAnsi="Times New Roman" w:cs="Times New Roman"/>
                <w:sz w:val="24"/>
                <w:szCs w:val="24"/>
              </w:rPr>
            </w:pPr>
            <w:r>
              <w:rPr>
                <w:rFonts w:ascii="Times New Roman" w:hAnsi="Times New Roman" w:cs="Times New Roman"/>
                <w:sz w:val="24"/>
                <w:szCs w:val="24"/>
                <w:lang w:val="ru-RU"/>
              </w:rPr>
              <w:t>2</w:t>
            </w:r>
            <w:r w:rsidR="00314FFD">
              <w:rPr>
                <w:rFonts w:ascii="Times New Roman" w:hAnsi="Times New Roman" w:cs="Times New Roman"/>
                <w:sz w:val="24"/>
                <w:szCs w:val="24"/>
                <w:lang w:val="en-US"/>
              </w:rPr>
              <w:t>4</w:t>
            </w:r>
            <w:r w:rsidR="00676270">
              <w:rPr>
                <w:rFonts w:ascii="Times New Roman" w:hAnsi="Times New Roman" w:cs="Times New Roman"/>
                <w:sz w:val="24"/>
                <w:szCs w:val="24"/>
                <w:lang w:val="ru-RU"/>
              </w:rPr>
              <w:t xml:space="preserve"> </w:t>
            </w:r>
            <w:proofErr w:type="gramStart"/>
            <w:r w:rsidR="00676270">
              <w:rPr>
                <w:rFonts w:ascii="Times New Roman" w:hAnsi="Times New Roman" w:cs="Times New Roman"/>
                <w:sz w:val="24"/>
                <w:szCs w:val="24"/>
                <w:lang w:val="ru-RU"/>
              </w:rPr>
              <w:t>лютого</w:t>
            </w:r>
            <w:proofErr w:type="gramEnd"/>
            <w:r w:rsidR="00676270">
              <w:rPr>
                <w:rFonts w:ascii="Times New Roman" w:hAnsi="Times New Roman" w:cs="Times New Roman"/>
                <w:sz w:val="24"/>
                <w:szCs w:val="24"/>
              </w:rPr>
              <w:t xml:space="preserve"> 201</w:t>
            </w:r>
            <w:r w:rsidR="00676270">
              <w:rPr>
                <w:rFonts w:ascii="Times New Roman" w:hAnsi="Times New Roman" w:cs="Times New Roman"/>
                <w:sz w:val="24"/>
                <w:szCs w:val="24"/>
                <w:lang w:val="ru-RU"/>
              </w:rPr>
              <w:t>7</w:t>
            </w:r>
            <w:r w:rsidR="0065303C" w:rsidRPr="00385DD5">
              <w:rPr>
                <w:rFonts w:ascii="Times New Roman" w:hAnsi="Times New Roman" w:cs="Times New Roman"/>
                <w:sz w:val="24"/>
                <w:szCs w:val="24"/>
              </w:rPr>
              <w:t xml:space="preserve"> року </w:t>
            </w:r>
          </w:p>
        </w:tc>
        <w:tc>
          <w:tcPr>
            <w:tcW w:w="564" w:type="dxa"/>
            <w:shd w:val="clear" w:color="auto" w:fill="auto"/>
          </w:tcPr>
          <w:p w:rsidR="0065303C" w:rsidRPr="00385DD5" w:rsidRDefault="0065303C" w:rsidP="0065303C">
            <w:pPr>
              <w:spacing w:after="120" w:line="240" w:lineRule="auto"/>
              <w:ind w:firstLine="426"/>
              <w:jc w:val="both"/>
              <w:rPr>
                <w:rFonts w:ascii="Times New Roman" w:hAnsi="Times New Roman" w:cs="Times New Roman"/>
                <w:sz w:val="24"/>
                <w:szCs w:val="24"/>
              </w:rPr>
            </w:pPr>
          </w:p>
        </w:tc>
        <w:tc>
          <w:tcPr>
            <w:tcW w:w="4113" w:type="dxa"/>
            <w:shd w:val="clear" w:color="auto" w:fill="auto"/>
          </w:tcPr>
          <w:p w:rsidR="00C84B33" w:rsidRPr="00385DD5" w:rsidRDefault="00C84B33" w:rsidP="00FA7E04">
            <w:pPr>
              <w:spacing w:after="0" w:line="240" w:lineRule="auto"/>
              <w:rPr>
                <w:rFonts w:ascii="Times New Roman" w:hAnsi="Times New Roman" w:cs="Times New Roman"/>
                <w:b/>
                <w:sz w:val="24"/>
                <w:szCs w:val="24"/>
              </w:rPr>
            </w:pPr>
            <w:r w:rsidRPr="00385DD5">
              <w:rPr>
                <w:rFonts w:ascii="Times New Roman" w:hAnsi="Times New Roman" w:cs="Times New Roman"/>
                <w:b/>
                <w:sz w:val="24"/>
                <w:szCs w:val="24"/>
              </w:rPr>
              <w:t xml:space="preserve">Голові Національної комісії, що здійснює державне регулювання у сферах енергетики </w:t>
            </w:r>
          </w:p>
          <w:p w:rsidR="00C84B33" w:rsidRPr="00385DD5" w:rsidRDefault="00C84B33" w:rsidP="00FA7E04">
            <w:pPr>
              <w:spacing w:after="0" w:line="240" w:lineRule="auto"/>
              <w:rPr>
                <w:rFonts w:ascii="Times New Roman" w:hAnsi="Times New Roman" w:cs="Times New Roman"/>
                <w:b/>
                <w:sz w:val="24"/>
                <w:szCs w:val="24"/>
              </w:rPr>
            </w:pPr>
            <w:r w:rsidRPr="00385DD5">
              <w:rPr>
                <w:rFonts w:ascii="Times New Roman" w:hAnsi="Times New Roman" w:cs="Times New Roman"/>
                <w:b/>
                <w:sz w:val="24"/>
                <w:szCs w:val="24"/>
              </w:rPr>
              <w:t xml:space="preserve">та комунальних послуг </w:t>
            </w:r>
          </w:p>
          <w:p w:rsidR="0065303C" w:rsidRPr="00385DD5" w:rsidRDefault="00C84B33" w:rsidP="00FA7E04">
            <w:pPr>
              <w:spacing w:after="0" w:line="240" w:lineRule="auto"/>
              <w:rPr>
                <w:rFonts w:ascii="Times New Roman" w:hAnsi="Times New Roman" w:cs="Times New Roman"/>
                <w:sz w:val="24"/>
                <w:szCs w:val="24"/>
              </w:rPr>
            </w:pPr>
            <w:r w:rsidRPr="00385DD5">
              <w:rPr>
                <w:rFonts w:ascii="Times New Roman" w:hAnsi="Times New Roman" w:cs="Times New Roman"/>
                <w:b/>
                <w:sz w:val="24"/>
                <w:szCs w:val="24"/>
              </w:rPr>
              <w:t>Вовку Д.В.</w:t>
            </w:r>
          </w:p>
        </w:tc>
      </w:tr>
      <w:tr w:rsidR="00062E16" w:rsidRPr="00385DD5" w:rsidTr="00062E16">
        <w:trPr>
          <w:gridAfter w:val="2"/>
          <w:wAfter w:w="4677" w:type="dxa"/>
        </w:trPr>
        <w:tc>
          <w:tcPr>
            <w:tcW w:w="5178" w:type="dxa"/>
            <w:shd w:val="clear" w:color="auto" w:fill="auto"/>
          </w:tcPr>
          <w:tbl>
            <w:tblPr>
              <w:tblStyle w:val="TableGrid"/>
              <w:tblpPr w:leftFromText="180" w:rightFromText="180" w:horzAnchor="margin" w:tblpY="495"/>
              <w:tblOverlap w:val="never"/>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062E16" w:rsidRPr="00385DD5" w:rsidTr="006618B3">
              <w:tc>
                <w:tcPr>
                  <w:tcW w:w="4962" w:type="dxa"/>
                </w:tcPr>
                <w:p w:rsidR="002703B5" w:rsidRPr="00487B4E" w:rsidRDefault="002703B5" w:rsidP="003264A0">
                  <w:pPr>
                    <w:spacing w:after="120"/>
                    <w:jc w:val="both"/>
                    <w:rPr>
                      <w:rFonts w:ascii="Times New Roman" w:hAnsi="Times New Roman" w:cs="Times New Roman"/>
                      <w:i/>
                      <w:sz w:val="24"/>
                      <w:szCs w:val="24"/>
                      <w:lang w:val="ru-RU"/>
                    </w:rPr>
                  </w:pPr>
                  <w:r w:rsidRPr="00385DD5">
                    <w:rPr>
                      <w:rFonts w:ascii="Times New Roman" w:hAnsi="Times New Roman" w:cs="Times New Roman"/>
                      <w:i/>
                      <w:sz w:val="24"/>
                      <w:szCs w:val="24"/>
                    </w:rPr>
                    <w:t>Щодо</w:t>
                  </w:r>
                  <w:r w:rsidR="00487B4E">
                    <w:rPr>
                      <w:rFonts w:ascii="Times New Roman" w:hAnsi="Times New Roman" w:cs="Times New Roman"/>
                      <w:i/>
                      <w:sz w:val="24"/>
                      <w:szCs w:val="24"/>
                    </w:rPr>
                    <w:t xml:space="preserve"> пропозицій до </w:t>
                  </w:r>
                  <w:r w:rsidR="00487B4E">
                    <w:t xml:space="preserve"> </w:t>
                  </w:r>
                  <w:r w:rsidR="00487B4E" w:rsidRPr="00487B4E">
                    <w:rPr>
                      <w:rFonts w:ascii="Times New Roman" w:hAnsi="Times New Roman" w:cs="Times New Roman"/>
                      <w:i/>
                      <w:sz w:val="24"/>
                      <w:szCs w:val="24"/>
                    </w:rPr>
                    <w:t>проект</w:t>
                  </w:r>
                  <w:r w:rsidR="00487B4E">
                    <w:rPr>
                      <w:rFonts w:ascii="Times New Roman" w:hAnsi="Times New Roman" w:cs="Times New Roman"/>
                      <w:i/>
                      <w:sz w:val="24"/>
                      <w:szCs w:val="24"/>
                    </w:rPr>
                    <w:t>у</w:t>
                  </w:r>
                  <w:r w:rsidR="00487B4E" w:rsidRPr="00487B4E">
                    <w:rPr>
                      <w:rFonts w:ascii="Times New Roman" w:hAnsi="Times New Roman" w:cs="Times New Roman"/>
                      <w:i/>
                      <w:sz w:val="24"/>
                      <w:szCs w:val="24"/>
                    </w:rPr>
                    <w:t xml:space="preserve"> змін до </w:t>
                  </w:r>
                  <w:r w:rsidR="00487B4E">
                    <w:rPr>
                      <w:rFonts w:ascii="Times New Roman" w:hAnsi="Times New Roman" w:cs="Times New Roman"/>
                      <w:i/>
                      <w:sz w:val="24"/>
                      <w:szCs w:val="24"/>
                    </w:rPr>
                    <w:t>К</w:t>
                  </w:r>
                  <w:r w:rsidR="00487B4E" w:rsidRPr="00487B4E">
                    <w:rPr>
                      <w:rFonts w:ascii="Times New Roman" w:hAnsi="Times New Roman" w:cs="Times New Roman"/>
                      <w:i/>
                      <w:sz w:val="24"/>
                      <w:szCs w:val="24"/>
                    </w:rPr>
                    <w:t>одексу газотранспортної системи, затвердженого постановою НКРЕКП від 30.09 2015 р. №2493</w:t>
                  </w:r>
                  <w:r w:rsidRPr="00385DD5">
                    <w:rPr>
                      <w:rFonts w:ascii="Times New Roman" w:hAnsi="Times New Roman" w:cs="Times New Roman"/>
                      <w:i/>
                      <w:sz w:val="24"/>
                      <w:szCs w:val="24"/>
                    </w:rPr>
                    <w:t xml:space="preserve"> </w:t>
                  </w:r>
                </w:p>
                <w:p w:rsidR="00062E16" w:rsidRPr="00385DD5" w:rsidRDefault="00062E16" w:rsidP="00531CE6">
                  <w:pPr>
                    <w:spacing w:after="120"/>
                    <w:rPr>
                      <w:rFonts w:ascii="Times New Roman" w:hAnsi="Times New Roman" w:cs="Times New Roman"/>
                      <w:i/>
                      <w:sz w:val="24"/>
                      <w:szCs w:val="24"/>
                    </w:rPr>
                  </w:pPr>
                </w:p>
              </w:tc>
            </w:tr>
          </w:tbl>
          <w:p w:rsidR="00062E16" w:rsidRPr="00385DD5" w:rsidRDefault="00062E16" w:rsidP="0065303C">
            <w:pPr>
              <w:spacing w:after="120" w:line="240" w:lineRule="auto"/>
              <w:ind w:firstLine="426"/>
              <w:jc w:val="both"/>
              <w:rPr>
                <w:rFonts w:ascii="Times New Roman" w:hAnsi="Times New Roman" w:cs="Times New Roman"/>
                <w:sz w:val="24"/>
                <w:szCs w:val="24"/>
              </w:rPr>
            </w:pPr>
          </w:p>
        </w:tc>
      </w:tr>
    </w:tbl>
    <w:p w:rsidR="00FC394B" w:rsidRPr="00385DD5" w:rsidRDefault="00FC394B" w:rsidP="00FC394B">
      <w:pPr>
        <w:spacing w:after="120" w:line="240" w:lineRule="auto"/>
        <w:ind w:firstLine="426"/>
        <w:jc w:val="center"/>
        <w:rPr>
          <w:rFonts w:ascii="Times New Roman" w:hAnsi="Times New Roman" w:cs="Times New Roman"/>
          <w:b/>
          <w:sz w:val="24"/>
          <w:szCs w:val="24"/>
        </w:rPr>
      </w:pPr>
      <w:r w:rsidRPr="00385DD5">
        <w:rPr>
          <w:rFonts w:ascii="Times New Roman" w:hAnsi="Times New Roman" w:cs="Times New Roman"/>
          <w:b/>
          <w:sz w:val="24"/>
          <w:szCs w:val="24"/>
        </w:rPr>
        <w:t xml:space="preserve">Шановний </w:t>
      </w:r>
      <w:r w:rsidR="00C84B33" w:rsidRPr="00385DD5">
        <w:rPr>
          <w:rFonts w:ascii="Times New Roman" w:hAnsi="Times New Roman" w:cs="Times New Roman"/>
          <w:b/>
          <w:sz w:val="24"/>
          <w:szCs w:val="24"/>
        </w:rPr>
        <w:t>Дмитре Володимировичу</w:t>
      </w:r>
      <w:r w:rsidR="002C15CB" w:rsidRPr="00385DD5">
        <w:rPr>
          <w:rFonts w:ascii="Times New Roman" w:hAnsi="Times New Roman" w:cs="Times New Roman"/>
          <w:b/>
          <w:sz w:val="24"/>
          <w:szCs w:val="24"/>
        </w:rPr>
        <w:t>!</w:t>
      </w:r>
    </w:p>
    <w:p w:rsidR="00FC394B" w:rsidRPr="00385DD5" w:rsidRDefault="00FC394B" w:rsidP="00FC394B">
      <w:pPr>
        <w:spacing w:after="120" w:line="240" w:lineRule="auto"/>
        <w:ind w:firstLine="426"/>
        <w:jc w:val="both"/>
        <w:rPr>
          <w:rFonts w:ascii="Times New Roman" w:hAnsi="Times New Roman" w:cs="Times New Roman"/>
          <w:sz w:val="24"/>
          <w:szCs w:val="24"/>
        </w:rPr>
      </w:pPr>
      <w:r w:rsidRPr="00385DD5">
        <w:rPr>
          <w:rFonts w:ascii="Times New Roman" w:hAnsi="Times New Roman" w:cs="Times New Roman"/>
          <w:sz w:val="24"/>
          <w:szCs w:val="24"/>
        </w:rPr>
        <w:t>Від імені Рад</w:t>
      </w:r>
      <w:r w:rsidR="006618B3" w:rsidRPr="00385DD5">
        <w:rPr>
          <w:rFonts w:ascii="Times New Roman" w:hAnsi="Times New Roman" w:cs="Times New Roman"/>
          <w:sz w:val="24"/>
          <w:szCs w:val="24"/>
        </w:rPr>
        <w:t>и директорів Американської торгі</w:t>
      </w:r>
      <w:r w:rsidRPr="00385DD5">
        <w:rPr>
          <w:rFonts w:ascii="Times New Roman" w:hAnsi="Times New Roman" w:cs="Times New Roman"/>
          <w:sz w:val="24"/>
          <w:szCs w:val="24"/>
        </w:rPr>
        <w:t>вельної палати в Ук</w:t>
      </w:r>
      <w:r w:rsidR="002C15CB" w:rsidRPr="00385DD5">
        <w:rPr>
          <w:rFonts w:ascii="Times New Roman" w:hAnsi="Times New Roman" w:cs="Times New Roman"/>
          <w:sz w:val="24"/>
          <w:szCs w:val="24"/>
        </w:rPr>
        <w:t xml:space="preserve">раїні (далі – Палата) засвідчуємо Вам свою повагу та </w:t>
      </w:r>
      <w:r w:rsidR="00531CE6" w:rsidRPr="00385DD5">
        <w:rPr>
          <w:rFonts w:ascii="Times New Roman" w:hAnsi="Times New Roman" w:cs="Times New Roman"/>
          <w:sz w:val="24"/>
          <w:szCs w:val="24"/>
        </w:rPr>
        <w:t>звертаємось</w:t>
      </w:r>
      <w:r w:rsidR="002C15CB" w:rsidRPr="00385DD5">
        <w:rPr>
          <w:rFonts w:ascii="Times New Roman" w:hAnsi="Times New Roman" w:cs="Times New Roman"/>
          <w:sz w:val="24"/>
          <w:szCs w:val="24"/>
        </w:rPr>
        <w:t xml:space="preserve"> </w:t>
      </w:r>
      <w:r w:rsidR="00487B4E">
        <w:rPr>
          <w:rFonts w:ascii="Times New Roman" w:hAnsi="Times New Roman" w:cs="Times New Roman"/>
          <w:sz w:val="24"/>
          <w:szCs w:val="24"/>
        </w:rPr>
        <w:t>із наступним</w:t>
      </w:r>
      <w:r w:rsidR="00676270">
        <w:rPr>
          <w:rFonts w:ascii="Times New Roman" w:hAnsi="Times New Roman" w:cs="Times New Roman"/>
          <w:sz w:val="24"/>
          <w:szCs w:val="24"/>
        </w:rPr>
        <w:t>.</w:t>
      </w:r>
    </w:p>
    <w:p w:rsidR="00AD422B" w:rsidRPr="00AD422B" w:rsidRDefault="00487B4E" w:rsidP="00487B4E">
      <w:pPr>
        <w:spacing w:after="120" w:line="240" w:lineRule="auto"/>
        <w:ind w:firstLine="426"/>
        <w:jc w:val="both"/>
        <w:rPr>
          <w:rFonts w:ascii="Times New Roman" w:hAnsi="Times New Roman" w:cs="Times New Roman"/>
          <w:sz w:val="24"/>
          <w:szCs w:val="24"/>
        </w:rPr>
      </w:pPr>
      <w:r>
        <w:rPr>
          <w:rFonts w:ascii="Times New Roman" w:hAnsi="Times New Roman" w:cs="Times New Roman"/>
          <w:sz w:val="24"/>
          <w:szCs w:val="24"/>
        </w:rPr>
        <w:t>27.01.</w:t>
      </w:r>
      <w:r w:rsidR="00AD422B" w:rsidRPr="00AD422B">
        <w:rPr>
          <w:rFonts w:ascii="Times New Roman" w:hAnsi="Times New Roman" w:cs="Times New Roman"/>
          <w:sz w:val="24"/>
          <w:szCs w:val="24"/>
        </w:rPr>
        <w:t xml:space="preserve">2017р. на сайті </w:t>
      </w:r>
      <w:r w:rsidRPr="00487B4E">
        <w:rPr>
          <w:rFonts w:ascii="Times New Roman" w:hAnsi="Times New Roman" w:cs="Times New Roman"/>
          <w:sz w:val="24"/>
          <w:szCs w:val="24"/>
        </w:rPr>
        <w:t xml:space="preserve">Національної комісії, що здійснює державне регулювання у сферах енергетики та комунальних послуг </w:t>
      </w:r>
      <w:r>
        <w:rPr>
          <w:rFonts w:ascii="Times New Roman" w:hAnsi="Times New Roman" w:cs="Times New Roman"/>
          <w:sz w:val="24"/>
          <w:szCs w:val="24"/>
        </w:rPr>
        <w:t xml:space="preserve">(далі – </w:t>
      </w:r>
      <w:r w:rsidR="00AD422B" w:rsidRPr="00AD422B">
        <w:rPr>
          <w:rFonts w:ascii="Times New Roman" w:hAnsi="Times New Roman" w:cs="Times New Roman"/>
          <w:sz w:val="24"/>
          <w:szCs w:val="24"/>
        </w:rPr>
        <w:t>НКРЕКП</w:t>
      </w:r>
      <w:r>
        <w:rPr>
          <w:rFonts w:ascii="Times New Roman" w:hAnsi="Times New Roman" w:cs="Times New Roman"/>
          <w:sz w:val="24"/>
          <w:szCs w:val="24"/>
        </w:rPr>
        <w:t>)</w:t>
      </w:r>
      <w:r w:rsidR="00AD422B" w:rsidRPr="00AD422B">
        <w:rPr>
          <w:rFonts w:ascii="Times New Roman" w:hAnsi="Times New Roman" w:cs="Times New Roman"/>
          <w:sz w:val="24"/>
          <w:szCs w:val="24"/>
        </w:rPr>
        <w:t xml:space="preserve"> б</w:t>
      </w:r>
      <w:r>
        <w:rPr>
          <w:rFonts w:ascii="Times New Roman" w:hAnsi="Times New Roman" w:cs="Times New Roman"/>
          <w:sz w:val="24"/>
          <w:szCs w:val="24"/>
        </w:rPr>
        <w:t>уло оприлюднено проект змін до К</w:t>
      </w:r>
      <w:r w:rsidR="00AD422B" w:rsidRPr="00AD422B">
        <w:rPr>
          <w:rFonts w:ascii="Times New Roman" w:hAnsi="Times New Roman" w:cs="Times New Roman"/>
          <w:sz w:val="24"/>
          <w:szCs w:val="24"/>
        </w:rPr>
        <w:t>одексу газотранспортної системи</w:t>
      </w:r>
      <w:r w:rsidR="005E4B54">
        <w:rPr>
          <w:rFonts w:ascii="Times New Roman" w:hAnsi="Times New Roman" w:cs="Times New Roman"/>
          <w:sz w:val="24"/>
          <w:szCs w:val="24"/>
        </w:rPr>
        <w:t xml:space="preserve"> (далі </w:t>
      </w:r>
      <w:r w:rsidR="005E4B54">
        <w:rPr>
          <w:rFonts w:ascii="Times New Roman" w:hAnsi="Times New Roman" w:cs="Times New Roman"/>
          <w:sz w:val="24"/>
          <w:szCs w:val="24"/>
        </w:rPr>
        <w:t xml:space="preserve">– </w:t>
      </w:r>
      <w:r w:rsidR="005E4B54">
        <w:rPr>
          <w:rFonts w:ascii="Times New Roman" w:hAnsi="Times New Roman" w:cs="Times New Roman"/>
          <w:sz w:val="24"/>
          <w:szCs w:val="24"/>
        </w:rPr>
        <w:t>ГТС)</w:t>
      </w:r>
      <w:r w:rsidR="00AD422B" w:rsidRPr="00AD422B">
        <w:rPr>
          <w:rFonts w:ascii="Times New Roman" w:hAnsi="Times New Roman" w:cs="Times New Roman"/>
          <w:sz w:val="24"/>
          <w:szCs w:val="24"/>
        </w:rPr>
        <w:t>, затвердженого постановою НКРЕКП від 30.09</w:t>
      </w:r>
      <w:r>
        <w:rPr>
          <w:rFonts w:ascii="Times New Roman" w:hAnsi="Times New Roman" w:cs="Times New Roman"/>
          <w:sz w:val="24"/>
          <w:szCs w:val="24"/>
        </w:rPr>
        <w:t>.</w:t>
      </w:r>
      <w:r w:rsidR="00AD422B" w:rsidRPr="00AD422B">
        <w:rPr>
          <w:rFonts w:ascii="Times New Roman" w:hAnsi="Times New Roman" w:cs="Times New Roman"/>
          <w:sz w:val="24"/>
          <w:szCs w:val="24"/>
        </w:rPr>
        <w:t>2015 р. №2493.</w:t>
      </w:r>
    </w:p>
    <w:p w:rsidR="00AD422B" w:rsidRPr="00AD422B" w:rsidRDefault="00AD422B" w:rsidP="00AD422B">
      <w:pPr>
        <w:spacing w:after="120" w:line="240" w:lineRule="auto"/>
        <w:ind w:firstLine="426"/>
        <w:jc w:val="both"/>
        <w:rPr>
          <w:rFonts w:ascii="Times New Roman" w:hAnsi="Times New Roman" w:cs="Times New Roman"/>
          <w:sz w:val="24"/>
          <w:szCs w:val="24"/>
        </w:rPr>
      </w:pPr>
      <w:r w:rsidRPr="00AD422B">
        <w:rPr>
          <w:rFonts w:ascii="Times New Roman" w:hAnsi="Times New Roman" w:cs="Times New Roman"/>
          <w:sz w:val="24"/>
          <w:szCs w:val="24"/>
        </w:rPr>
        <w:t xml:space="preserve">Від імені компаній-членів Американської торгової палати висловлюємо свою вдячність за врегулювання питання та внесення відповідних змін до пункту 15 розділу ІІІ кодексу ГТС щодо підстав, коли Оператор має право не прийняти природний газ в систему. Вважаємо, що це було виваженим та вірним кроком з боку Комісії, спрямованим на захист газовидобувних підприємств. </w:t>
      </w:r>
    </w:p>
    <w:p w:rsidR="00AD422B" w:rsidRPr="00AD422B" w:rsidRDefault="00AD422B" w:rsidP="00AD422B">
      <w:pPr>
        <w:spacing w:after="120" w:line="240" w:lineRule="auto"/>
        <w:ind w:firstLine="426"/>
        <w:jc w:val="both"/>
        <w:rPr>
          <w:rFonts w:ascii="Times New Roman" w:hAnsi="Times New Roman" w:cs="Times New Roman"/>
          <w:sz w:val="24"/>
          <w:szCs w:val="24"/>
        </w:rPr>
      </w:pPr>
      <w:r w:rsidRPr="00AD422B">
        <w:rPr>
          <w:rFonts w:ascii="Times New Roman" w:hAnsi="Times New Roman" w:cs="Times New Roman"/>
          <w:sz w:val="24"/>
          <w:szCs w:val="24"/>
        </w:rPr>
        <w:t>Користуючись нагодою також направляємо коментарі та пропозиції компаній – членів до проекту вищезазначе</w:t>
      </w:r>
      <w:r w:rsidR="00487B4E">
        <w:rPr>
          <w:rFonts w:ascii="Times New Roman" w:hAnsi="Times New Roman" w:cs="Times New Roman"/>
          <w:sz w:val="24"/>
          <w:szCs w:val="24"/>
        </w:rPr>
        <w:t>ного проекту регуляторного акту:</w:t>
      </w:r>
    </w:p>
    <w:p w:rsidR="00AD422B" w:rsidRPr="00487B4E" w:rsidRDefault="00AD422B" w:rsidP="00487B4E">
      <w:pPr>
        <w:pStyle w:val="ListParagraph"/>
        <w:numPr>
          <w:ilvl w:val="0"/>
          <w:numId w:val="5"/>
        </w:numPr>
        <w:spacing w:after="120" w:line="240" w:lineRule="auto"/>
        <w:jc w:val="both"/>
        <w:rPr>
          <w:rFonts w:ascii="Times New Roman" w:hAnsi="Times New Roman" w:cs="Times New Roman"/>
          <w:sz w:val="24"/>
          <w:szCs w:val="24"/>
        </w:rPr>
      </w:pPr>
      <w:r w:rsidRPr="00487B4E">
        <w:rPr>
          <w:rFonts w:ascii="Times New Roman" w:hAnsi="Times New Roman" w:cs="Times New Roman"/>
          <w:sz w:val="24"/>
          <w:szCs w:val="24"/>
        </w:rPr>
        <w:t>Пропонуємо залишити чинну редакцію визначення алокації, оскільки воно більш відповідає  меті алокації, що полягає в тому, щоб визначити фінальний обсяг природного газу поставленого або відібраного замовником в відповідній точці поставки.</w:t>
      </w:r>
    </w:p>
    <w:p w:rsidR="00AD422B" w:rsidRPr="00487B4E" w:rsidRDefault="00487B4E" w:rsidP="00487B4E">
      <w:pPr>
        <w:pStyle w:val="ListParagraph"/>
        <w:numPr>
          <w:ilvl w:val="0"/>
          <w:numId w:val="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w:t>
      </w:r>
      <w:r w:rsidR="00AD422B" w:rsidRPr="00487B4E">
        <w:rPr>
          <w:rFonts w:ascii="Times New Roman" w:hAnsi="Times New Roman" w:cs="Times New Roman"/>
          <w:sz w:val="24"/>
          <w:szCs w:val="24"/>
        </w:rPr>
        <w:t>ідтримуємо нове визначення міждержавного з’єднання, яке наразі не означає сукупності точок входу/виходу на українському кордоні, а просто описує це як точку міждержавного з’єднання між ГТС України та ГТС сусідніх країн. Виходячи з цього Оператор буде мати право встановлювати віртуальні точки входу/виходу на  міждержавних пунктах з’єднання з відповідною країною з метою виконання договорів між операторами та у відповідності з технічною потужністю доступною на такому пункті міждержавного з’єднання. Така зміна диверсифікує торгові операції на українському кордоні.</w:t>
      </w:r>
    </w:p>
    <w:p w:rsidR="00AD422B" w:rsidRPr="00487B4E" w:rsidRDefault="00487B4E" w:rsidP="00487B4E">
      <w:pPr>
        <w:pStyle w:val="ListParagraph"/>
        <w:numPr>
          <w:ilvl w:val="0"/>
          <w:numId w:val="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З</w:t>
      </w:r>
      <w:r w:rsidR="00AD422B" w:rsidRPr="00487B4E">
        <w:rPr>
          <w:rFonts w:ascii="Times New Roman" w:hAnsi="Times New Roman" w:cs="Times New Roman"/>
          <w:sz w:val="24"/>
          <w:szCs w:val="24"/>
        </w:rPr>
        <w:t xml:space="preserve">апропоноване визначення віртуальної торгової точки обмежує права споживачів-постачальників, які зараз купують природний газ для власних потреб (для власного споживання) на точках входу в ГТС і потім замовляють послуги </w:t>
      </w:r>
      <w:r w:rsidR="00AD422B" w:rsidRPr="00487B4E">
        <w:rPr>
          <w:rFonts w:ascii="Times New Roman" w:hAnsi="Times New Roman" w:cs="Times New Roman"/>
          <w:sz w:val="24"/>
          <w:szCs w:val="24"/>
        </w:rPr>
        <w:lastRenderedPageBreak/>
        <w:t xml:space="preserve">транспортування у Оператора ГТС. Відповідно до ЗУ «Про ринок природного газу»: оптовий покупець </w:t>
      </w:r>
      <w:r w:rsidRPr="00487B4E">
        <w:rPr>
          <w:rFonts w:ascii="Times New Roman" w:hAnsi="Times New Roman" w:cs="Times New Roman"/>
          <w:sz w:val="24"/>
          <w:szCs w:val="24"/>
        </w:rPr>
        <w:t>–</w:t>
      </w:r>
      <w:r w:rsidR="00AD422B" w:rsidRPr="00487B4E">
        <w:rPr>
          <w:rFonts w:ascii="Times New Roman" w:hAnsi="Times New Roman" w:cs="Times New Roman"/>
          <w:sz w:val="24"/>
          <w:szCs w:val="24"/>
        </w:rPr>
        <w:t xml:space="preserve"> </w:t>
      </w:r>
      <w:r w:rsidRPr="00487B4E">
        <w:rPr>
          <w:rFonts w:ascii="Times New Roman" w:hAnsi="Times New Roman" w:cs="Times New Roman"/>
          <w:sz w:val="24"/>
          <w:szCs w:val="24"/>
        </w:rPr>
        <w:t xml:space="preserve">це </w:t>
      </w:r>
      <w:r w:rsidR="00AD422B" w:rsidRPr="00487B4E">
        <w:rPr>
          <w:rFonts w:ascii="Times New Roman" w:hAnsi="Times New Roman" w:cs="Times New Roman"/>
          <w:sz w:val="24"/>
          <w:szCs w:val="24"/>
        </w:rPr>
        <w:t>суб’єкт господарювання, який придбаває природний газ на підставі договору купівлі-продажу не для власного споживання. Запропонована редакція не дасть можливості споживачам, які отримали ліцензію на постачання газу купувати його на ВТТ</w:t>
      </w:r>
      <w:r w:rsidR="005E4B54">
        <w:rPr>
          <w:rFonts w:ascii="Times New Roman" w:hAnsi="Times New Roman" w:cs="Times New Roman"/>
          <w:sz w:val="24"/>
          <w:szCs w:val="24"/>
        </w:rPr>
        <w:t xml:space="preserve"> (віртуальна точка)</w:t>
      </w:r>
      <w:r w:rsidR="00AD422B" w:rsidRPr="00487B4E">
        <w:rPr>
          <w:rFonts w:ascii="Times New Roman" w:hAnsi="Times New Roman" w:cs="Times New Roman"/>
          <w:sz w:val="24"/>
          <w:szCs w:val="24"/>
        </w:rPr>
        <w:t xml:space="preserve"> та номінувати його на себе. Крім «оптових покупців», покупцями також можуть виступати постачальники природного газу. Пропонується передбачити наступну редакцію: «між оптовими продавцями та покупцями або постачальниками природного газу, в тому числі для власних потреб».</w:t>
      </w:r>
    </w:p>
    <w:p w:rsidR="00AD422B" w:rsidRPr="00487B4E" w:rsidRDefault="00487B4E" w:rsidP="00487B4E">
      <w:pPr>
        <w:pStyle w:val="ListParagraph"/>
        <w:numPr>
          <w:ilvl w:val="0"/>
          <w:numId w:val="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w:t>
      </w:r>
      <w:r w:rsidR="00AD422B" w:rsidRPr="00487B4E">
        <w:rPr>
          <w:rFonts w:ascii="Times New Roman" w:hAnsi="Times New Roman" w:cs="Times New Roman"/>
          <w:sz w:val="24"/>
          <w:szCs w:val="24"/>
        </w:rPr>
        <w:t xml:space="preserve">ропонуємо уточнити термін </w:t>
      </w:r>
      <w:r w:rsidR="005E4B54">
        <w:rPr>
          <w:rFonts w:ascii="Times New Roman" w:hAnsi="Times New Roman" w:cs="Times New Roman"/>
          <w:sz w:val="24"/>
          <w:szCs w:val="24"/>
        </w:rPr>
        <w:t>«</w:t>
      </w:r>
      <w:r w:rsidR="00AD422B" w:rsidRPr="00487B4E">
        <w:rPr>
          <w:rFonts w:ascii="Times New Roman" w:hAnsi="Times New Roman" w:cs="Times New Roman"/>
          <w:sz w:val="24"/>
          <w:szCs w:val="24"/>
        </w:rPr>
        <w:t>суміжне газовидобувне підприємство</w:t>
      </w:r>
      <w:r w:rsidR="005E4B54">
        <w:rPr>
          <w:rFonts w:ascii="Times New Roman" w:hAnsi="Times New Roman" w:cs="Times New Roman"/>
          <w:sz w:val="24"/>
          <w:szCs w:val="24"/>
        </w:rPr>
        <w:t>»</w:t>
      </w:r>
      <w:r w:rsidR="00AD422B" w:rsidRPr="00487B4E">
        <w:rPr>
          <w:rFonts w:ascii="Times New Roman" w:hAnsi="Times New Roman" w:cs="Times New Roman"/>
          <w:sz w:val="24"/>
          <w:szCs w:val="24"/>
        </w:rPr>
        <w:t xml:space="preserve"> для того, щоб воно охоплювало випадок коли суміжне газовидобувне підприємство підключено до промислового газопроводу іншого підприємства.</w:t>
      </w:r>
    </w:p>
    <w:p w:rsidR="00AD422B" w:rsidRPr="00487B4E" w:rsidRDefault="00AD422B" w:rsidP="00487B4E">
      <w:pPr>
        <w:pStyle w:val="ListParagraph"/>
        <w:numPr>
          <w:ilvl w:val="0"/>
          <w:numId w:val="5"/>
        </w:numPr>
        <w:spacing w:after="120" w:line="240" w:lineRule="auto"/>
        <w:jc w:val="both"/>
        <w:rPr>
          <w:rFonts w:ascii="Times New Roman" w:hAnsi="Times New Roman" w:cs="Times New Roman"/>
          <w:sz w:val="24"/>
          <w:szCs w:val="24"/>
        </w:rPr>
      </w:pPr>
      <w:r w:rsidRPr="00487B4E">
        <w:rPr>
          <w:rFonts w:ascii="Times New Roman" w:hAnsi="Times New Roman" w:cs="Times New Roman"/>
          <w:sz w:val="24"/>
          <w:szCs w:val="24"/>
        </w:rPr>
        <w:t>Враховуючи, що надходження природного газу від газовидобувного підприємства може бути не тільки через газорозподільну систему, пропонується розширити перелік можливих надходжень газу.</w:t>
      </w:r>
    </w:p>
    <w:p w:rsidR="00AD422B" w:rsidRPr="00487B4E" w:rsidRDefault="00AD422B" w:rsidP="00487B4E">
      <w:pPr>
        <w:pStyle w:val="ListParagraph"/>
        <w:numPr>
          <w:ilvl w:val="0"/>
          <w:numId w:val="5"/>
        </w:numPr>
        <w:spacing w:after="120" w:line="240" w:lineRule="auto"/>
        <w:jc w:val="both"/>
        <w:rPr>
          <w:rFonts w:ascii="Times New Roman" w:hAnsi="Times New Roman" w:cs="Times New Roman"/>
          <w:sz w:val="24"/>
          <w:szCs w:val="24"/>
        </w:rPr>
      </w:pPr>
      <w:r w:rsidRPr="00487B4E">
        <w:rPr>
          <w:rFonts w:ascii="Times New Roman" w:hAnsi="Times New Roman" w:cs="Times New Roman"/>
          <w:sz w:val="24"/>
          <w:szCs w:val="24"/>
        </w:rPr>
        <w:t>Вважаємо недоцільним оформлення зведених реєстрів реалізації газу споживачам враховуючи, що замовник послуг транспортування і так надає Оператору ГТС фактичну звітність за місяць, яку підписує та в якій відображені всі споживачі замовника послуг транспортування в тому числі прямі. Пропонуємо цілком видалити відповідне положення.</w:t>
      </w:r>
    </w:p>
    <w:p w:rsidR="00AD422B" w:rsidRPr="00487B4E" w:rsidRDefault="00AD422B" w:rsidP="00487B4E">
      <w:pPr>
        <w:pStyle w:val="ListParagraph"/>
        <w:numPr>
          <w:ilvl w:val="0"/>
          <w:numId w:val="5"/>
        </w:numPr>
        <w:spacing w:after="120" w:line="240" w:lineRule="auto"/>
        <w:jc w:val="both"/>
        <w:rPr>
          <w:rFonts w:ascii="Times New Roman" w:hAnsi="Times New Roman" w:cs="Times New Roman"/>
          <w:sz w:val="24"/>
          <w:szCs w:val="24"/>
        </w:rPr>
      </w:pPr>
      <w:r w:rsidRPr="00487B4E">
        <w:rPr>
          <w:rFonts w:ascii="Times New Roman" w:hAnsi="Times New Roman" w:cs="Times New Roman"/>
          <w:sz w:val="24"/>
          <w:szCs w:val="24"/>
        </w:rPr>
        <w:t xml:space="preserve">Перехід права власності у ВТТ може здійснюватися не тільки між замовниками послуг транспортування, а також при перепродажі на ВТТ між оптовим продавцем і покупцем, які не замовляли послуги транспортування газу до ВТТ або з неї до точки виходу з ГТС. Крім того, проектом змін до кодексу ГТС не передбачений випадок, коли Постачальник подав газ до ГТС з ПХГ або газовидобувне підприємство/постачальник подало газ до ГТС на точці входу і замовило послуги транспортування до точки виходу з ГТС (споживачу). Таким чином, газ до ГТС подано, але перехід права власності на ВТТ не відбувається. </w:t>
      </w:r>
    </w:p>
    <w:p w:rsidR="00AD422B" w:rsidRPr="00487B4E" w:rsidRDefault="00AD422B" w:rsidP="00487B4E">
      <w:pPr>
        <w:pStyle w:val="ListParagraph"/>
        <w:numPr>
          <w:ilvl w:val="0"/>
          <w:numId w:val="5"/>
        </w:numPr>
        <w:spacing w:after="120" w:line="240" w:lineRule="auto"/>
        <w:jc w:val="both"/>
        <w:rPr>
          <w:rFonts w:ascii="Times New Roman" w:hAnsi="Times New Roman" w:cs="Times New Roman"/>
          <w:sz w:val="24"/>
          <w:szCs w:val="24"/>
        </w:rPr>
      </w:pPr>
      <w:r w:rsidRPr="00487B4E">
        <w:rPr>
          <w:rFonts w:ascii="Times New Roman" w:hAnsi="Times New Roman" w:cs="Times New Roman"/>
          <w:sz w:val="24"/>
          <w:szCs w:val="24"/>
        </w:rPr>
        <w:t>Враховуючи, що надходження природного газу від газовидобувного підприємства може бути не тільки через газорозподільну систему, пропонується розширити перелік можливих надходжень газу у визначенні в кодексі ГТС точок входу і точок виходу, віртуальних точок газотранспортної системи.</w:t>
      </w:r>
    </w:p>
    <w:p w:rsidR="00AD422B" w:rsidRPr="00487B4E" w:rsidRDefault="00AD422B" w:rsidP="00487B4E">
      <w:pPr>
        <w:pStyle w:val="ListParagraph"/>
        <w:numPr>
          <w:ilvl w:val="0"/>
          <w:numId w:val="5"/>
        </w:numPr>
        <w:spacing w:after="120" w:line="240" w:lineRule="auto"/>
        <w:jc w:val="both"/>
        <w:rPr>
          <w:rFonts w:ascii="Times New Roman" w:hAnsi="Times New Roman" w:cs="Times New Roman"/>
          <w:sz w:val="24"/>
          <w:szCs w:val="24"/>
        </w:rPr>
      </w:pPr>
      <w:r w:rsidRPr="00487B4E">
        <w:rPr>
          <w:rFonts w:ascii="Times New Roman" w:hAnsi="Times New Roman" w:cs="Times New Roman"/>
          <w:sz w:val="24"/>
          <w:szCs w:val="24"/>
        </w:rPr>
        <w:t xml:space="preserve">З метою уникнення втручання Оператора транзакції ВТТ, пропонується замість відхилення номінації застосовувати штрафні санкції до постачальника, який спричинив небаланс в системі. </w:t>
      </w:r>
    </w:p>
    <w:p w:rsidR="00AD422B" w:rsidRPr="00487B4E" w:rsidRDefault="00AD422B" w:rsidP="00487B4E">
      <w:pPr>
        <w:pStyle w:val="ListParagraph"/>
        <w:numPr>
          <w:ilvl w:val="0"/>
          <w:numId w:val="5"/>
        </w:numPr>
        <w:spacing w:after="120" w:line="240" w:lineRule="auto"/>
        <w:jc w:val="both"/>
        <w:rPr>
          <w:rFonts w:ascii="Times New Roman" w:hAnsi="Times New Roman" w:cs="Times New Roman"/>
          <w:sz w:val="24"/>
          <w:szCs w:val="24"/>
        </w:rPr>
      </w:pPr>
      <w:r w:rsidRPr="00487B4E">
        <w:rPr>
          <w:rFonts w:ascii="Times New Roman" w:hAnsi="Times New Roman" w:cs="Times New Roman"/>
          <w:sz w:val="24"/>
          <w:szCs w:val="24"/>
        </w:rPr>
        <w:t>Процедура номінацій/</w:t>
      </w:r>
      <w:proofErr w:type="spellStart"/>
      <w:r w:rsidRPr="00487B4E">
        <w:rPr>
          <w:rFonts w:ascii="Times New Roman" w:hAnsi="Times New Roman" w:cs="Times New Roman"/>
          <w:sz w:val="24"/>
          <w:szCs w:val="24"/>
        </w:rPr>
        <w:t>реномінацій</w:t>
      </w:r>
      <w:proofErr w:type="spellEnd"/>
      <w:r w:rsidRPr="00487B4E">
        <w:rPr>
          <w:rFonts w:ascii="Times New Roman" w:hAnsi="Times New Roman" w:cs="Times New Roman"/>
          <w:sz w:val="24"/>
          <w:szCs w:val="24"/>
        </w:rPr>
        <w:t xml:space="preserve"> передбачає, що Опе</w:t>
      </w:r>
      <w:r w:rsidR="005E4B54">
        <w:rPr>
          <w:rFonts w:ascii="Times New Roman" w:hAnsi="Times New Roman" w:cs="Times New Roman"/>
          <w:sz w:val="24"/>
          <w:szCs w:val="24"/>
        </w:rPr>
        <w:t>ратор може відхилити номінацію/</w:t>
      </w:r>
      <w:proofErr w:type="spellStart"/>
      <w:r w:rsidRPr="00487B4E">
        <w:rPr>
          <w:rFonts w:ascii="Times New Roman" w:hAnsi="Times New Roman" w:cs="Times New Roman"/>
          <w:sz w:val="24"/>
          <w:szCs w:val="24"/>
        </w:rPr>
        <w:t>реномінацію</w:t>
      </w:r>
      <w:proofErr w:type="spellEnd"/>
      <w:r w:rsidRPr="00487B4E">
        <w:rPr>
          <w:rFonts w:ascii="Times New Roman" w:hAnsi="Times New Roman" w:cs="Times New Roman"/>
          <w:sz w:val="24"/>
          <w:szCs w:val="24"/>
        </w:rPr>
        <w:t xml:space="preserve"> за певних обставин та між іншим коли номінації/</w:t>
      </w:r>
      <w:proofErr w:type="spellStart"/>
      <w:r w:rsidRPr="00487B4E">
        <w:rPr>
          <w:rFonts w:ascii="Times New Roman" w:hAnsi="Times New Roman" w:cs="Times New Roman"/>
          <w:sz w:val="24"/>
          <w:szCs w:val="24"/>
        </w:rPr>
        <w:t>реномінації</w:t>
      </w:r>
      <w:proofErr w:type="spellEnd"/>
      <w:r w:rsidRPr="00487B4E">
        <w:rPr>
          <w:rFonts w:ascii="Times New Roman" w:hAnsi="Times New Roman" w:cs="Times New Roman"/>
          <w:sz w:val="24"/>
          <w:szCs w:val="24"/>
        </w:rPr>
        <w:t xml:space="preserve"> одночасно подаються декількома постачальниками щодо того ж самого споживача за той самий обліковий період. Вважаємо, що таке обмеження не відповідає ідеї лібералізації ринку, яка полягає також у вільному виборі постачальника споживачем включаючи можливість обрати декількох. </w:t>
      </w:r>
    </w:p>
    <w:p w:rsidR="00AD422B" w:rsidRPr="00487B4E" w:rsidRDefault="00AD422B" w:rsidP="00487B4E">
      <w:pPr>
        <w:pStyle w:val="ListParagraph"/>
        <w:numPr>
          <w:ilvl w:val="0"/>
          <w:numId w:val="5"/>
        </w:numPr>
        <w:spacing w:after="120" w:line="240" w:lineRule="auto"/>
        <w:jc w:val="both"/>
        <w:rPr>
          <w:rFonts w:ascii="Times New Roman" w:hAnsi="Times New Roman" w:cs="Times New Roman"/>
          <w:sz w:val="24"/>
          <w:szCs w:val="24"/>
        </w:rPr>
      </w:pPr>
      <w:r w:rsidRPr="00487B4E">
        <w:rPr>
          <w:rFonts w:ascii="Times New Roman" w:hAnsi="Times New Roman" w:cs="Times New Roman"/>
          <w:sz w:val="24"/>
          <w:szCs w:val="24"/>
        </w:rPr>
        <w:t xml:space="preserve">Пропонуємо передбачити право на зменшення суми банківської гарантії, яка може бути оформлена на довготривалий період, але не використовується в повному обсязі. Це дозволить зменшити витрати суб'єктів ринку природного газу на підтримання належного рівня фінансового забезпечення.  Фінансове забезпечення не має вимагатись для правочинів, що не створюють ризиків для небалансу: </w:t>
      </w:r>
    </w:p>
    <w:p w:rsidR="00AD422B" w:rsidRPr="00487B4E" w:rsidRDefault="00AD422B" w:rsidP="00487B4E">
      <w:pPr>
        <w:pStyle w:val="ListParagraph"/>
        <w:numPr>
          <w:ilvl w:val="1"/>
          <w:numId w:val="5"/>
        </w:numPr>
        <w:spacing w:after="120" w:line="240" w:lineRule="auto"/>
        <w:jc w:val="both"/>
        <w:rPr>
          <w:rFonts w:ascii="Times New Roman" w:hAnsi="Times New Roman" w:cs="Times New Roman"/>
          <w:sz w:val="24"/>
          <w:szCs w:val="24"/>
        </w:rPr>
      </w:pPr>
      <w:r w:rsidRPr="00487B4E">
        <w:rPr>
          <w:rFonts w:ascii="Times New Roman" w:hAnsi="Times New Roman" w:cs="Times New Roman"/>
          <w:sz w:val="24"/>
          <w:szCs w:val="24"/>
        </w:rPr>
        <w:t>З точки входу від газовидобувної компанії або від ГРМ (коли газ постачається газовидобувною компанію, з’єднаною з таким ГРМ) до ВТТ виходу;</w:t>
      </w:r>
    </w:p>
    <w:p w:rsidR="00AD422B" w:rsidRPr="00487B4E" w:rsidRDefault="00AD422B" w:rsidP="00487B4E">
      <w:pPr>
        <w:pStyle w:val="ListParagraph"/>
        <w:numPr>
          <w:ilvl w:val="1"/>
          <w:numId w:val="5"/>
        </w:numPr>
        <w:spacing w:after="120" w:line="240" w:lineRule="auto"/>
        <w:jc w:val="both"/>
        <w:rPr>
          <w:rFonts w:ascii="Times New Roman" w:hAnsi="Times New Roman" w:cs="Times New Roman"/>
          <w:sz w:val="24"/>
          <w:szCs w:val="24"/>
        </w:rPr>
      </w:pPr>
      <w:r w:rsidRPr="00487B4E">
        <w:rPr>
          <w:rFonts w:ascii="Times New Roman" w:hAnsi="Times New Roman" w:cs="Times New Roman"/>
          <w:sz w:val="24"/>
          <w:szCs w:val="24"/>
        </w:rPr>
        <w:t>З точки входу від газовидобувної компанії або від ГРМ (коли газ постачається газовидобувною компанію, з’єднаною з таким ГРМ) до ВТТ виходу в ПСГ;</w:t>
      </w:r>
    </w:p>
    <w:p w:rsidR="00AD422B" w:rsidRPr="00487B4E" w:rsidRDefault="00AD422B" w:rsidP="00487B4E">
      <w:pPr>
        <w:pStyle w:val="ListParagraph"/>
        <w:numPr>
          <w:ilvl w:val="1"/>
          <w:numId w:val="5"/>
        </w:numPr>
        <w:spacing w:after="120" w:line="240" w:lineRule="auto"/>
        <w:jc w:val="both"/>
        <w:rPr>
          <w:rFonts w:ascii="Times New Roman" w:hAnsi="Times New Roman" w:cs="Times New Roman"/>
          <w:sz w:val="24"/>
          <w:szCs w:val="24"/>
        </w:rPr>
      </w:pPr>
      <w:r w:rsidRPr="00487B4E">
        <w:rPr>
          <w:rFonts w:ascii="Times New Roman" w:hAnsi="Times New Roman" w:cs="Times New Roman"/>
          <w:sz w:val="24"/>
          <w:szCs w:val="24"/>
        </w:rPr>
        <w:lastRenderedPageBreak/>
        <w:t>Між віртуальними торговими точками;</w:t>
      </w:r>
    </w:p>
    <w:p w:rsidR="00AD422B" w:rsidRPr="00487B4E" w:rsidRDefault="00AD422B" w:rsidP="00487B4E">
      <w:pPr>
        <w:pStyle w:val="ListParagraph"/>
        <w:numPr>
          <w:ilvl w:val="1"/>
          <w:numId w:val="5"/>
        </w:numPr>
        <w:spacing w:after="120" w:line="240" w:lineRule="auto"/>
        <w:jc w:val="both"/>
        <w:rPr>
          <w:rFonts w:ascii="Times New Roman" w:hAnsi="Times New Roman" w:cs="Times New Roman"/>
          <w:sz w:val="24"/>
          <w:szCs w:val="24"/>
        </w:rPr>
      </w:pPr>
      <w:r w:rsidRPr="00487B4E">
        <w:rPr>
          <w:rFonts w:ascii="Times New Roman" w:hAnsi="Times New Roman" w:cs="Times New Roman"/>
          <w:sz w:val="24"/>
          <w:szCs w:val="24"/>
        </w:rPr>
        <w:t xml:space="preserve">Між віртуальною торговою точкою та ПСГ. </w:t>
      </w:r>
    </w:p>
    <w:p w:rsidR="00AD422B" w:rsidRPr="00487B4E" w:rsidRDefault="00AD422B" w:rsidP="00487B4E">
      <w:pPr>
        <w:pStyle w:val="ListParagraph"/>
        <w:numPr>
          <w:ilvl w:val="0"/>
          <w:numId w:val="5"/>
        </w:numPr>
        <w:spacing w:after="120" w:line="240" w:lineRule="auto"/>
        <w:jc w:val="both"/>
        <w:rPr>
          <w:rFonts w:ascii="Times New Roman" w:hAnsi="Times New Roman" w:cs="Times New Roman"/>
          <w:sz w:val="24"/>
          <w:szCs w:val="24"/>
        </w:rPr>
      </w:pPr>
      <w:r w:rsidRPr="00487B4E">
        <w:rPr>
          <w:rFonts w:ascii="Times New Roman" w:hAnsi="Times New Roman" w:cs="Times New Roman"/>
          <w:sz w:val="24"/>
          <w:szCs w:val="24"/>
        </w:rPr>
        <w:t xml:space="preserve">Якщо постачальник номінує будь-яку вхідну точку ГТС та потім продає газ на ВТТ або закачує в ПСГ, його позиція є збалансованою. Вимога гарантій балансування в таких ситуаціях є не справедливою, а тому пропонується її скасувати. </w:t>
      </w:r>
    </w:p>
    <w:p w:rsidR="00AD422B" w:rsidRPr="00487B4E" w:rsidRDefault="00AD422B" w:rsidP="00487B4E">
      <w:pPr>
        <w:pStyle w:val="ListParagraph"/>
        <w:numPr>
          <w:ilvl w:val="0"/>
          <w:numId w:val="5"/>
        </w:numPr>
        <w:spacing w:after="120" w:line="240" w:lineRule="auto"/>
        <w:jc w:val="both"/>
        <w:rPr>
          <w:rFonts w:ascii="Times New Roman" w:hAnsi="Times New Roman" w:cs="Times New Roman"/>
          <w:sz w:val="24"/>
          <w:szCs w:val="24"/>
        </w:rPr>
      </w:pPr>
      <w:r w:rsidRPr="00487B4E">
        <w:rPr>
          <w:rFonts w:ascii="Times New Roman" w:hAnsi="Times New Roman" w:cs="Times New Roman"/>
          <w:sz w:val="24"/>
          <w:szCs w:val="24"/>
        </w:rPr>
        <w:t>Вважаємо, що вимога щодо наявності рейтингу одного з міжнародних рейтингових агенцій, встановлена для банків зареєстрованих в Україні – дискримінаційна по відношенню до платоспроможних банків, які з економічних причин не замовляють послуги іноземних рейтингових агенцій, при цьому така вимога може містити ознаки порушення антимонопольного та конкурентного законодавства України, оскільки за публічним даними, на даний час кількість банків зареєстрованих в Україні, які мають міжнародний рейтинг складає всього 9 із 93 (джерело: http://bankografo.com/analiz-bankiv/reyting-bankiv/kredytni-reytingi-bankiv  та https://bank.gov.ua/control/bankdict/banks?type=369&amp;sort=mfo_code). Більше того, оскільки профільний ЗУ "Про банки та банківську діяльність" не містить імперативної норми, яка передбачає обов'язкову наявність у банків рейтингу перелічених іноземних рейтингових агентств, можна зробити висновок, що встановлення таких сурових вимог означає фактично встановлення факту інституційної неспроможності Національного Банку України здійснювати банківський нагляд та виконувати покладені на цей орган обов'язки, передбачені Конституцією України, вищеназваним законом та профільним законодавством, пов'язані з забезпеченням належного та сталого функціонування фінансової системи України. Враховуючи вищевикладене, просимо видалити вимоги для банків зареєстрованих в Україні, залишив при цьому положення, яке встановлює критерії при яких банківська гарантія не вважається належним забезпеченням, які на нашу думку повністю убезпечать Оператора ГТС від банківських гарантій потенційно неплатоспроможних банків.</w:t>
      </w:r>
    </w:p>
    <w:p w:rsidR="00AD422B" w:rsidRPr="00487B4E" w:rsidRDefault="00AD422B" w:rsidP="00487B4E">
      <w:pPr>
        <w:pStyle w:val="ListParagraph"/>
        <w:numPr>
          <w:ilvl w:val="0"/>
          <w:numId w:val="5"/>
        </w:numPr>
        <w:spacing w:after="120" w:line="240" w:lineRule="auto"/>
        <w:jc w:val="both"/>
        <w:rPr>
          <w:rFonts w:ascii="Times New Roman" w:hAnsi="Times New Roman" w:cs="Times New Roman"/>
          <w:sz w:val="24"/>
          <w:szCs w:val="24"/>
        </w:rPr>
      </w:pPr>
      <w:r w:rsidRPr="00487B4E">
        <w:rPr>
          <w:rFonts w:ascii="Times New Roman" w:hAnsi="Times New Roman" w:cs="Times New Roman"/>
          <w:sz w:val="24"/>
          <w:szCs w:val="24"/>
        </w:rPr>
        <w:t xml:space="preserve">У зв'язку з тим, що на даний час Ліцензійні умови  на постачання природного газу не набули чинності, просимо передбачити перехідне положення щодо застосування п.18 глави 1 розділу XІ «…відсутність, зупинення дії чи анулювання ліцензії на постачання природного газу для замовників транспортних послуг, які подали номінації на точку виходу до прямого споживача та/або точки виходу до газорозподільної системи» та передбачити, що дане положення набуває чинності через місяць після набуття чинності Ліцензійних умов. </w:t>
      </w:r>
    </w:p>
    <w:p w:rsidR="00AD422B" w:rsidRPr="00487B4E" w:rsidRDefault="00AD422B" w:rsidP="00487B4E">
      <w:pPr>
        <w:pStyle w:val="ListParagraph"/>
        <w:numPr>
          <w:ilvl w:val="0"/>
          <w:numId w:val="5"/>
        </w:numPr>
        <w:spacing w:after="120" w:line="240" w:lineRule="auto"/>
        <w:jc w:val="both"/>
        <w:rPr>
          <w:rFonts w:ascii="Times New Roman" w:hAnsi="Times New Roman" w:cs="Times New Roman"/>
          <w:sz w:val="24"/>
          <w:szCs w:val="24"/>
        </w:rPr>
      </w:pPr>
      <w:r w:rsidRPr="00487B4E">
        <w:rPr>
          <w:rFonts w:ascii="Times New Roman" w:hAnsi="Times New Roman" w:cs="Times New Roman"/>
          <w:sz w:val="24"/>
          <w:szCs w:val="24"/>
        </w:rPr>
        <w:t>Вважаємо за необхідне передбачити відхилення не всієї номінації, а частково лише по тому споживачу, по якому є здвоєння постачальників. Добросовісний постачальник не може володіти інформацією про кількість постачальників, з якими той чи інший споживач уклав договір на постачання природного газу, в такому випадку відхилення всієї номінації через недобросовісні дії одного споживача ставить під загрозу забезпечення газом інших добросовісних споживачів постачальника, які очікують на надійне постачання ресурсу.</w:t>
      </w:r>
    </w:p>
    <w:p w:rsidR="00AD422B" w:rsidRPr="00487B4E" w:rsidRDefault="00AD422B" w:rsidP="00487B4E">
      <w:pPr>
        <w:pStyle w:val="ListParagraph"/>
        <w:numPr>
          <w:ilvl w:val="0"/>
          <w:numId w:val="5"/>
        </w:numPr>
        <w:spacing w:after="120" w:line="240" w:lineRule="auto"/>
        <w:jc w:val="both"/>
        <w:rPr>
          <w:rFonts w:ascii="Times New Roman" w:hAnsi="Times New Roman" w:cs="Times New Roman"/>
          <w:sz w:val="24"/>
          <w:szCs w:val="24"/>
        </w:rPr>
      </w:pPr>
      <w:r w:rsidRPr="00487B4E">
        <w:rPr>
          <w:rFonts w:ascii="Times New Roman" w:hAnsi="Times New Roman" w:cs="Times New Roman"/>
          <w:sz w:val="24"/>
          <w:szCs w:val="24"/>
        </w:rPr>
        <w:t>Заперечуємо проти виключення «в розділі XIV, у главі 3, пункті 1 слова та символи «(у тому</w:t>
      </w:r>
      <w:r w:rsidR="005E4B54">
        <w:rPr>
          <w:rFonts w:ascii="Times New Roman" w:hAnsi="Times New Roman" w:cs="Times New Roman"/>
          <w:sz w:val="24"/>
          <w:szCs w:val="24"/>
        </w:rPr>
        <w:t xml:space="preserve"> числі щодо власних споживачів)</w:t>
      </w:r>
      <w:r w:rsidRPr="00487B4E">
        <w:rPr>
          <w:rFonts w:ascii="Times New Roman" w:hAnsi="Times New Roman" w:cs="Times New Roman"/>
          <w:sz w:val="24"/>
          <w:szCs w:val="24"/>
        </w:rPr>
        <w:t xml:space="preserve">». Відсутність у замовника послуг транспортування інформації про місячний небаланс в розрізі його споживачів, позбавляє  такого замовника можливості врегулювати свій небаланс шляхом вжиття відповідних заходів впливу та притягнення до договірної відповідальності відповідного споживача. Крім того, відповідно до запропонованих змін до Кодексу (розділ XII, гл3) оператори ГРМ будуть надавати оператору ГТС інформацію про алокації по замовниках послуг транспортування в розрізі його споживачів в точках виходу до газорозподільних систем. Отже, Оператор ГТС буде володіти інформацією про небаланси в розрізі споживачів, також Оператори ГРМ надають звітність в розрізі замовників та споживачів. </w:t>
      </w:r>
      <w:r w:rsidRPr="00487B4E">
        <w:rPr>
          <w:rFonts w:ascii="Times New Roman" w:hAnsi="Times New Roman" w:cs="Times New Roman"/>
          <w:sz w:val="24"/>
          <w:szCs w:val="24"/>
        </w:rPr>
        <w:lastRenderedPageBreak/>
        <w:t>Надання замовнику послуг транспортування інформації про місячний небаланс у розрізі споживачів – прозорий механізм, який дасть можливість замовнику послуг транспортування, Оператору ГТС та споживачу обґрунтовано вирішувати питання небалансів.</w:t>
      </w:r>
    </w:p>
    <w:p w:rsidR="00AD422B" w:rsidRPr="005E4B54" w:rsidRDefault="00AD422B" w:rsidP="00AD422B">
      <w:pPr>
        <w:spacing w:after="120" w:line="240" w:lineRule="auto"/>
        <w:ind w:firstLine="426"/>
        <w:jc w:val="both"/>
        <w:rPr>
          <w:rFonts w:ascii="Times New Roman" w:hAnsi="Times New Roman" w:cs="Times New Roman"/>
          <w:b/>
          <w:sz w:val="24"/>
          <w:szCs w:val="24"/>
        </w:rPr>
      </w:pPr>
      <w:r w:rsidRPr="005E4B54">
        <w:rPr>
          <w:rFonts w:ascii="Times New Roman" w:hAnsi="Times New Roman" w:cs="Times New Roman"/>
          <w:b/>
          <w:sz w:val="24"/>
          <w:szCs w:val="24"/>
        </w:rPr>
        <w:t>Користуючись нагодою ви</w:t>
      </w:r>
      <w:r w:rsidR="00487B4E" w:rsidRPr="005E4B54">
        <w:rPr>
          <w:rFonts w:ascii="Times New Roman" w:hAnsi="Times New Roman" w:cs="Times New Roman"/>
          <w:b/>
          <w:sz w:val="24"/>
          <w:szCs w:val="24"/>
        </w:rPr>
        <w:t xml:space="preserve">словлюємо Вам глибоку повагу та пропонуємо організувати зустріч </w:t>
      </w:r>
      <w:r w:rsidRPr="005E4B54">
        <w:rPr>
          <w:rFonts w:ascii="Times New Roman" w:hAnsi="Times New Roman" w:cs="Times New Roman"/>
          <w:b/>
          <w:sz w:val="24"/>
          <w:szCs w:val="24"/>
        </w:rPr>
        <w:t xml:space="preserve">для обговорення вищезазначених пропозицій. </w:t>
      </w:r>
      <w:r w:rsidR="00487B4E" w:rsidRPr="005E4B54">
        <w:rPr>
          <w:rFonts w:ascii="Times New Roman" w:hAnsi="Times New Roman" w:cs="Times New Roman"/>
          <w:b/>
          <w:sz w:val="24"/>
          <w:szCs w:val="24"/>
        </w:rPr>
        <w:t xml:space="preserve">Експерти компаній-членів, у свою чергу, готові надати </w:t>
      </w:r>
      <w:r w:rsidR="005E4B54">
        <w:rPr>
          <w:rFonts w:ascii="Times New Roman" w:hAnsi="Times New Roman" w:cs="Times New Roman"/>
          <w:b/>
          <w:sz w:val="24"/>
          <w:szCs w:val="24"/>
        </w:rPr>
        <w:t>більш детальні роз’яснення</w:t>
      </w:r>
      <w:r w:rsidR="00487B4E" w:rsidRPr="005E4B54">
        <w:rPr>
          <w:rFonts w:ascii="Times New Roman" w:hAnsi="Times New Roman" w:cs="Times New Roman"/>
          <w:b/>
          <w:sz w:val="24"/>
          <w:szCs w:val="24"/>
        </w:rPr>
        <w:t xml:space="preserve"> у разі</w:t>
      </w:r>
      <w:r w:rsidR="005E4B54">
        <w:rPr>
          <w:rFonts w:ascii="Times New Roman" w:hAnsi="Times New Roman" w:cs="Times New Roman"/>
          <w:b/>
          <w:sz w:val="24"/>
          <w:szCs w:val="24"/>
        </w:rPr>
        <w:t xml:space="preserve"> такої</w:t>
      </w:r>
      <w:r w:rsidR="00487B4E" w:rsidRPr="005E4B54">
        <w:rPr>
          <w:rFonts w:ascii="Times New Roman" w:hAnsi="Times New Roman" w:cs="Times New Roman"/>
          <w:b/>
          <w:sz w:val="24"/>
          <w:szCs w:val="24"/>
        </w:rPr>
        <w:t xml:space="preserve"> потреби.</w:t>
      </w:r>
    </w:p>
    <w:p w:rsidR="0065303C" w:rsidRPr="00385DD5" w:rsidRDefault="00AD422B" w:rsidP="00AD422B">
      <w:pPr>
        <w:spacing w:after="120" w:line="240" w:lineRule="auto"/>
        <w:ind w:firstLine="426"/>
        <w:jc w:val="both"/>
        <w:rPr>
          <w:rFonts w:ascii="Times New Roman" w:hAnsi="Times New Roman" w:cs="Times New Roman"/>
          <w:sz w:val="24"/>
          <w:szCs w:val="24"/>
        </w:rPr>
      </w:pPr>
      <w:r w:rsidRPr="00AD422B">
        <w:rPr>
          <w:rFonts w:ascii="Times New Roman" w:hAnsi="Times New Roman" w:cs="Times New Roman"/>
          <w:sz w:val="24"/>
          <w:szCs w:val="24"/>
        </w:rPr>
        <w:t>Для зручності також додаємо таблицю з коментарями та пропозиціями компаній-</w:t>
      </w:r>
      <w:r w:rsidR="00487B4E" w:rsidRPr="00AD422B">
        <w:rPr>
          <w:rFonts w:ascii="Times New Roman" w:hAnsi="Times New Roman" w:cs="Times New Roman"/>
          <w:sz w:val="24"/>
          <w:szCs w:val="24"/>
        </w:rPr>
        <w:t>членів</w:t>
      </w:r>
      <w:r w:rsidR="005E4B54">
        <w:rPr>
          <w:rFonts w:ascii="Times New Roman" w:hAnsi="Times New Roman" w:cs="Times New Roman"/>
          <w:sz w:val="24"/>
          <w:szCs w:val="24"/>
        </w:rPr>
        <w:t>. У</w:t>
      </w:r>
      <w:r w:rsidR="00487B4E">
        <w:rPr>
          <w:rFonts w:ascii="Times New Roman" w:hAnsi="Times New Roman" w:cs="Times New Roman"/>
          <w:sz w:val="24"/>
          <w:szCs w:val="24"/>
        </w:rPr>
        <w:t xml:space="preserve"> </w:t>
      </w:r>
      <w:r w:rsidR="0065303C" w:rsidRPr="00385DD5">
        <w:rPr>
          <w:rFonts w:ascii="Times New Roman" w:hAnsi="Times New Roman" w:cs="Times New Roman"/>
          <w:sz w:val="24"/>
          <w:szCs w:val="24"/>
        </w:rPr>
        <w:t xml:space="preserve">разі виникнення будь-яких питань </w:t>
      </w:r>
      <w:r w:rsidR="00B75CF6" w:rsidRPr="00385DD5">
        <w:rPr>
          <w:rFonts w:ascii="Times New Roman" w:hAnsi="Times New Roman" w:cs="Times New Roman"/>
          <w:sz w:val="24"/>
          <w:szCs w:val="24"/>
        </w:rPr>
        <w:t xml:space="preserve">щодо </w:t>
      </w:r>
      <w:r w:rsidR="003264A0">
        <w:rPr>
          <w:rFonts w:ascii="Times New Roman" w:hAnsi="Times New Roman" w:cs="Times New Roman"/>
          <w:sz w:val="24"/>
          <w:szCs w:val="24"/>
        </w:rPr>
        <w:t>даного листа</w:t>
      </w:r>
      <w:r w:rsidR="00B75CF6" w:rsidRPr="00385DD5">
        <w:rPr>
          <w:rFonts w:ascii="Times New Roman" w:hAnsi="Times New Roman" w:cs="Times New Roman"/>
          <w:sz w:val="24"/>
          <w:szCs w:val="24"/>
        </w:rPr>
        <w:t>, просимо визначити відповідальну</w:t>
      </w:r>
      <w:r w:rsidR="0065303C" w:rsidRPr="00385DD5">
        <w:rPr>
          <w:rFonts w:ascii="Times New Roman" w:hAnsi="Times New Roman" w:cs="Times New Roman"/>
          <w:sz w:val="24"/>
          <w:szCs w:val="24"/>
        </w:rPr>
        <w:t xml:space="preserve"> особу, яка зможе звертатись до Палати за номером 490-5800</w:t>
      </w:r>
      <w:r w:rsidR="00B75CF6" w:rsidRPr="00385DD5">
        <w:rPr>
          <w:rFonts w:ascii="Times New Roman" w:hAnsi="Times New Roman" w:cs="Times New Roman"/>
          <w:sz w:val="24"/>
          <w:szCs w:val="24"/>
        </w:rPr>
        <w:t xml:space="preserve"> або на </w:t>
      </w:r>
      <w:r w:rsidR="006618B3" w:rsidRPr="00385DD5">
        <w:rPr>
          <w:rFonts w:ascii="Times New Roman" w:hAnsi="Times New Roman" w:cs="Times New Roman"/>
          <w:sz w:val="24"/>
          <w:szCs w:val="24"/>
        </w:rPr>
        <w:t>електронну пошту</w:t>
      </w:r>
      <w:r w:rsidR="00B75CF6" w:rsidRPr="00385DD5">
        <w:rPr>
          <w:rFonts w:ascii="Times New Roman" w:hAnsi="Times New Roman" w:cs="Times New Roman"/>
          <w:sz w:val="24"/>
          <w:szCs w:val="24"/>
        </w:rPr>
        <w:t xml:space="preserve"> </w:t>
      </w:r>
      <w:hyperlink r:id="rId9" w:history="1">
        <w:r w:rsidR="00B75CF6" w:rsidRPr="00385DD5">
          <w:rPr>
            <w:rStyle w:val="Hyperlink"/>
            <w:rFonts w:ascii="Times New Roman" w:hAnsi="Times New Roman" w:cs="Times New Roman"/>
            <w:sz w:val="24"/>
            <w:szCs w:val="24"/>
          </w:rPr>
          <w:t>TTemniuk@chamber.ua</w:t>
        </w:r>
      </w:hyperlink>
      <w:r w:rsidR="00B75CF6" w:rsidRPr="00385DD5">
        <w:rPr>
          <w:rFonts w:ascii="Times New Roman" w:hAnsi="Times New Roman" w:cs="Times New Roman"/>
          <w:sz w:val="24"/>
          <w:szCs w:val="24"/>
        </w:rPr>
        <w:t xml:space="preserve">, </w:t>
      </w:r>
      <w:r w:rsidR="0065303C" w:rsidRPr="00385DD5">
        <w:rPr>
          <w:rFonts w:ascii="Times New Roman" w:hAnsi="Times New Roman" w:cs="Times New Roman"/>
          <w:sz w:val="24"/>
          <w:szCs w:val="24"/>
        </w:rPr>
        <w:t>контактна особа –</w:t>
      </w:r>
      <w:r w:rsidR="00B75CF6" w:rsidRPr="00385DD5">
        <w:rPr>
          <w:rFonts w:ascii="Times New Roman" w:hAnsi="Times New Roman" w:cs="Times New Roman"/>
          <w:sz w:val="24"/>
          <w:szCs w:val="24"/>
        </w:rPr>
        <w:t xml:space="preserve"> </w:t>
      </w:r>
      <w:r w:rsidR="0065303C" w:rsidRPr="00385DD5">
        <w:rPr>
          <w:rFonts w:ascii="Times New Roman" w:hAnsi="Times New Roman" w:cs="Times New Roman"/>
          <w:sz w:val="24"/>
          <w:szCs w:val="24"/>
        </w:rPr>
        <w:t>Тетяна Темнюк, менеджер Палати з питань стратегічного розвитку (</w:t>
      </w:r>
      <w:r w:rsidR="001C74B3">
        <w:rPr>
          <w:rFonts w:ascii="Times New Roman" w:hAnsi="Times New Roman" w:cs="Times New Roman"/>
          <w:sz w:val="24"/>
          <w:szCs w:val="24"/>
        </w:rPr>
        <w:t>паливно-енергетичний комплекс</w:t>
      </w:r>
      <w:r w:rsidR="0065303C" w:rsidRPr="00385DD5">
        <w:rPr>
          <w:rFonts w:ascii="Times New Roman" w:hAnsi="Times New Roman" w:cs="Times New Roman"/>
          <w:sz w:val="24"/>
          <w:szCs w:val="24"/>
        </w:rPr>
        <w:t>).</w:t>
      </w:r>
    </w:p>
    <w:p w:rsidR="006A056B" w:rsidRPr="006A056B" w:rsidRDefault="006A056B" w:rsidP="006A056B">
      <w:pPr>
        <w:spacing w:after="120" w:line="240" w:lineRule="auto"/>
        <w:jc w:val="both"/>
        <w:rPr>
          <w:rFonts w:ascii="Times New Roman" w:hAnsi="Times New Roman" w:cs="Times New Roman"/>
          <w:i/>
          <w:sz w:val="24"/>
          <w:szCs w:val="24"/>
        </w:rPr>
      </w:pPr>
      <w:r w:rsidRPr="006A056B">
        <w:rPr>
          <w:rFonts w:ascii="Times New Roman" w:hAnsi="Times New Roman" w:cs="Times New Roman"/>
          <w:i/>
          <w:sz w:val="24"/>
          <w:szCs w:val="24"/>
        </w:rPr>
        <w:t>Додатки: згадане на ___</w:t>
      </w:r>
      <w:proofErr w:type="spellStart"/>
      <w:r w:rsidRPr="006A056B">
        <w:rPr>
          <w:rFonts w:ascii="Times New Roman" w:hAnsi="Times New Roman" w:cs="Times New Roman"/>
          <w:i/>
          <w:sz w:val="24"/>
          <w:szCs w:val="24"/>
        </w:rPr>
        <w:t>арк</w:t>
      </w:r>
      <w:proofErr w:type="spellEnd"/>
      <w:r w:rsidRPr="006A056B">
        <w:rPr>
          <w:rFonts w:ascii="Times New Roman" w:hAnsi="Times New Roman" w:cs="Times New Roman"/>
          <w:i/>
          <w:sz w:val="24"/>
          <w:szCs w:val="24"/>
        </w:rPr>
        <w:t>.</w:t>
      </w:r>
    </w:p>
    <w:p w:rsidR="006A056B" w:rsidRDefault="006A056B" w:rsidP="006618B3">
      <w:pPr>
        <w:spacing w:after="120" w:line="240" w:lineRule="auto"/>
        <w:jc w:val="both"/>
        <w:rPr>
          <w:rFonts w:ascii="Times New Roman" w:hAnsi="Times New Roman" w:cs="Times New Roman"/>
          <w:b/>
          <w:sz w:val="24"/>
          <w:szCs w:val="24"/>
        </w:rPr>
      </w:pPr>
    </w:p>
    <w:p w:rsidR="0065303C" w:rsidRPr="00385DD5" w:rsidRDefault="0065303C" w:rsidP="006618B3">
      <w:pPr>
        <w:spacing w:after="120" w:line="240" w:lineRule="auto"/>
        <w:jc w:val="both"/>
        <w:rPr>
          <w:rFonts w:ascii="Times New Roman" w:hAnsi="Times New Roman" w:cs="Times New Roman"/>
          <w:b/>
          <w:sz w:val="24"/>
          <w:szCs w:val="24"/>
        </w:rPr>
      </w:pPr>
      <w:r w:rsidRPr="00385DD5">
        <w:rPr>
          <w:rFonts w:ascii="Times New Roman" w:hAnsi="Times New Roman" w:cs="Times New Roman"/>
          <w:b/>
          <w:sz w:val="24"/>
          <w:szCs w:val="24"/>
        </w:rPr>
        <w:t>З повагою,</w:t>
      </w:r>
    </w:p>
    <w:p w:rsidR="0065303C" w:rsidRPr="00385DD5" w:rsidRDefault="0065303C" w:rsidP="006618B3">
      <w:pPr>
        <w:spacing w:after="120" w:line="240" w:lineRule="auto"/>
        <w:jc w:val="both"/>
        <w:rPr>
          <w:rFonts w:ascii="Times New Roman" w:hAnsi="Times New Roman" w:cs="Times New Roman"/>
          <w:b/>
          <w:sz w:val="24"/>
          <w:szCs w:val="24"/>
        </w:rPr>
      </w:pPr>
      <w:r w:rsidRPr="00385DD5">
        <w:rPr>
          <w:rFonts w:ascii="Times New Roman" w:hAnsi="Times New Roman" w:cs="Times New Roman"/>
          <w:b/>
          <w:sz w:val="24"/>
          <w:szCs w:val="24"/>
        </w:rPr>
        <w:t xml:space="preserve">Президент </w:t>
      </w:r>
      <w:r w:rsidRPr="00385DD5">
        <w:rPr>
          <w:rFonts w:ascii="Times New Roman" w:hAnsi="Times New Roman" w:cs="Times New Roman"/>
          <w:b/>
          <w:sz w:val="24"/>
          <w:szCs w:val="24"/>
        </w:rPr>
        <w:tab/>
      </w:r>
      <w:r w:rsidRPr="00385DD5">
        <w:rPr>
          <w:rFonts w:ascii="Times New Roman" w:hAnsi="Times New Roman" w:cs="Times New Roman"/>
          <w:b/>
          <w:sz w:val="24"/>
          <w:szCs w:val="24"/>
        </w:rPr>
        <w:tab/>
      </w:r>
      <w:r w:rsidRPr="00385DD5">
        <w:rPr>
          <w:rFonts w:ascii="Times New Roman" w:hAnsi="Times New Roman" w:cs="Times New Roman"/>
          <w:b/>
          <w:sz w:val="24"/>
          <w:szCs w:val="24"/>
        </w:rPr>
        <w:tab/>
      </w:r>
      <w:r w:rsidRPr="00385DD5">
        <w:rPr>
          <w:rFonts w:ascii="Times New Roman" w:hAnsi="Times New Roman" w:cs="Times New Roman"/>
          <w:b/>
          <w:sz w:val="24"/>
          <w:szCs w:val="24"/>
        </w:rPr>
        <w:tab/>
      </w:r>
      <w:r w:rsidRPr="00385DD5">
        <w:rPr>
          <w:rFonts w:ascii="Times New Roman" w:hAnsi="Times New Roman" w:cs="Times New Roman"/>
          <w:b/>
          <w:sz w:val="24"/>
          <w:szCs w:val="24"/>
        </w:rPr>
        <w:tab/>
      </w:r>
      <w:r w:rsidRPr="00385DD5">
        <w:rPr>
          <w:rFonts w:ascii="Times New Roman" w:hAnsi="Times New Roman" w:cs="Times New Roman"/>
          <w:b/>
          <w:sz w:val="24"/>
          <w:szCs w:val="24"/>
        </w:rPr>
        <w:tab/>
      </w:r>
      <w:r w:rsidRPr="00385DD5">
        <w:rPr>
          <w:rFonts w:ascii="Times New Roman" w:hAnsi="Times New Roman" w:cs="Times New Roman"/>
          <w:b/>
          <w:sz w:val="24"/>
          <w:szCs w:val="24"/>
        </w:rPr>
        <w:tab/>
      </w:r>
      <w:r w:rsidR="00EC2FDA">
        <w:rPr>
          <w:rFonts w:ascii="Times New Roman" w:hAnsi="Times New Roman" w:cs="Times New Roman"/>
          <w:b/>
          <w:sz w:val="24"/>
          <w:szCs w:val="24"/>
        </w:rPr>
        <w:tab/>
      </w:r>
      <w:r w:rsidRPr="00385DD5">
        <w:rPr>
          <w:rFonts w:ascii="Times New Roman" w:hAnsi="Times New Roman" w:cs="Times New Roman"/>
          <w:b/>
          <w:sz w:val="24"/>
          <w:szCs w:val="24"/>
        </w:rPr>
        <w:tab/>
      </w:r>
      <w:r w:rsidRPr="00385DD5">
        <w:rPr>
          <w:rFonts w:ascii="Times New Roman" w:hAnsi="Times New Roman" w:cs="Times New Roman"/>
          <w:b/>
          <w:sz w:val="24"/>
          <w:szCs w:val="24"/>
        </w:rPr>
        <w:tab/>
        <w:t>Андрій Гундер</w:t>
      </w:r>
    </w:p>
    <w:p w:rsidR="00CE6B47" w:rsidRPr="00385DD5" w:rsidRDefault="0065303C" w:rsidP="0065303C">
      <w:pPr>
        <w:spacing w:after="120" w:line="240" w:lineRule="auto"/>
        <w:ind w:firstLine="426"/>
        <w:jc w:val="both"/>
        <w:rPr>
          <w:rFonts w:ascii="Times New Roman" w:hAnsi="Times New Roman" w:cs="Times New Roman"/>
          <w:sz w:val="24"/>
          <w:szCs w:val="24"/>
        </w:rPr>
      </w:pPr>
      <w:r w:rsidRPr="00385DD5">
        <w:rPr>
          <w:rFonts w:ascii="Times New Roman" w:hAnsi="Times New Roman" w:cs="Times New Roman"/>
          <w:sz w:val="24"/>
          <w:szCs w:val="24"/>
        </w:rPr>
        <w:t xml:space="preserve"> </w:t>
      </w:r>
    </w:p>
    <w:sectPr w:rsidR="00CE6B47" w:rsidRPr="00385DD5">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D05" w:rsidRDefault="00011D05" w:rsidP="00C239F4">
      <w:pPr>
        <w:spacing w:after="0" w:line="240" w:lineRule="auto"/>
      </w:pPr>
      <w:r>
        <w:separator/>
      </w:r>
    </w:p>
  </w:endnote>
  <w:endnote w:type="continuationSeparator" w:id="0">
    <w:p w:rsidR="00011D05" w:rsidRDefault="00011D05" w:rsidP="00C2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irce Light">
    <w:altName w:val="Circe Light"/>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F4" w:rsidRDefault="00C239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F4" w:rsidRDefault="00C239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F4" w:rsidRDefault="00C23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D05" w:rsidRDefault="00011D05" w:rsidP="00C239F4">
      <w:pPr>
        <w:spacing w:after="0" w:line="240" w:lineRule="auto"/>
      </w:pPr>
      <w:r>
        <w:separator/>
      </w:r>
    </w:p>
  </w:footnote>
  <w:footnote w:type="continuationSeparator" w:id="0">
    <w:p w:rsidR="00011D05" w:rsidRDefault="00011D05" w:rsidP="00C23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F4" w:rsidRDefault="00C239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F4" w:rsidRDefault="00C239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F4" w:rsidRDefault="00C239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75D2"/>
    <w:multiLevelType w:val="hybridMultilevel"/>
    <w:tmpl w:val="727A13B6"/>
    <w:lvl w:ilvl="0" w:tplc="A0708F7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D6627F2"/>
    <w:multiLevelType w:val="hybridMultilevel"/>
    <w:tmpl w:val="5598F9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5D7BDE"/>
    <w:multiLevelType w:val="hybridMultilevel"/>
    <w:tmpl w:val="B87CF398"/>
    <w:lvl w:ilvl="0" w:tplc="0422000F">
      <w:start w:val="1"/>
      <w:numFmt w:val="decimal"/>
      <w:lvlText w:val="%1."/>
      <w:lvlJc w:val="left"/>
      <w:pPr>
        <w:ind w:left="1146" w:hanging="360"/>
      </w:pPr>
    </w:lvl>
    <w:lvl w:ilvl="1" w:tplc="BBF64D16">
      <w:numFmt w:val="bullet"/>
      <w:lvlText w:val="•"/>
      <w:lvlJc w:val="left"/>
      <w:pPr>
        <w:ind w:left="2211" w:hanging="705"/>
      </w:pPr>
      <w:rPr>
        <w:rFonts w:ascii="Times New Roman" w:eastAsiaTheme="minorHAnsi" w:hAnsi="Times New Roman" w:cs="Times New Roman" w:hint="default"/>
      </w:r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
    <w:nsid w:val="34E32F66"/>
    <w:multiLevelType w:val="hybridMultilevel"/>
    <w:tmpl w:val="4A9A61FC"/>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
    <w:nsid w:val="7FFA6DDC"/>
    <w:multiLevelType w:val="hybridMultilevel"/>
    <w:tmpl w:val="9E1AC8C8"/>
    <w:lvl w:ilvl="0" w:tplc="38C64B70">
      <w:start w:val="3"/>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47"/>
    <w:rsid w:val="00011D05"/>
    <w:rsid w:val="00062E16"/>
    <w:rsid w:val="000A5047"/>
    <w:rsid w:val="000E13DE"/>
    <w:rsid w:val="000F52E2"/>
    <w:rsid w:val="001607D8"/>
    <w:rsid w:val="001657A6"/>
    <w:rsid w:val="001C04CD"/>
    <w:rsid w:val="001C74B3"/>
    <w:rsid w:val="002703B5"/>
    <w:rsid w:val="00270FDE"/>
    <w:rsid w:val="002C15CB"/>
    <w:rsid w:val="002C30F2"/>
    <w:rsid w:val="00314FFD"/>
    <w:rsid w:val="003264A0"/>
    <w:rsid w:val="00356191"/>
    <w:rsid w:val="00385DD5"/>
    <w:rsid w:val="003A3CB1"/>
    <w:rsid w:val="00400C5A"/>
    <w:rsid w:val="00447778"/>
    <w:rsid w:val="004605AE"/>
    <w:rsid w:val="00487B4E"/>
    <w:rsid w:val="00531CE6"/>
    <w:rsid w:val="005A5DED"/>
    <w:rsid w:val="005E4B54"/>
    <w:rsid w:val="006048EB"/>
    <w:rsid w:val="0065303C"/>
    <w:rsid w:val="006618B3"/>
    <w:rsid w:val="00676270"/>
    <w:rsid w:val="006A056B"/>
    <w:rsid w:val="006E602F"/>
    <w:rsid w:val="007A49D6"/>
    <w:rsid w:val="007D5502"/>
    <w:rsid w:val="009513A4"/>
    <w:rsid w:val="009F65CA"/>
    <w:rsid w:val="00A128F3"/>
    <w:rsid w:val="00A36D2E"/>
    <w:rsid w:val="00A47B53"/>
    <w:rsid w:val="00A52DD4"/>
    <w:rsid w:val="00A56E75"/>
    <w:rsid w:val="00A642BE"/>
    <w:rsid w:val="00A91AFE"/>
    <w:rsid w:val="00AC295E"/>
    <w:rsid w:val="00AD422B"/>
    <w:rsid w:val="00AF2779"/>
    <w:rsid w:val="00B2033E"/>
    <w:rsid w:val="00B75CF6"/>
    <w:rsid w:val="00B80F32"/>
    <w:rsid w:val="00C239F4"/>
    <w:rsid w:val="00C84B33"/>
    <w:rsid w:val="00C955D3"/>
    <w:rsid w:val="00CE6B47"/>
    <w:rsid w:val="00D54B76"/>
    <w:rsid w:val="00D82754"/>
    <w:rsid w:val="00DD0ED7"/>
    <w:rsid w:val="00E326DC"/>
    <w:rsid w:val="00E34C1D"/>
    <w:rsid w:val="00EC2FDA"/>
    <w:rsid w:val="00F419EF"/>
    <w:rsid w:val="00F97878"/>
    <w:rsid w:val="00FA7E04"/>
    <w:rsid w:val="00FC39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47"/>
  </w:style>
  <w:style w:type="paragraph" w:styleId="Heading2">
    <w:name w:val="heading 2"/>
    <w:basedOn w:val="Normal"/>
    <w:link w:val="Heading2Char"/>
    <w:uiPriority w:val="9"/>
    <w:qFormat/>
    <w:rsid w:val="000A504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Heading3">
    <w:name w:val="heading 3"/>
    <w:basedOn w:val="Normal"/>
    <w:next w:val="Normal"/>
    <w:link w:val="Heading3Char"/>
    <w:uiPriority w:val="9"/>
    <w:semiHidden/>
    <w:unhideWhenUsed/>
    <w:qFormat/>
    <w:rsid w:val="002C15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A5047"/>
    <w:rPr>
      <w:i/>
      <w:iCs/>
    </w:rPr>
  </w:style>
  <w:style w:type="paragraph" w:styleId="ListParagraph">
    <w:name w:val="List Paragraph"/>
    <w:basedOn w:val="Normal"/>
    <w:uiPriority w:val="99"/>
    <w:qFormat/>
    <w:rsid w:val="000A5047"/>
    <w:pPr>
      <w:ind w:left="720"/>
      <w:contextualSpacing/>
    </w:pPr>
  </w:style>
  <w:style w:type="character" w:customStyle="1" w:styleId="Heading2Char">
    <w:name w:val="Heading 2 Char"/>
    <w:basedOn w:val="DefaultParagraphFont"/>
    <w:link w:val="Heading2"/>
    <w:uiPriority w:val="9"/>
    <w:rsid w:val="000A5047"/>
    <w:rPr>
      <w:rFonts w:ascii="Times New Roman" w:eastAsia="Times New Roman" w:hAnsi="Times New Roman" w:cs="Times New Roman"/>
      <w:b/>
      <w:bCs/>
      <w:sz w:val="36"/>
      <w:szCs w:val="36"/>
      <w:lang w:eastAsia="uk-UA"/>
    </w:rPr>
  </w:style>
  <w:style w:type="character" w:styleId="Hyperlink">
    <w:name w:val="Hyperlink"/>
    <w:basedOn w:val="DefaultParagraphFont"/>
    <w:uiPriority w:val="99"/>
    <w:unhideWhenUsed/>
    <w:rsid w:val="00356191"/>
    <w:rPr>
      <w:color w:val="0000FF"/>
      <w:u w:val="single"/>
    </w:rPr>
  </w:style>
  <w:style w:type="paragraph" w:styleId="NormalWeb">
    <w:name w:val="Normal (Web)"/>
    <w:basedOn w:val="Normal"/>
    <w:uiPriority w:val="99"/>
    <w:unhideWhenUsed/>
    <w:rsid w:val="006530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B75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CF6"/>
    <w:rPr>
      <w:rFonts w:ascii="Tahoma" w:hAnsi="Tahoma" w:cs="Tahoma"/>
      <w:sz w:val="16"/>
      <w:szCs w:val="16"/>
    </w:rPr>
  </w:style>
  <w:style w:type="paragraph" w:styleId="Header">
    <w:name w:val="header"/>
    <w:basedOn w:val="Normal"/>
    <w:link w:val="HeaderChar"/>
    <w:uiPriority w:val="99"/>
    <w:unhideWhenUsed/>
    <w:rsid w:val="00C239F4"/>
    <w:pPr>
      <w:tabs>
        <w:tab w:val="center" w:pos="4819"/>
        <w:tab w:val="right" w:pos="9639"/>
      </w:tabs>
      <w:spacing w:after="0" w:line="240" w:lineRule="auto"/>
    </w:pPr>
  </w:style>
  <w:style w:type="character" w:customStyle="1" w:styleId="HeaderChar">
    <w:name w:val="Header Char"/>
    <w:basedOn w:val="DefaultParagraphFont"/>
    <w:link w:val="Header"/>
    <w:uiPriority w:val="99"/>
    <w:rsid w:val="00C239F4"/>
  </w:style>
  <w:style w:type="paragraph" w:styleId="Footer">
    <w:name w:val="footer"/>
    <w:basedOn w:val="Normal"/>
    <w:link w:val="FooterChar"/>
    <w:uiPriority w:val="99"/>
    <w:unhideWhenUsed/>
    <w:rsid w:val="00C239F4"/>
    <w:pPr>
      <w:tabs>
        <w:tab w:val="center" w:pos="4819"/>
        <w:tab w:val="right" w:pos="9639"/>
      </w:tabs>
      <w:spacing w:after="0" w:line="240" w:lineRule="auto"/>
    </w:pPr>
  </w:style>
  <w:style w:type="character" w:customStyle="1" w:styleId="FooterChar">
    <w:name w:val="Footer Char"/>
    <w:basedOn w:val="DefaultParagraphFont"/>
    <w:link w:val="Footer"/>
    <w:uiPriority w:val="99"/>
    <w:rsid w:val="00C239F4"/>
  </w:style>
  <w:style w:type="character" w:customStyle="1" w:styleId="Heading3Char">
    <w:name w:val="Heading 3 Char"/>
    <w:basedOn w:val="DefaultParagraphFont"/>
    <w:link w:val="Heading3"/>
    <w:uiPriority w:val="9"/>
    <w:semiHidden/>
    <w:rsid w:val="002C15CB"/>
    <w:rPr>
      <w:rFonts w:asciiTheme="majorHAnsi" w:eastAsiaTheme="majorEastAsia" w:hAnsiTheme="majorHAnsi" w:cstheme="majorBidi"/>
      <w:b/>
      <w:bCs/>
      <w:color w:val="4F81BD" w:themeColor="accent1"/>
    </w:rPr>
  </w:style>
  <w:style w:type="character" w:customStyle="1" w:styleId="A4">
    <w:name w:val="A4"/>
    <w:uiPriority w:val="99"/>
    <w:rsid w:val="00385DD5"/>
    <w:rPr>
      <w:rFonts w:cs="Circe Ligh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47"/>
  </w:style>
  <w:style w:type="paragraph" w:styleId="Heading2">
    <w:name w:val="heading 2"/>
    <w:basedOn w:val="Normal"/>
    <w:link w:val="Heading2Char"/>
    <w:uiPriority w:val="9"/>
    <w:qFormat/>
    <w:rsid w:val="000A504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Heading3">
    <w:name w:val="heading 3"/>
    <w:basedOn w:val="Normal"/>
    <w:next w:val="Normal"/>
    <w:link w:val="Heading3Char"/>
    <w:uiPriority w:val="9"/>
    <w:semiHidden/>
    <w:unhideWhenUsed/>
    <w:qFormat/>
    <w:rsid w:val="002C15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A5047"/>
    <w:rPr>
      <w:i/>
      <w:iCs/>
    </w:rPr>
  </w:style>
  <w:style w:type="paragraph" w:styleId="ListParagraph">
    <w:name w:val="List Paragraph"/>
    <w:basedOn w:val="Normal"/>
    <w:uiPriority w:val="99"/>
    <w:qFormat/>
    <w:rsid w:val="000A5047"/>
    <w:pPr>
      <w:ind w:left="720"/>
      <w:contextualSpacing/>
    </w:pPr>
  </w:style>
  <w:style w:type="character" w:customStyle="1" w:styleId="Heading2Char">
    <w:name w:val="Heading 2 Char"/>
    <w:basedOn w:val="DefaultParagraphFont"/>
    <w:link w:val="Heading2"/>
    <w:uiPriority w:val="9"/>
    <w:rsid w:val="000A5047"/>
    <w:rPr>
      <w:rFonts w:ascii="Times New Roman" w:eastAsia="Times New Roman" w:hAnsi="Times New Roman" w:cs="Times New Roman"/>
      <w:b/>
      <w:bCs/>
      <w:sz w:val="36"/>
      <w:szCs w:val="36"/>
      <w:lang w:eastAsia="uk-UA"/>
    </w:rPr>
  </w:style>
  <w:style w:type="character" w:styleId="Hyperlink">
    <w:name w:val="Hyperlink"/>
    <w:basedOn w:val="DefaultParagraphFont"/>
    <w:uiPriority w:val="99"/>
    <w:unhideWhenUsed/>
    <w:rsid w:val="00356191"/>
    <w:rPr>
      <w:color w:val="0000FF"/>
      <w:u w:val="single"/>
    </w:rPr>
  </w:style>
  <w:style w:type="paragraph" w:styleId="NormalWeb">
    <w:name w:val="Normal (Web)"/>
    <w:basedOn w:val="Normal"/>
    <w:uiPriority w:val="99"/>
    <w:unhideWhenUsed/>
    <w:rsid w:val="006530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B75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CF6"/>
    <w:rPr>
      <w:rFonts w:ascii="Tahoma" w:hAnsi="Tahoma" w:cs="Tahoma"/>
      <w:sz w:val="16"/>
      <w:szCs w:val="16"/>
    </w:rPr>
  </w:style>
  <w:style w:type="paragraph" w:styleId="Header">
    <w:name w:val="header"/>
    <w:basedOn w:val="Normal"/>
    <w:link w:val="HeaderChar"/>
    <w:uiPriority w:val="99"/>
    <w:unhideWhenUsed/>
    <w:rsid w:val="00C239F4"/>
    <w:pPr>
      <w:tabs>
        <w:tab w:val="center" w:pos="4819"/>
        <w:tab w:val="right" w:pos="9639"/>
      </w:tabs>
      <w:spacing w:after="0" w:line="240" w:lineRule="auto"/>
    </w:pPr>
  </w:style>
  <w:style w:type="character" w:customStyle="1" w:styleId="HeaderChar">
    <w:name w:val="Header Char"/>
    <w:basedOn w:val="DefaultParagraphFont"/>
    <w:link w:val="Header"/>
    <w:uiPriority w:val="99"/>
    <w:rsid w:val="00C239F4"/>
  </w:style>
  <w:style w:type="paragraph" w:styleId="Footer">
    <w:name w:val="footer"/>
    <w:basedOn w:val="Normal"/>
    <w:link w:val="FooterChar"/>
    <w:uiPriority w:val="99"/>
    <w:unhideWhenUsed/>
    <w:rsid w:val="00C239F4"/>
    <w:pPr>
      <w:tabs>
        <w:tab w:val="center" w:pos="4819"/>
        <w:tab w:val="right" w:pos="9639"/>
      </w:tabs>
      <w:spacing w:after="0" w:line="240" w:lineRule="auto"/>
    </w:pPr>
  </w:style>
  <w:style w:type="character" w:customStyle="1" w:styleId="FooterChar">
    <w:name w:val="Footer Char"/>
    <w:basedOn w:val="DefaultParagraphFont"/>
    <w:link w:val="Footer"/>
    <w:uiPriority w:val="99"/>
    <w:rsid w:val="00C239F4"/>
  </w:style>
  <w:style w:type="character" w:customStyle="1" w:styleId="Heading3Char">
    <w:name w:val="Heading 3 Char"/>
    <w:basedOn w:val="DefaultParagraphFont"/>
    <w:link w:val="Heading3"/>
    <w:uiPriority w:val="9"/>
    <w:semiHidden/>
    <w:rsid w:val="002C15CB"/>
    <w:rPr>
      <w:rFonts w:asciiTheme="majorHAnsi" w:eastAsiaTheme="majorEastAsia" w:hAnsiTheme="majorHAnsi" w:cstheme="majorBidi"/>
      <w:b/>
      <w:bCs/>
      <w:color w:val="4F81BD" w:themeColor="accent1"/>
    </w:rPr>
  </w:style>
  <w:style w:type="character" w:customStyle="1" w:styleId="A4">
    <w:name w:val="A4"/>
    <w:uiPriority w:val="99"/>
    <w:rsid w:val="00385DD5"/>
    <w:rPr>
      <w:rFonts w:cs="Circe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36573">
      <w:bodyDiv w:val="1"/>
      <w:marLeft w:val="0"/>
      <w:marRight w:val="0"/>
      <w:marTop w:val="0"/>
      <w:marBottom w:val="0"/>
      <w:divBdr>
        <w:top w:val="none" w:sz="0" w:space="0" w:color="auto"/>
        <w:left w:val="none" w:sz="0" w:space="0" w:color="auto"/>
        <w:bottom w:val="none" w:sz="0" w:space="0" w:color="auto"/>
        <w:right w:val="none" w:sz="0" w:space="0" w:color="auto"/>
      </w:divBdr>
    </w:div>
    <w:div w:id="287048803">
      <w:bodyDiv w:val="1"/>
      <w:marLeft w:val="0"/>
      <w:marRight w:val="0"/>
      <w:marTop w:val="0"/>
      <w:marBottom w:val="0"/>
      <w:divBdr>
        <w:top w:val="none" w:sz="0" w:space="0" w:color="auto"/>
        <w:left w:val="none" w:sz="0" w:space="0" w:color="auto"/>
        <w:bottom w:val="none" w:sz="0" w:space="0" w:color="auto"/>
        <w:right w:val="none" w:sz="0" w:space="0" w:color="auto"/>
      </w:divBdr>
    </w:div>
    <w:div w:id="649479164">
      <w:bodyDiv w:val="1"/>
      <w:marLeft w:val="0"/>
      <w:marRight w:val="0"/>
      <w:marTop w:val="0"/>
      <w:marBottom w:val="0"/>
      <w:divBdr>
        <w:top w:val="none" w:sz="0" w:space="0" w:color="auto"/>
        <w:left w:val="none" w:sz="0" w:space="0" w:color="auto"/>
        <w:bottom w:val="none" w:sz="0" w:space="0" w:color="auto"/>
        <w:right w:val="none" w:sz="0" w:space="0" w:color="auto"/>
      </w:divBdr>
    </w:div>
    <w:div w:id="943419937">
      <w:bodyDiv w:val="1"/>
      <w:marLeft w:val="0"/>
      <w:marRight w:val="0"/>
      <w:marTop w:val="0"/>
      <w:marBottom w:val="0"/>
      <w:divBdr>
        <w:top w:val="none" w:sz="0" w:space="0" w:color="auto"/>
        <w:left w:val="none" w:sz="0" w:space="0" w:color="auto"/>
        <w:bottom w:val="none" w:sz="0" w:space="0" w:color="auto"/>
        <w:right w:val="none" w:sz="0" w:space="0" w:color="auto"/>
      </w:divBdr>
    </w:div>
    <w:div w:id="955453633">
      <w:bodyDiv w:val="1"/>
      <w:marLeft w:val="0"/>
      <w:marRight w:val="0"/>
      <w:marTop w:val="0"/>
      <w:marBottom w:val="0"/>
      <w:divBdr>
        <w:top w:val="none" w:sz="0" w:space="0" w:color="auto"/>
        <w:left w:val="none" w:sz="0" w:space="0" w:color="auto"/>
        <w:bottom w:val="none" w:sz="0" w:space="0" w:color="auto"/>
        <w:right w:val="none" w:sz="0" w:space="0" w:color="auto"/>
      </w:divBdr>
    </w:div>
    <w:div w:id="1094397896">
      <w:bodyDiv w:val="1"/>
      <w:marLeft w:val="0"/>
      <w:marRight w:val="0"/>
      <w:marTop w:val="0"/>
      <w:marBottom w:val="0"/>
      <w:divBdr>
        <w:top w:val="none" w:sz="0" w:space="0" w:color="auto"/>
        <w:left w:val="none" w:sz="0" w:space="0" w:color="auto"/>
        <w:bottom w:val="none" w:sz="0" w:space="0" w:color="auto"/>
        <w:right w:val="none" w:sz="0" w:space="0" w:color="auto"/>
      </w:divBdr>
    </w:div>
    <w:div w:id="1143235994">
      <w:bodyDiv w:val="1"/>
      <w:marLeft w:val="0"/>
      <w:marRight w:val="0"/>
      <w:marTop w:val="0"/>
      <w:marBottom w:val="0"/>
      <w:divBdr>
        <w:top w:val="none" w:sz="0" w:space="0" w:color="auto"/>
        <w:left w:val="none" w:sz="0" w:space="0" w:color="auto"/>
        <w:bottom w:val="none" w:sz="0" w:space="0" w:color="auto"/>
        <w:right w:val="none" w:sz="0" w:space="0" w:color="auto"/>
      </w:divBdr>
    </w:div>
    <w:div w:id="17394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Temniuk@chamber.u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B5377-E13C-48CC-B96C-64AE33F5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6669</Words>
  <Characters>3802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Zgurya</dc:creator>
  <cp:lastModifiedBy>Tetiana Temniuk</cp:lastModifiedBy>
  <cp:revision>4</cp:revision>
  <cp:lastPrinted>2017-02-27T10:11:00Z</cp:lastPrinted>
  <dcterms:created xsi:type="dcterms:W3CDTF">2017-02-27T10:11:00Z</dcterms:created>
  <dcterms:modified xsi:type="dcterms:W3CDTF">2017-02-27T10:14:00Z</dcterms:modified>
</cp:coreProperties>
</file>