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98" w:rsidRDefault="00A55A98" w:rsidP="00A55A98">
      <w:pPr>
        <w:spacing w:line="276" w:lineRule="auto"/>
        <w:jc w:val="center"/>
        <w:rPr>
          <w:b/>
          <w:color w:val="1F497D"/>
          <w:lang w:val="en-US"/>
        </w:rPr>
      </w:pPr>
    </w:p>
    <w:tbl>
      <w:tblPr>
        <w:tblW w:w="0" w:type="auto"/>
        <w:tblInd w:w="526" w:type="dxa"/>
        <w:tblLook w:val="04A0" w:firstRow="1" w:lastRow="0" w:firstColumn="1" w:lastColumn="0" w:noHBand="0" w:noVBand="1"/>
      </w:tblPr>
      <w:tblGrid>
        <w:gridCol w:w="4523"/>
        <w:gridCol w:w="623"/>
        <w:gridCol w:w="4561"/>
      </w:tblGrid>
      <w:tr w:rsidR="00A55A98" w:rsidRPr="00D60E72" w:rsidTr="0063302B">
        <w:trPr>
          <w:trHeight w:val="1467"/>
        </w:trPr>
        <w:tc>
          <w:tcPr>
            <w:tcW w:w="5342" w:type="dxa"/>
            <w:gridSpan w:val="2"/>
            <w:shd w:val="clear" w:color="auto" w:fill="auto"/>
          </w:tcPr>
          <w:p w:rsidR="0063302B" w:rsidRDefault="0063302B" w:rsidP="0052505C">
            <w:pPr>
              <w:spacing w:line="276" w:lineRule="auto"/>
              <w:ind w:left="84"/>
              <w:jc w:val="both"/>
              <w:rPr>
                <w:b/>
              </w:rPr>
            </w:pPr>
          </w:p>
          <w:p w:rsidR="00A55A98" w:rsidRPr="00D60E72" w:rsidRDefault="00A55A98" w:rsidP="0052505C">
            <w:pPr>
              <w:spacing w:line="276" w:lineRule="auto"/>
              <w:ind w:left="84"/>
              <w:jc w:val="both"/>
              <w:rPr>
                <w:b/>
                <w:lang w:val="ru-RU"/>
              </w:rPr>
            </w:pPr>
            <w:r w:rsidRPr="00D60E72">
              <w:rPr>
                <w:b/>
              </w:rPr>
              <w:t>№1</w:t>
            </w:r>
            <w:r w:rsidRPr="00D60E72">
              <w:rPr>
                <w:b/>
                <w:lang w:val="en-US"/>
              </w:rPr>
              <w:t>7</w:t>
            </w:r>
            <w:r w:rsidRPr="00D60E72">
              <w:rPr>
                <w:b/>
              </w:rPr>
              <w:t xml:space="preserve"> – </w:t>
            </w:r>
          </w:p>
          <w:p w:rsidR="00A55A98" w:rsidRPr="00D60E72" w:rsidRDefault="00A55A98" w:rsidP="0052505C">
            <w:pPr>
              <w:spacing w:line="276" w:lineRule="auto"/>
              <w:ind w:left="84"/>
              <w:jc w:val="both"/>
              <w:rPr>
                <w:b/>
              </w:rPr>
            </w:pPr>
            <w:r w:rsidRPr="00D60E72">
              <w:rPr>
                <w:b/>
                <w:lang w:val="en-US"/>
              </w:rPr>
              <w:t>___</w:t>
            </w:r>
            <w:r>
              <w:rPr>
                <w:b/>
                <w:lang w:val="ru-RU"/>
              </w:rPr>
              <w:t>вересня</w:t>
            </w:r>
            <w:r w:rsidRPr="00D60E72">
              <w:rPr>
                <w:b/>
              </w:rPr>
              <w:t xml:space="preserve"> 2017 року</w:t>
            </w:r>
          </w:p>
        </w:tc>
        <w:tc>
          <w:tcPr>
            <w:tcW w:w="4680" w:type="dxa"/>
            <w:shd w:val="clear" w:color="auto" w:fill="auto"/>
          </w:tcPr>
          <w:p w:rsidR="0063302B" w:rsidRDefault="0063302B" w:rsidP="0052505C">
            <w:pPr>
              <w:spacing w:line="276" w:lineRule="auto"/>
              <w:ind w:left="798" w:hanging="6"/>
              <w:rPr>
                <w:b/>
                <w:lang w:val="ru-RU"/>
              </w:rPr>
            </w:pPr>
          </w:p>
          <w:p w:rsidR="00A55A98" w:rsidRDefault="00FB23B1" w:rsidP="0052505C">
            <w:pPr>
              <w:spacing w:line="276" w:lineRule="auto"/>
              <w:ind w:left="798" w:hanging="6"/>
              <w:rPr>
                <w:b/>
                <w:lang w:val="ru-RU"/>
              </w:rPr>
            </w:pPr>
            <w:proofErr w:type="spellStart"/>
            <w:r w:rsidRPr="00FB23B1">
              <w:rPr>
                <w:b/>
                <w:lang w:val="ru-RU"/>
              </w:rPr>
              <w:t>Виконуюч</w:t>
            </w:r>
            <w:r>
              <w:rPr>
                <w:b/>
                <w:lang w:val="ru-RU"/>
              </w:rPr>
              <w:t>ому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FB23B1">
              <w:rPr>
                <w:b/>
                <w:lang w:val="ru-RU"/>
              </w:rPr>
              <w:t>обов’язки</w:t>
            </w:r>
            <w:proofErr w:type="spellEnd"/>
            <w:r w:rsidRPr="00FB23B1">
              <w:rPr>
                <w:b/>
                <w:lang w:val="ru-RU"/>
              </w:rPr>
              <w:t xml:space="preserve"> </w:t>
            </w:r>
            <w:proofErr w:type="spellStart"/>
            <w:r w:rsidRPr="00FB23B1">
              <w:rPr>
                <w:b/>
                <w:lang w:val="ru-RU"/>
              </w:rPr>
              <w:t>Голови</w:t>
            </w:r>
            <w:proofErr w:type="spellEnd"/>
            <w:r w:rsidRPr="00FB23B1">
              <w:rPr>
                <w:b/>
                <w:lang w:val="ru-RU"/>
              </w:rPr>
              <w:t xml:space="preserve"> </w:t>
            </w:r>
            <w:proofErr w:type="spellStart"/>
            <w:r w:rsidRPr="00FB23B1">
              <w:rPr>
                <w:b/>
                <w:lang w:val="ru-RU"/>
              </w:rPr>
              <w:t>Державної</w:t>
            </w:r>
            <w:proofErr w:type="spellEnd"/>
            <w:r w:rsidRPr="00FB23B1">
              <w:rPr>
                <w:b/>
                <w:lang w:val="ru-RU"/>
              </w:rPr>
              <w:t xml:space="preserve"> </w:t>
            </w:r>
            <w:proofErr w:type="spellStart"/>
            <w:r w:rsidRPr="00FB23B1">
              <w:rPr>
                <w:b/>
                <w:lang w:val="ru-RU"/>
              </w:rPr>
              <w:t>фіскальної</w:t>
            </w:r>
            <w:proofErr w:type="spellEnd"/>
            <w:r w:rsidRPr="00FB23B1">
              <w:rPr>
                <w:b/>
                <w:lang w:val="ru-RU"/>
              </w:rPr>
              <w:t xml:space="preserve"> </w:t>
            </w:r>
            <w:proofErr w:type="spellStart"/>
            <w:r w:rsidRPr="00FB23B1">
              <w:rPr>
                <w:b/>
                <w:lang w:val="ru-RU"/>
              </w:rPr>
              <w:t>служби</w:t>
            </w:r>
            <w:proofErr w:type="spellEnd"/>
            <w:r w:rsidRPr="00FB23B1">
              <w:rPr>
                <w:b/>
                <w:lang w:val="ru-RU"/>
              </w:rPr>
              <w:t xml:space="preserve"> </w:t>
            </w:r>
            <w:proofErr w:type="spellStart"/>
            <w:r w:rsidRPr="00FB23B1">
              <w:rPr>
                <w:b/>
                <w:lang w:val="ru-RU"/>
              </w:rPr>
              <w:t>України</w:t>
            </w:r>
            <w:proofErr w:type="spellEnd"/>
          </w:p>
          <w:p w:rsidR="00FB23B1" w:rsidRPr="0000272C" w:rsidRDefault="00FB23B1" w:rsidP="0052505C">
            <w:pPr>
              <w:spacing w:line="276" w:lineRule="auto"/>
              <w:ind w:left="798" w:hanging="6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Продану</w:t>
            </w:r>
            <w:proofErr w:type="spellEnd"/>
            <w:r>
              <w:rPr>
                <w:b/>
                <w:lang w:val="ru-RU"/>
              </w:rPr>
              <w:t xml:space="preserve"> М.В.</w:t>
            </w:r>
          </w:p>
        </w:tc>
      </w:tr>
      <w:tr w:rsidR="00A55A98" w:rsidRPr="00D60E72" w:rsidTr="00FB23B1">
        <w:trPr>
          <w:trHeight w:val="68"/>
        </w:trPr>
        <w:tc>
          <w:tcPr>
            <w:tcW w:w="5342" w:type="dxa"/>
            <w:gridSpan w:val="2"/>
            <w:shd w:val="clear" w:color="auto" w:fill="auto"/>
          </w:tcPr>
          <w:p w:rsidR="0063302B" w:rsidRDefault="0063302B" w:rsidP="0052505C">
            <w:pPr>
              <w:spacing w:line="276" w:lineRule="auto"/>
              <w:ind w:left="720" w:firstLine="720"/>
              <w:jc w:val="both"/>
              <w:rPr>
                <w:b/>
              </w:rPr>
            </w:pPr>
          </w:p>
          <w:p w:rsidR="00D271BD" w:rsidRPr="00D60E72" w:rsidRDefault="00D271BD" w:rsidP="0052505C">
            <w:pPr>
              <w:spacing w:line="276" w:lineRule="auto"/>
              <w:ind w:left="720" w:firstLine="720"/>
              <w:jc w:val="both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A55A98" w:rsidRPr="00D60E72" w:rsidRDefault="00A55A98" w:rsidP="0052505C">
            <w:pPr>
              <w:spacing w:line="276" w:lineRule="auto"/>
              <w:ind w:left="720"/>
              <w:jc w:val="both"/>
              <w:rPr>
                <w:b/>
              </w:rPr>
            </w:pPr>
          </w:p>
        </w:tc>
      </w:tr>
      <w:tr w:rsidR="00A55A98" w:rsidRPr="00D60E72" w:rsidTr="0052505C">
        <w:trPr>
          <w:trHeight w:val="414"/>
        </w:trPr>
        <w:tc>
          <w:tcPr>
            <w:tcW w:w="4695" w:type="dxa"/>
            <w:shd w:val="clear" w:color="auto" w:fill="auto"/>
          </w:tcPr>
          <w:p w:rsidR="00A55A98" w:rsidRDefault="00A55A98" w:rsidP="0052505C">
            <w:pPr>
              <w:spacing w:line="276" w:lineRule="auto"/>
              <w:ind w:left="84"/>
              <w:jc w:val="both"/>
              <w:rPr>
                <w:i/>
                <w:lang w:val="ru-RU"/>
              </w:rPr>
            </w:pPr>
            <w:proofErr w:type="spellStart"/>
            <w:r w:rsidRPr="00D60E72">
              <w:rPr>
                <w:i/>
                <w:lang w:val="ru-RU"/>
              </w:rPr>
              <w:t>Щодо</w:t>
            </w:r>
            <w:proofErr w:type="spellEnd"/>
            <w:r w:rsidRPr="00D60E72">
              <w:rPr>
                <w:i/>
                <w:lang w:val="ru-RU"/>
              </w:rPr>
              <w:t xml:space="preserve"> </w:t>
            </w:r>
            <w:proofErr w:type="spellStart"/>
            <w:r w:rsidR="0063302B" w:rsidRPr="0063302B">
              <w:rPr>
                <w:i/>
                <w:lang w:val="ru-RU"/>
              </w:rPr>
              <w:t>передачі</w:t>
            </w:r>
            <w:proofErr w:type="spellEnd"/>
            <w:r w:rsidR="0063302B" w:rsidRPr="0063302B">
              <w:rPr>
                <w:i/>
                <w:lang w:val="ru-RU"/>
              </w:rPr>
              <w:t xml:space="preserve"> права </w:t>
            </w:r>
            <w:proofErr w:type="spellStart"/>
            <w:r w:rsidR="0063302B" w:rsidRPr="0063302B">
              <w:rPr>
                <w:i/>
                <w:lang w:val="ru-RU"/>
              </w:rPr>
              <w:t>власності</w:t>
            </w:r>
            <w:proofErr w:type="spellEnd"/>
            <w:r w:rsidR="0063302B" w:rsidRPr="0063302B">
              <w:rPr>
                <w:i/>
                <w:lang w:val="ru-RU"/>
              </w:rPr>
              <w:t xml:space="preserve"> на </w:t>
            </w:r>
            <w:proofErr w:type="spellStart"/>
            <w:r w:rsidR="0063302B" w:rsidRPr="0063302B">
              <w:rPr>
                <w:i/>
                <w:lang w:val="ru-RU"/>
              </w:rPr>
              <w:t>природний</w:t>
            </w:r>
            <w:proofErr w:type="spellEnd"/>
            <w:r w:rsidR="0063302B" w:rsidRPr="0063302B">
              <w:rPr>
                <w:i/>
                <w:lang w:val="ru-RU"/>
              </w:rPr>
              <w:t xml:space="preserve"> газ, </w:t>
            </w:r>
            <w:proofErr w:type="spellStart"/>
            <w:r w:rsidR="0063302B" w:rsidRPr="0063302B">
              <w:rPr>
                <w:i/>
                <w:lang w:val="ru-RU"/>
              </w:rPr>
              <w:t>переміщений</w:t>
            </w:r>
            <w:proofErr w:type="spellEnd"/>
            <w:r w:rsidR="0063302B" w:rsidRPr="0063302B">
              <w:rPr>
                <w:i/>
                <w:lang w:val="ru-RU"/>
              </w:rPr>
              <w:t xml:space="preserve"> </w:t>
            </w:r>
            <w:proofErr w:type="gramStart"/>
            <w:r w:rsidR="0063302B" w:rsidRPr="0063302B">
              <w:rPr>
                <w:i/>
                <w:lang w:val="ru-RU"/>
              </w:rPr>
              <w:t>у режим</w:t>
            </w:r>
            <w:proofErr w:type="gramEnd"/>
            <w:r w:rsidR="0063302B" w:rsidRPr="0063302B">
              <w:rPr>
                <w:i/>
                <w:lang w:val="ru-RU"/>
              </w:rPr>
              <w:t xml:space="preserve"> </w:t>
            </w:r>
            <w:proofErr w:type="spellStart"/>
            <w:r w:rsidR="0063302B" w:rsidRPr="0063302B">
              <w:rPr>
                <w:i/>
                <w:lang w:val="ru-RU"/>
              </w:rPr>
              <w:t>митного</w:t>
            </w:r>
            <w:proofErr w:type="spellEnd"/>
            <w:r w:rsidR="0063302B" w:rsidRPr="0063302B">
              <w:rPr>
                <w:i/>
                <w:lang w:val="ru-RU"/>
              </w:rPr>
              <w:t xml:space="preserve"> складу</w:t>
            </w:r>
          </w:p>
          <w:p w:rsidR="00A55A98" w:rsidRPr="00C04D52" w:rsidRDefault="00A55A98" w:rsidP="0052505C">
            <w:pPr>
              <w:rPr>
                <w:lang w:val="ru-RU"/>
              </w:rPr>
            </w:pPr>
          </w:p>
          <w:p w:rsidR="00A55A98" w:rsidRPr="00C04D52" w:rsidRDefault="00A55A98" w:rsidP="0052505C">
            <w:pPr>
              <w:jc w:val="right"/>
              <w:rPr>
                <w:lang w:val="ru-RU"/>
              </w:rPr>
            </w:pPr>
          </w:p>
        </w:tc>
        <w:tc>
          <w:tcPr>
            <w:tcW w:w="647" w:type="dxa"/>
            <w:shd w:val="clear" w:color="auto" w:fill="auto"/>
          </w:tcPr>
          <w:p w:rsidR="00A55A98" w:rsidRPr="00D60E72" w:rsidRDefault="00A55A98" w:rsidP="0052505C">
            <w:pPr>
              <w:spacing w:line="276" w:lineRule="auto"/>
              <w:ind w:left="720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A55A98" w:rsidRPr="00D60E72" w:rsidRDefault="00A55A98" w:rsidP="0052505C">
            <w:pPr>
              <w:spacing w:line="276" w:lineRule="auto"/>
              <w:ind w:left="720"/>
              <w:jc w:val="both"/>
              <w:rPr>
                <w:b/>
                <w:i/>
                <w:lang w:val="ru-RU"/>
              </w:rPr>
            </w:pPr>
          </w:p>
        </w:tc>
      </w:tr>
    </w:tbl>
    <w:p w:rsidR="00A55A98" w:rsidRPr="00A55A98" w:rsidRDefault="00A55A98" w:rsidP="00A55A98">
      <w:pPr>
        <w:spacing w:line="276" w:lineRule="auto"/>
        <w:ind w:left="720"/>
        <w:jc w:val="center"/>
        <w:rPr>
          <w:b/>
        </w:rPr>
      </w:pPr>
      <w:r>
        <w:rPr>
          <w:b/>
        </w:rPr>
        <w:t>Ш</w:t>
      </w:r>
      <w:r w:rsidRPr="00A55A98">
        <w:rPr>
          <w:b/>
        </w:rPr>
        <w:t xml:space="preserve">ановний </w:t>
      </w:r>
      <w:r w:rsidR="00FB23B1">
        <w:rPr>
          <w:b/>
        </w:rPr>
        <w:t>Мирославе Васильовичу</w:t>
      </w:r>
      <w:r w:rsidRPr="00A55A98">
        <w:rPr>
          <w:b/>
        </w:rPr>
        <w:t>!</w:t>
      </w:r>
    </w:p>
    <w:p w:rsidR="0063302B" w:rsidRPr="00A55A98" w:rsidRDefault="0063302B" w:rsidP="00A55A98">
      <w:pPr>
        <w:spacing w:line="276" w:lineRule="auto"/>
        <w:ind w:left="720"/>
        <w:jc w:val="center"/>
      </w:pPr>
    </w:p>
    <w:p w:rsidR="00A55A98" w:rsidRDefault="00A55A98" w:rsidP="00A55A98">
      <w:pPr>
        <w:spacing w:line="276" w:lineRule="auto"/>
        <w:ind w:left="720" w:firstLine="630"/>
        <w:jc w:val="both"/>
      </w:pPr>
      <w:r w:rsidRPr="00A55A98">
        <w:t xml:space="preserve">Від імені Ради директорів Американської торгівельної палати в Україні (далі – Палата) </w:t>
      </w:r>
      <w:r>
        <w:t>і</w:t>
      </w:r>
      <w:r w:rsidRPr="00A55A98">
        <w:t xml:space="preserve"> компаній</w:t>
      </w:r>
      <w:r w:rsidR="00FB23B1">
        <w:t xml:space="preserve"> </w:t>
      </w:r>
      <w:r w:rsidRPr="00A55A98">
        <w:t>-</w:t>
      </w:r>
      <w:r w:rsidR="00FB23B1">
        <w:t xml:space="preserve"> </w:t>
      </w:r>
      <w:r w:rsidRPr="00A55A98">
        <w:t xml:space="preserve">членів висловлюємо Вам глибоку повагу та </w:t>
      </w:r>
      <w:r>
        <w:t>звертаємось</w:t>
      </w:r>
      <w:r w:rsidR="00FB23B1">
        <w:t xml:space="preserve"> із наступним.</w:t>
      </w:r>
      <w:r>
        <w:t xml:space="preserve">  </w:t>
      </w:r>
    </w:p>
    <w:p w:rsidR="00FB23B1" w:rsidRDefault="00FB23B1" w:rsidP="00A55A98">
      <w:pPr>
        <w:spacing w:line="276" w:lineRule="auto"/>
        <w:ind w:left="720" w:firstLine="630"/>
        <w:jc w:val="both"/>
      </w:pPr>
      <w:r w:rsidRPr="00FB23B1">
        <w:t>Згідно ст. 121 Митного кодексу «м</w:t>
      </w:r>
      <w:r w:rsidR="00A55A98" w:rsidRPr="00FB23B1">
        <w:t xml:space="preserve">итний склад - це митний режим, відповідно до якого іноземні або українські товари зберігаються під митним контролем із умовним повним звільненням від оподаткування митними </w:t>
      </w:r>
      <w:proofErr w:type="spellStart"/>
      <w:r w:rsidR="00A55A98" w:rsidRPr="00FB23B1">
        <w:t>платежами</w:t>
      </w:r>
      <w:proofErr w:type="spellEnd"/>
      <w:r w:rsidR="00A55A98" w:rsidRPr="00FB23B1">
        <w:t xml:space="preserve"> та без застосування заходів нетарифного регулювання зовнішньоекономічної діяльності</w:t>
      </w:r>
      <w:r w:rsidRPr="00FB23B1">
        <w:t>».</w:t>
      </w:r>
      <w:r w:rsidR="00A55A98" w:rsidRPr="00FB23B1">
        <w:t xml:space="preserve"> </w:t>
      </w:r>
      <w:r w:rsidRPr="00FB23B1">
        <w:t>В</w:t>
      </w:r>
      <w:r w:rsidR="00A55A98" w:rsidRPr="00FB23B1">
        <w:t>ідповідно до ст. 128 Митного кодексу України допускається передача права власності на іноземні товари, поміщені у митний режим митного складу</w:t>
      </w:r>
      <w:r w:rsidRPr="00FB23B1">
        <w:t>.</w:t>
      </w:r>
    </w:p>
    <w:p w:rsidR="00A55A98" w:rsidRPr="00FB23B1" w:rsidRDefault="00FB23B1" w:rsidP="00A55A98">
      <w:pPr>
        <w:spacing w:line="276" w:lineRule="auto"/>
        <w:ind w:left="720" w:firstLine="630"/>
        <w:jc w:val="both"/>
      </w:pPr>
      <w:r w:rsidRPr="00FB23B1">
        <w:t xml:space="preserve">Зважаючи на вищевказане, </w:t>
      </w:r>
      <w:r w:rsidRPr="0063302B">
        <w:rPr>
          <w:b/>
        </w:rPr>
        <w:t xml:space="preserve">просимо Вас </w:t>
      </w:r>
      <w:r w:rsidR="00A55A98" w:rsidRPr="0063302B">
        <w:rPr>
          <w:b/>
        </w:rPr>
        <w:t xml:space="preserve">надати офіційне </w:t>
      </w:r>
      <w:r w:rsidRPr="0063302B">
        <w:rPr>
          <w:b/>
        </w:rPr>
        <w:t>роз</w:t>
      </w:r>
      <w:r w:rsidRPr="0063302B">
        <w:rPr>
          <w:b/>
          <w:lang w:val="ru-RU"/>
        </w:rPr>
        <w:t>’</w:t>
      </w:r>
      <w:proofErr w:type="spellStart"/>
      <w:r w:rsidR="00A55A98" w:rsidRPr="0063302B">
        <w:rPr>
          <w:b/>
        </w:rPr>
        <w:t>яснення</w:t>
      </w:r>
      <w:proofErr w:type="spellEnd"/>
      <w:r w:rsidR="00A55A98" w:rsidRPr="0063302B">
        <w:rPr>
          <w:b/>
        </w:rPr>
        <w:t xml:space="preserve"> щодо наступн</w:t>
      </w:r>
      <w:r w:rsidRPr="0063302B">
        <w:rPr>
          <w:b/>
        </w:rPr>
        <w:t>их питань</w:t>
      </w:r>
      <w:r w:rsidR="00A55A98" w:rsidRPr="00FB23B1">
        <w:t>:</w:t>
      </w:r>
    </w:p>
    <w:p w:rsidR="00FB23B1" w:rsidRPr="0063302B" w:rsidRDefault="00FB23B1" w:rsidP="00FB23B1">
      <w:pPr>
        <w:pStyle w:val="ListParagraph"/>
        <w:numPr>
          <w:ilvl w:val="0"/>
          <w:numId w:val="1"/>
        </w:numPr>
        <w:tabs>
          <w:tab w:val="left" w:pos="1710"/>
        </w:tabs>
        <w:spacing w:line="276" w:lineRule="auto"/>
        <w:ind w:left="720" w:firstLine="630"/>
        <w:jc w:val="both"/>
      </w:pPr>
      <w:r w:rsidRPr="00FB23B1">
        <w:t>я</w:t>
      </w:r>
      <w:r w:rsidR="00A55A98" w:rsidRPr="00FB23B1">
        <w:t xml:space="preserve">кі документи повинні надаватися при реалізації передачі права власності на </w:t>
      </w:r>
      <w:r w:rsidR="00A55A98" w:rsidRPr="0063302B">
        <w:t xml:space="preserve">природний газ, переміщений у режим митного складу, якщо угода укладається:  </w:t>
      </w:r>
    </w:p>
    <w:p w:rsidR="00FB23B1" w:rsidRPr="0063302B" w:rsidRDefault="00A55A98" w:rsidP="00FB23B1">
      <w:pPr>
        <w:pStyle w:val="ListParagraph"/>
        <w:tabs>
          <w:tab w:val="left" w:pos="1710"/>
        </w:tabs>
        <w:spacing w:line="276" w:lineRule="auto"/>
        <w:ind w:left="1350"/>
        <w:jc w:val="both"/>
      </w:pPr>
      <w:r w:rsidRPr="0063302B">
        <w:t xml:space="preserve">- між нерезидентом та резидентом (нерезидент є продавцем);  </w:t>
      </w:r>
    </w:p>
    <w:p w:rsidR="00FB23B1" w:rsidRPr="0063302B" w:rsidRDefault="00A55A98" w:rsidP="00FB23B1">
      <w:pPr>
        <w:pStyle w:val="ListParagraph"/>
        <w:tabs>
          <w:tab w:val="left" w:pos="1710"/>
        </w:tabs>
        <w:spacing w:line="276" w:lineRule="auto"/>
        <w:ind w:left="1350"/>
        <w:jc w:val="both"/>
      </w:pPr>
      <w:r w:rsidRPr="0063302B">
        <w:t xml:space="preserve">- між нерезидентом та нерезидентом;  </w:t>
      </w:r>
    </w:p>
    <w:p w:rsidR="00FB23B1" w:rsidRPr="0063302B" w:rsidRDefault="00A55A98" w:rsidP="00FB23B1">
      <w:pPr>
        <w:pStyle w:val="ListParagraph"/>
        <w:tabs>
          <w:tab w:val="left" w:pos="1710"/>
        </w:tabs>
        <w:spacing w:line="276" w:lineRule="auto"/>
        <w:ind w:left="1350"/>
        <w:jc w:val="both"/>
      </w:pPr>
      <w:r w:rsidRPr="0063302B">
        <w:t xml:space="preserve">- між резидентом та резидентом; </w:t>
      </w:r>
    </w:p>
    <w:p w:rsidR="00A55A98" w:rsidRPr="0063302B" w:rsidRDefault="00A55A98" w:rsidP="00FB23B1">
      <w:pPr>
        <w:pStyle w:val="ListParagraph"/>
        <w:tabs>
          <w:tab w:val="left" w:pos="1710"/>
        </w:tabs>
        <w:spacing w:line="276" w:lineRule="auto"/>
        <w:ind w:left="1350"/>
        <w:jc w:val="both"/>
      </w:pPr>
      <w:r w:rsidRPr="0063302B">
        <w:t>- резидентом та нерезидентом (резидент є продавцем газу), якщо покупець не має наміру змінювати режим зберігання товару</w:t>
      </w:r>
      <w:r w:rsidR="00FB23B1" w:rsidRPr="0063302B">
        <w:t>;</w:t>
      </w:r>
    </w:p>
    <w:p w:rsidR="0063302B" w:rsidRPr="0063302B" w:rsidRDefault="00FB23B1" w:rsidP="00FB23B1">
      <w:pPr>
        <w:pStyle w:val="ListParagraph"/>
        <w:numPr>
          <w:ilvl w:val="0"/>
          <w:numId w:val="1"/>
        </w:numPr>
        <w:tabs>
          <w:tab w:val="left" w:pos="1710"/>
        </w:tabs>
        <w:spacing w:line="276" w:lineRule="auto"/>
        <w:ind w:left="720" w:firstLine="630"/>
        <w:jc w:val="both"/>
        <w:rPr>
          <w:b/>
          <w:lang w:val="ru-RU"/>
        </w:rPr>
      </w:pPr>
      <w:r w:rsidRPr="0063302B">
        <w:t>я</w:t>
      </w:r>
      <w:r w:rsidR="00A55A98" w:rsidRPr="0063302B">
        <w:t>кі платежі мають здійснювати сторони угоди при реалізації передачі права власності на природний газ, переміщений у режим митного складу, якщо угода укладається:</w:t>
      </w:r>
    </w:p>
    <w:p w:rsidR="0063302B" w:rsidRPr="0063302B" w:rsidRDefault="00A55A98" w:rsidP="0063302B">
      <w:pPr>
        <w:pStyle w:val="ListParagraph"/>
        <w:tabs>
          <w:tab w:val="left" w:pos="1710"/>
        </w:tabs>
        <w:spacing w:line="276" w:lineRule="auto"/>
        <w:ind w:left="1350"/>
        <w:jc w:val="both"/>
      </w:pPr>
      <w:r w:rsidRPr="0063302B">
        <w:t xml:space="preserve">  - між нерезидентом та резидентом (нерезидент є продавцем);  </w:t>
      </w:r>
    </w:p>
    <w:p w:rsidR="0063302B" w:rsidRPr="0063302B" w:rsidRDefault="00A55A98" w:rsidP="0063302B">
      <w:pPr>
        <w:pStyle w:val="ListParagraph"/>
        <w:tabs>
          <w:tab w:val="left" w:pos="1710"/>
        </w:tabs>
        <w:spacing w:line="276" w:lineRule="auto"/>
        <w:ind w:left="1350"/>
        <w:jc w:val="both"/>
      </w:pPr>
      <w:r w:rsidRPr="0063302B">
        <w:t xml:space="preserve">- між нерезидентом та нерезидентом;  </w:t>
      </w:r>
    </w:p>
    <w:p w:rsidR="0063302B" w:rsidRPr="0063302B" w:rsidRDefault="00A55A98" w:rsidP="0063302B">
      <w:pPr>
        <w:pStyle w:val="ListParagraph"/>
        <w:tabs>
          <w:tab w:val="left" w:pos="1710"/>
        </w:tabs>
        <w:spacing w:line="276" w:lineRule="auto"/>
        <w:ind w:left="1350"/>
        <w:jc w:val="both"/>
      </w:pPr>
      <w:r w:rsidRPr="0063302B">
        <w:t xml:space="preserve">- між резидентом та резидентом; </w:t>
      </w:r>
    </w:p>
    <w:p w:rsidR="00A55A98" w:rsidRDefault="00A55A98" w:rsidP="0063302B">
      <w:pPr>
        <w:pStyle w:val="ListParagraph"/>
        <w:tabs>
          <w:tab w:val="left" w:pos="1710"/>
        </w:tabs>
        <w:spacing w:line="276" w:lineRule="auto"/>
        <w:ind w:left="1350"/>
        <w:jc w:val="both"/>
      </w:pPr>
      <w:r w:rsidRPr="0063302B">
        <w:t>- резидентом та нерезидентом (резидент є продавцем газу), якщо покупець не має наміру змінювати режим зберігання товару.</w:t>
      </w:r>
    </w:p>
    <w:p w:rsidR="00D271BD" w:rsidRDefault="00D271BD" w:rsidP="00D271BD">
      <w:pPr>
        <w:spacing w:line="276" w:lineRule="auto"/>
        <w:ind w:left="720"/>
        <w:jc w:val="both"/>
        <w:rPr>
          <w:lang w:val="en-US"/>
        </w:rPr>
      </w:pPr>
      <w:r>
        <w:rPr>
          <w:lang w:val="en-US"/>
        </w:rPr>
        <w:t xml:space="preserve">           </w:t>
      </w:r>
    </w:p>
    <w:p w:rsidR="00A55A98" w:rsidRDefault="00A55A98" w:rsidP="00D271BD">
      <w:pPr>
        <w:spacing w:line="276" w:lineRule="auto"/>
        <w:ind w:left="1440"/>
        <w:jc w:val="both"/>
        <w:rPr>
          <w:lang w:val="ru-RU"/>
        </w:rPr>
      </w:pPr>
      <w:r w:rsidRPr="00D60E72">
        <w:rPr>
          <w:lang w:val="ru-RU"/>
        </w:rPr>
        <w:t xml:space="preserve">Будь ласка, </w:t>
      </w:r>
      <w:proofErr w:type="spellStart"/>
      <w:r w:rsidRPr="00D60E72">
        <w:rPr>
          <w:lang w:val="ru-RU"/>
        </w:rPr>
        <w:t>ще</w:t>
      </w:r>
      <w:proofErr w:type="spellEnd"/>
      <w:r w:rsidRPr="00D60E72">
        <w:rPr>
          <w:lang w:val="ru-RU"/>
        </w:rPr>
        <w:t xml:space="preserve"> раз </w:t>
      </w:r>
      <w:proofErr w:type="spellStart"/>
      <w:r w:rsidRPr="00D60E72">
        <w:rPr>
          <w:lang w:val="ru-RU"/>
        </w:rPr>
        <w:t>прийміть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запевнення</w:t>
      </w:r>
      <w:proofErr w:type="spellEnd"/>
      <w:r w:rsidRPr="00D60E72">
        <w:rPr>
          <w:lang w:val="ru-RU"/>
        </w:rPr>
        <w:t xml:space="preserve"> у </w:t>
      </w:r>
      <w:proofErr w:type="spellStart"/>
      <w:r>
        <w:rPr>
          <w:lang w:val="ru-RU"/>
        </w:rPr>
        <w:t>нашій</w:t>
      </w:r>
      <w:proofErr w:type="spellEnd"/>
      <w:r>
        <w:rPr>
          <w:lang w:val="ru-RU"/>
        </w:rPr>
        <w:t xml:space="preserve"> </w:t>
      </w:r>
      <w:proofErr w:type="spellStart"/>
      <w:r w:rsidRPr="00D60E72">
        <w:rPr>
          <w:lang w:val="ru-RU"/>
        </w:rPr>
        <w:t>глибокій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повазі</w:t>
      </w:r>
      <w:proofErr w:type="spellEnd"/>
      <w:r w:rsidRPr="00D60E72">
        <w:rPr>
          <w:lang w:val="ru-RU"/>
        </w:rPr>
        <w:t xml:space="preserve"> та </w:t>
      </w:r>
      <w:proofErr w:type="spellStart"/>
      <w:r w:rsidRPr="00D60E72">
        <w:rPr>
          <w:lang w:val="ru-RU"/>
        </w:rPr>
        <w:t>побажання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успіху</w:t>
      </w:r>
      <w:proofErr w:type="spellEnd"/>
      <w:r w:rsidRPr="00D60E72">
        <w:rPr>
          <w:lang w:val="ru-RU"/>
        </w:rPr>
        <w:t xml:space="preserve">. </w:t>
      </w:r>
    </w:p>
    <w:p w:rsidR="00A55A98" w:rsidRPr="00A55A98" w:rsidRDefault="00A55A98" w:rsidP="00D271BD">
      <w:pPr>
        <w:spacing w:line="276" w:lineRule="auto"/>
        <w:ind w:left="720" w:firstLine="709"/>
        <w:jc w:val="both"/>
      </w:pPr>
      <w:r w:rsidRPr="00D60E72">
        <w:rPr>
          <w:lang w:val="ru-RU"/>
        </w:rPr>
        <w:t xml:space="preserve">У </w:t>
      </w:r>
      <w:proofErr w:type="spellStart"/>
      <w:r w:rsidRPr="00D60E72">
        <w:rPr>
          <w:lang w:val="ru-RU"/>
        </w:rPr>
        <w:t>разі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виникнення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питань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щодо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цього</w:t>
      </w:r>
      <w:proofErr w:type="spellEnd"/>
      <w:r w:rsidRPr="00D60E72">
        <w:rPr>
          <w:lang w:val="ru-RU"/>
        </w:rPr>
        <w:t xml:space="preserve"> листа просимо Вас </w:t>
      </w:r>
      <w:proofErr w:type="spellStart"/>
      <w:r w:rsidRPr="00D60E72">
        <w:rPr>
          <w:lang w:val="ru-RU"/>
        </w:rPr>
        <w:t>визначити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відповідальну</w:t>
      </w:r>
      <w:proofErr w:type="spellEnd"/>
      <w:r w:rsidRPr="00D60E72">
        <w:rPr>
          <w:lang w:val="ru-RU"/>
        </w:rPr>
        <w:t xml:space="preserve"> особу, яка могла б </w:t>
      </w:r>
      <w:proofErr w:type="spellStart"/>
      <w:r w:rsidRPr="00D60E72">
        <w:rPr>
          <w:lang w:val="ru-RU"/>
        </w:rPr>
        <w:t>зв’язатись</w:t>
      </w:r>
      <w:proofErr w:type="spellEnd"/>
      <w:r w:rsidRPr="00D60E72">
        <w:rPr>
          <w:lang w:val="ru-RU"/>
        </w:rPr>
        <w:t xml:space="preserve"> з нами за телефоном 490 5800, контактна особа – </w:t>
      </w:r>
      <w:proofErr w:type="spellStart"/>
      <w:r w:rsidRPr="00D60E72">
        <w:rPr>
          <w:lang w:val="ru-RU"/>
        </w:rPr>
        <w:t>Тетяна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lastRenderedPageBreak/>
        <w:t>Темнюк</w:t>
      </w:r>
      <w:proofErr w:type="spellEnd"/>
      <w:r w:rsidRPr="00D60E72">
        <w:rPr>
          <w:lang w:val="ru-RU"/>
        </w:rPr>
        <w:t xml:space="preserve">, менеджер з </w:t>
      </w:r>
      <w:proofErr w:type="spellStart"/>
      <w:r w:rsidRPr="00D60E72">
        <w:rPr>
          <w:lang w:val="ru-RU"/>
        </w:rPr>
        <w:t>питань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стратегічного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розвитку</w:t>
      </w:r>
      <w:proofErr w:type="spellEnd"/>
      <w:r w:rsidRPr="00D60E72">
        <w:rPr>
          <w:lang w:val="ru-RU"/>
        </w:rPr>
        <w:t xml:space="preserve"> (</w:t>
      </w:r>
      <w:proofErr w:type="spellStart"/>
      <w:r w:rsidRPr="00D60E72">
        <w:rPr>
          <w:lang w:val="ru-RU"/>
        </w:rPr>
        <w:t>паливно-енергетичний</w:t>
      </w:r>
      <w:proofErr w:type="spellEnd"/>
      <w:r w:rsidRPr="00D60E72">
        <w:rPr>
          <w:lang w:val="ru-RU"/>
        </w:rPr>
        <w:t xml:space="preserve"> комплекс) </w:t>
      </w:r>
      <w:proofErr w:type="spellStart"/>
      <w:r w:rsidRPr="00D60E72">
        <w:rPr>
          <w:lang w:val="ru-RU"/>
        </w:rPr>
        <w:t>або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електронною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поштою</w:t>
      </w:r>
      <w:proofErr w:type="spellEnd"/>
      <w:r w:rsidRPr="00D60E72">
        <w:rPr>
          <w:lang w:val="ru-RU"/>
        </w:rPr>
        <w:t xml:space="preserve"> </w:t>
      </w:r>
      <w:hyperlink r:id="rId7" w:history="1">
        <w:r w:rsidRPr="00D60E72">
          <w:rPr>
            <w:rStyle w:val="Hyperlink"/>
          </w:rPr>
          <w:t>ttemniuk@chamber.ua</w:t>
        </w:r>
      </w:hyperlink>
      <w:r w:rsidRPr="00D60E72">
        <w:t>.</w:t>
      </w:r>
    </w:p>
    <w:p w:rsidR="00A55A98" w:rsidRPr="00A55A98" w:rsidRDefault="00A55A98" w:rsidP="00A55A98">
      <w:pPr>
        <w:spacing w:line="276" w:lineRule="auto"/>
        <w:ind w:left="720" w:firstLine="708"/>
        <w:jc w:val="both"/>
      </w:pPr>
    </w:p>
    <w:p w:rsidR="00A55A98" w:rsidRPr="00A55A98" w:rsidRDefault="00A55A98" w:rsidP="00A55A98">
      <w:pPr>
        <w:spacing w:line="276" w:lineRule="auto"/>
        <w:ind w:left="720" w:firstLine="708"/>
        <w:jc w:val="both"/>
      </w:pPr>
    </w:p>
    <w:p w:rsidR="00A55A98" w:rsidRPr="00D60E72" w:rsidRDefault="00A55A98" w:rsidP="00A55A98">
      <w:pPr>
        <w:spacing w:line="276" w:lineRule="auto"/>
        <w:ind w:left="720"/>
        <w:jc w:val="both"/>
        <w:rPr>
          <w:b/>
        </w:rPr>
      </w:pPr>
      <w:r w:rsidRPr="00D60E72">
        <w:rPr>
          <w:b/>
        </w:rPr>
        <w:t>З найкращими побажаннями,</w:t>
      </w:r>
    </w:p>
    <w:p w:rsidR="00A55A98" w:rsidRDefault="00A55A98" w:rsidP="00A55A98">
      <w:pPr>
        <w:spacing w:line="276" w:lineRule="auto"/>
        <w:ind w:left="720"/>
        <w:jc w:val="both"/>
        <w:rPr>
          <w:b/>
        </w:rPr>
      </w:pPr>
    </w:p>
    <w:p w:rsidR="00A55A98" w:rsidRPr="00D60E72" w:rsidRDefault="00A55A98" w:rsidP="00A55A98">
      <w:pPr>
        <w:spacing w:line="276" w:lineRule="auto"/>
        <w:ind w:left="720"/>
        <w:jc w:val="both"/>
        <w:rPr>
          <w:b/>
        </w:rPr>
      </w:pPr>
    </w:p>
    <w:p w:rsidR="00A55A98" w:rsidRPr="00D60E72" w:rsidRDefault="00A55A98" w:rsidP="00A55A98">
      <w:pPr>
        <w:spacing w:line="276" w:lineRule="auto"/>
        <w:ind w:left="720"/>
        <w:jc w:val="both"/>
        <w:rPr>
          <w:b/>
        </w:rPr>
      </w:pPr>
      <w:r w:rsidRPr="00D60E72">
        <w:rPr>
          <w:b/>
        </w:rPr>
        <w:t>Пр</w:t>
      </w:r>
      <w:r>
        <w:rPr>
          <w:b/>
        </w:rPr>
        <w:t>езидент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 w:rsidRPr="00D60E72">
        <w:rPr>
          <w:b/>
        </w:rPr>
        <w:t xml:space="preserve"> </w:t>
      </w:r>
      <w:r w:rsidR="00D271BD">
        <w:rPr>
          <w:b/>
          <w:lang w:val="en-US"/>
        </w:rPr>
        <w:t xml:space="preserve">          </w:t>
      </w:r>
      <w:bookmarkStart w:id="0" w:name="_GoBack"/>
      <w:bookmarkEnd w:id="0"/>
      <w:r w:rsidRPr="00D60E72">
        <w:rPr>
          <w:b/>
        </w:rPr>
        <w:t xml:space="preserve"> Андрі</w:t>
      </w:r>
      <w:r>
        <w:rPr>
          <w:b/>
        </w:rPr>
        <w:t xml:space="preserve">й </w:t>
      </w:r>
      <w:proofErr w:type="spellStart"/>
      <w:r>
        <w:rPr>
          <w:b/>
        </w:rPr>
        <w:t>Гундер</w:t>
      </w:r>
      <w:proofErr w:type="spellEnd"/>
    </w:p>
    <w:p w:rsidR="00A55A98" w:rsidRPr="00D60E72" w:rsidRDefault="00A55A98" w:rsidP="00A55A98">
      <w:pPr>
        <w:spacing w:line="276" w:lineRule="auto"/>
        <w:ind w:left="720"/>
        <w:jc w:val="both"/>
      </w:pPr>
    </w:p>
    <w:p w:rsidR="00A55A98" w:rsidRPr="00D60E72" w:rsidRDefault="00A55A98" w:rsidP="00A55A98">
      <w:pPr>
        <w:spacing w:line="276" w:lineRule="auto"/>
        <w:ind w:left="720"/>
      </w:pPr>
    </w:p>
    <w:p w:rsidR="00A55A98" w:rsidRPr="00D60E72" w:rsidRDefault="00A55A98" w:rsidP="00A55A98">
      <w:pPr>
        <w:spacing w:line="276" w:lineRule="auto"/>
        <w:ind w:left="720"/>
      </w:pPr>
    </w:p>
    <w:p w:rsidR="00DC0B2A" w:rsidRDefault="006A54C0"/>
    <w:sectPr w:rsidR="00DC0B2A" w:rsidSect="00596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06" w:bottom="567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F3" w:rsidRDefault="002570BC">
      <w:r>
        <w:separator/>
      </w:r>
    </w:p>
  </w:endnote>
  <w:endnote w:type="continuationSeparator" w:id="0">
    <w:p w:rsidR="00B479F3" w:rsidRDefault="0025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37" w:rsidRDefault="006A5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37" w:rsidRPr="00843624" w:rsidRDefault="00237821" w:rsidP="006F2337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</w:t>
    </w:r>
  </w:p>
  <w:p w:rsidR="006F2337" w:rsidRPr="00843624" w:rsidRDefault="00237821" w:rsidP="006F2337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Гжегож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Хмелярський,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МакДональдз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Юкрейн”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Голова;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Шевкі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Аджунер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Європейський банк реконструкції та розвитку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Мартін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Шумахер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"МЕТРО Кеш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енд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Кері Україна”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Надія Васильєва, </w:t>
    </w:r>
    <w:r w:rsidRPr="00843624">
      <w:rPr>
        <w:rFonts w:ascii="Arial" w:hAnsi="Arial" w:cs="Arial"/>
        <w:i/>
        <w:color w:val="404040"/>
        <w:sz w:val="16"/>
        <w:szCs w:val="16"/>
      </w:rPr>
      <w:t>“Майкрософт Україна”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Скарбник; Олег Тимків,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PwC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Секретар; Сергій Чорний, </w:t>
    </w:r>
    <w:r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Юридичний радник; Ленна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Кожарни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Horizon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Capital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Стівен Фішер, </w:t>
    </w:r>
    <w:r w:rsidRPr="00843624">
      <w:rPr>
        <w:rFonts w:ascii="Arial" w:hAnsi="Arial" w:cs="Arial"/>
        <w:i/>
        <w:color w:val="404040"/>
        <w:sz w:val="16"/>
        <w:szCs w:val="16"/>
      </w:rPr>
      <w:t>"СІТІ";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Євген Шевченко,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Carlsberg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Мартін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Шульдт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"Каргілл".</w:t>
    </w:r>
  </w:p>
  <w:p w:rsidR="006F2337" w:rsidRPr="00843624" w:rsidRDefault="00237821" w:rsidP="006F2337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proofErr w:type="gramStart"/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резидент: </w:t>
    </w:r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</w:t>
    </w:r>
    <w:proofErr w:type="gramEnd"/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Андрій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Гундер</w:t>
    </w:r>
    <w:proofErr w:type="spellEnd"/>
  </w:p>
  <w:p w:rsidR="00B57472" w:rsidRPr="005F4AD6" w:rsidRDefault="006A54C0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37" w:rsidRDefault="006A5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F3" w:rsidRDefault="002570BC">
      <w:r>
        <w:separator/>
      </w:r>
    </w:p>
  </w:footnote>
  <w:footnote w:type="continuationSeparator" w:id="0">
    <w:p w:rsidR="00B479F3" w:rsidRDefault="0025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37" w:rsidRDefault="006A54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720563" o:spid="_x0000_s1026" type="#_x0000_t136" style="position:absolute;margin-left:0;margin-top:0;width:515.25pt;height:20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10" w:rsidRPr="00712510" w:rsidRDefault="006A54C0" w:rsidP="00712510">
    <w:pPr>
      <w:pStyle w:val="Head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720564" o:spid="_x0000_s1027" type="#_x0000_t136" style="position:absolute;margin-left:0;margin-top:0;width:515.25pt;height:20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37821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0A41454" wp14:editId="11ACCFA2">
          <wp:simplePos x="0" y="0"/>
          <wp:positionH relativeFrom="column">
            <wp:posOffset>-472440</wp:posOffset>
          </wp:positionH>
          <wp:positionV relativeFrom="page">
            <wp:posOffset>88900</wp:posOffset>
          </wp:positionV>
          <wp:extent cx="7541895" cy="939800"/>
          <wp:effectExtent l="0" t="0" r="1905" b="0"/>
          <wp:wrapNone/>
          <wp:docPr id="1" name="Picture 1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37" w:rsidRDefault="006A54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720562" o:spid="_x0000_s1025" type="#_x0000_t136" style="position:absolute;margin-left:0;margin-top:0;width:515.25pt;height:206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57D"/>
    <w:multiLevelType w:val="hybridMultilevel"/>
    <w:tmpl w:val="8020B844"/>
    <w:lvl w:ilvl="0" w:tplc="BE3A6F70">
      <w:start w:val="1"/>
      <w:numFmt w:val="decimal"/>
      <w:lvlText w:val="%1)"/>
      <w:lvlJc w:val="left"/>
      <w:pPr>
        <w:ind w:left="2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5D0D00D0"/>
    <w:multiLevelType w:val="hybridMultilevel"/>
    <w:tmpl w:val="49327D98"/>
    <w:lvl w:ilvl="0" w:tplc="95820B70">
      <w:start w:val="1"/>
      <w:numFmt w:val="decimal"/>
      <w:lvlText w:val="%1)"/>
      <w:lvlJc w:val="left"/>
      <w:pPr>
        <w:ind w:left="205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98"/>
    <w:rsid w:val="00237821"/>
    <w:rsid w:val="002570BC"/>
    <w:rsid w:val="0029757B"/>
    <w:rsid w:val="003A204F"/>
    <w:rsid w:val="0063302B"/>
    <w:rsid w:val="006A54C0"/>
    <w:rsid w:val="00A55A98"/>
    <w:rsid w:val="00B479F3"/>
    <w:rsid w:val="00CA5C68"/>
    <w:rsid w:val="00D271BD"/>
    <w:rsid w:val="00FB23B1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72B18"/>
  <w15:chartTrackingRefBased/>
  <w15:docId w15:val="{4AE93348-DD4A-4CE3-AFDA-8F572FA8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5A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55A9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A55A98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A55A9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5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A9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NormalWeb">
    <w:name w:val="Normal (Web)"/>
    <w:basedOn w:val="Normal"/>
    <w:uiPriority w:val="99"/>
    <w:semiHidden/>
    <w:unhideWhenUsed/>
    <w:rsid w:val="00A55A98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21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ListParagraph">
    <w:name w:val="List Paragraph"/>
    <w:basedOn w:val="Normal"/>
    <w:uiPriority w:val="34"/>
    <w:qFormat/>
    <w:rsid w:val="00FB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temniuk@chamber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4</cp:revision>
  <cp:lastPrinted>2017-09-26T14:56:00Z</cp:lastPrinted>
  <dcterms:created xsi:type="dcterms:W3CDTF">2017-09-27T11:46:00Z</dcterms:created>
  <dcterms:modified xsi:type="dcterms:W3CDTF">2017-09-28T11:25:00Z</dcterms:modified>
</cp:coreProperties>
</file>