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2E6" w:rsidRDefault="00AC72E6" w:rsidP="00AC72E6">
      <w:pPr>
        <w:spacing w:line="276" w:lineRule="auto"/>
        <w:jc w:val="center"/>
        <w:rPr>
          <w:b/>
          <w:color w:val="1F497D"/>
          <w:lang w:val="en-US"/>
        </w:rPr>
      </w:pPr>
    </w:p>
    <w:p w:rsidR="00AC72E6" w:rsidRDefault="00AC72E6" w:rsidP="00AC72E6">
      <w:pPr>
        <w:spacing w:line="276" w:lineRule="auto"/>
        <w:jc w:val="center"/>
        <w:rPr>
          <w:b/>
          <w:color w:val="1F497D"/>
          <w:lang w:val="en-US"/>
        </w:rPr>
      </w:pPr>
    </w:p>
    <w:p w:rsidR="00AC72E6" w:rsidRPr="00D60E72" w:rsidRDefault="00AC72E6" w:rsidP="00AC72E6">
      <w:pPr>
        <w:spacing w:line="276" w:lineRule="auto"/>
        <w:jc w:val="center"/>
        <w:rPr>
          <w:b/>
          <w:color w:val="1F497D"/>
          <w:lang w:val="en-US"/>
        </w:rPr>
      </w:pPr>
    </w:p>
    <w:tbl>
      <w:tblPr>
        <w:tblW w:w="0" w:type="auto"/>
        <w:tblInd w:w="526" w:type="dxa"/>
        <w:tblLook w:val="04A0" w:firstRow="1" w:lastRow="0" w:firstColumn="1" w:lastColumn="0" w:noHBand="0" w:noVBand="1"/>
      </w:tblPr>
      <w:tblGrid>
        <w:gridCol w:w="4695"/>
        <w:gridCol w:w="1083"/>
        <w:gridCol w:w="3969"/>
      </w:tblGrid>
      <w:tr w:rsidR="00AC72E6" w:rsidRPr="00D60E72" w:rsidTr="005A4035">
        <w:tc>
          <w:tcPr>
            <w:tcW w:w="5778" w:type="dxa"/>
            <w:gridSpan w:val="2"/>
            <w:shd w:val="clear" w:color="auto" w:fill="auto"/>
          </w:tcPr>
          <w:p w:rsidR="00AC72E6" w:rsidRPr="00D60E72" w:rsidRDefault="00AC72E6" w:rsidP="00AC72E6">
            <w:pPr>
              <w:spacing w:line="276" w:lineRule="auto"/>
              <w:ind w:left="84"/>
              <w:jc w:val="both"/>
              <w:rPr>
                <w:b/>
                <w:lang w:val="ru-RU"/>
              </w:rPr>
            </w:pPr>
            <w:r w:rsidRPr="00D60E72">
              <w:rPr>
                <w:b/>
              </w:rPr>
              <w:t>№1</w:t>
            </w:r>
            <w:r w:rsidRPr="00D60E72">
              <w:rPr>
                <w:b/>
                <w:lang w:val="en-US"/>
              </w:rPr>
              <w:t>7</w:t>
            </w:r>
            <w:r w:rsidRPr="00D60E72">
              <w:rPr>
                <w:b/>
              </w:rPr>
              <w:t xml:space="preserve"> – </w:t>
            </w:r>
          </w:p>
          <w:p w:rsidR="00AC72E6" w:rsidRPr="00D60E72" w:rsidRDefault="00AC72E6" w:rsidP="00AC72E6">
            <w:pPr>
              <w:spacing w:line="276" w:lineRule="auto"/>
              <w:ind w:left="84"/>
              <w:jc w:val="both"/>
              <w:rPr>
                <w:b/>
              </w:rPr>
            </w:pPr>
            <w:r w:rsidRPr="00D60E72">
              <w:rPr>
                <w:b/>
                <w:lang w:val="en-US"/>
              </w:rPr>
              <w:t>___c</w:t>
            </w:r>
            <w:r w:rsidRPr="00D60E72">
              <w:rPr>
                <w:b/>
              </w:rPr>
              <w:t>ерпня 2017 року</w:t>
            </w:r>
          </w:p>
        </w:tc>
        <w:tc>
          <w:tcPr>
            <w:tcW w:w="3969" w:type="dxa"/>
            <w:shd w:val="clear" w:color="auto" w:fill="auto"/>
          </w:tcPr>
          <w:p w:rsidR="00AC72E6" w:rsidRPr="00D60E72" w:rsidRDefault="00AC72E6" w:rsidP="00AC72E6">
            <w:pPr>
              <w:spacing w:line="276" w:lineRule="auto"/>
              <w:ind w:left="342"/>
              <w:jc w:val="both"/>
              <w:rPr>
                <w:b/>
                <w:lang w:val="ru-RU"/>
              </w:rPr>
            </w:pPr>
            <w:r w:rsidRPr="00D60E72">
              <w:rPr>
                <w:b/>
                <w:lang w:val="ru-RU"/>
              </w:rPr>
              <w:t>Міністру екології та природних ресурсів України</w:t>
            </w:r>
          </w:p>
          <w:p w:rsidR="00AC72E6" w:rsidRPr="00D60E72" w:rsidRDefault="00AC72E6" w:rsidP="00AC72E6">
            <w:pPr>
              <w:spacing w:line="276" w:lineRule="auto"/>
              <w:ind w:left="342"/>
              <w:jc w:val="both"/>
              <w:rPr>
                <w:b/>
              </w:rPr>
            </w:pPr>
            <w:r w:rsidRPr="00D60E72">
              <w:rPr>
                <w:b/>
              </w:rPr>
              <w:t>Семераку О.М.</w:t>
            </w:r>
          </w:p>
        </w:tc>
      </w:tr>
      <w:tr w:rsidR="00AC72E6" w:rsidRPr="00D60E72" w:rsidTr="005A4035">
        <w:tc>
          <w:tcPr>
            <w:tcW w:w="5778" w:type="dxa"/>
            <w:gridSpan w:val="2"/>
            <w:shd w:val="clear" w:color="auto" w:fill="auto"/>
          </w:tcPr>
          <w:p w:rsidR="00AC72E6" w:rsidRDefault="00AC72E6" w:rsidP="00AC72E6">
            <w:pPr>
              <w:spacing w:line="276" w:lineRule="auto"/>
              <w:ind w:left="720"/>
              <w:jc w:val="both"/>
              <w:rPr>
                <w:b/>
              </w:rPr>
            </w:pPr>
          </w:p>
          <w:p w:rsidR="00AC72E6" w:rsidRPr="00D60E72" w:rsidRDefault="00AC72E6" w:rsidP="00AC72E6">
            <w:pPr>
              <w:spacing w:line="276" w:lineRule="auto"/>
              <w:ind w:left="720"/>
              <w:jc w:val="both"/>
              <w:rPr>
                <w:b/>
              </w:rPr>
            </w:pPr>
          </w:p>
        </w:tc>
        <w:tc>
          <w:tcPr>
            <w:tcW w:w="3969" w:type="dxa"/>
            <w:shd w:val="clear" w:color="auto" w:fill="auto"/>
          </w:tcPr>
          <w:p w:rsidR="00AC72E6" w:rsidRDefault="00AC72E6" w:rsidP="00AC72E6">
            <w:pPr>
              <w:spacing w:line="276" w:lineRule="auto"/>
              <w:ind w:left="720"/>
              <w:jc w:val="both"/>
              <w:rPr>
                <w:b/>
              </w:rPr>
            </w:pPr>
          </w:p>
          <w:p w:rsidR="00AC72E6" w:rsidRPr="00D60E72" w:rsidRDefault="00AC72E6" w:rsidP="00AC72E6">
            <w:pPr>
              <w:spacing w:line="276" w:lineRule="auto"/>
              <w:ind w:left="720"/>
              <w:jc w:val="both"/>
              <w:rPr>
                <w:b/>
              </w:rPr>
            </w:pPr>
          </w:p>
        </w:tc>
      </w:tr>
      <w:tr w:rsidR="00AC72E6" w:rsidRPr="00D60E72" w:rsidTr="005A4035">
        <w:tc>
          <w:tcPr>
            <w:tcW w:w="4695" w:type="dxa"/>
            <w:shd w:val="clear" w:color="auto" w:fill="auto"/>
          </w:tcPr>
          <w:p w:rsidR="00AC72E6" w:rsidRPr="00D60E72" w:rsidRDefault="00AC72E6" w:rsidP="00AC72E6">
            <w:pPr>
              <w:spacing w:line="276" w:lineRule="auto"/>
              <w:ind w:left="84"/>
              <w:jc w:val="both"/>
              <w:rPr>
                <w:i/>
                <w:lang w:val="ru-RU"/>
              </w:rPr>
            </w:pPr>
            <w:r w:rsidRPr="00D60E72">
              <w:rPr>
                <w:i/>
                <w:lang w:val="ru-RU"/>
              </w:rPr>
              <w:t>Щодо Закону України «Про оцінку</w:t>
            </w:r>
          </w:p>
          <w:p w:rsidR="00AC72E6" w:rsidRPr="00D60E72" w:rsidRDefault="00AC72E6" w:rsidP="00AC72E6">
            <w:pPr>
              <w:spacing w:line="276" w:lineRule="auto"/>
              <w:ind w:left="84"/>
              <w:jc w:val="both"/>
              <w:rPr>
                <w:i/>
                <w:lang w:val="ru-RU"/>
              </w:rPr>
            </w:pPr>
            <w:r w:rsidRPr="00D60E72">
              <w:rPr>
                <w:i/>
                <w:lang w:val="ru-RU"/>
              </w:rPr>
              <w:t xml:space="preserve">впливу на довкілля» </w:t>
            </w:r>
          </w:p>
        </w:tc>
        <w:tc>
          <w:tcPr>
            <w:tcW w:w="1083" w:type="dxa"/>
            <w:shd w:val="clear" w:color="auto" w:fill="auto"/>
          </w:tcPr>
          <w:p w:rsidR="00AC72E6" w:rsidRPr="00D60E72" w:rsidRDefault="00AC72E6" w:rsidP="00AC72E6">
            <w:pPr>
              <w:spacing w:line="276" w:lineRule="auto"/>
              <w:ind w:left="720"/>
              <w:jc w:val="both"/>
              <w:rPr>
                <w:b/>
                <w:i/>
                <w:lang w:val="ru-RU"/>
              </w:rPr>
            </w:pPr>
          </w:p>
        </w:tc>
        <w:tc>
          <w:tcPr>
            <w:tcW w:w="3969" w:type="dxa"/>
            <w:shd w:val="clear" w:color="auto" w:fill="auto"/>
          </w:tcPr>
          <w:p w:rsidR="00AC72E6" w:rsidRPr="00D60E72" w:rsidRDefault="00AC72E6" w:rsidP="00AC72E6">
            <w:pPr>
              <w:spacing w:line="276" w:lineRule="auto"/>
              <w:ind w:left="720"/>
              <w:jc w:val="both"/>
              <w:rPr>
                <w:b/>
                <w:i/>
                <w:lang w:val="ru-RU"/>
              </w:rPr>
            </w:pPr>
          </w:p>
        </w:tc>
      </w:tr>
    </w:tbl>
    <w:p w:rsidR="00AC72E6" w:rsidRDefault="00AC72E6" w:rsidP="00AC72E6">
      <w:pPr>
        <w:spacing w:line="276" w:lineRule="auto"/>
        <w:ind w:left="720"/>
        <w:jc w:val="both"/>
        <w:rPr>
          <w:b/>
          <w:lang w:val="ru-RU"/>
        </w:rPr>
      </w:pPr>
    </w:p>
    <w:p w:rsidR="00AC72E6" w:rsidRDefault="00AC72E6" w:rsidP="00AC72E6">
      <w:pPr>
        <w:spacing w:line="276" w:lineRule="auto"/>
        <w:ind w:left="720"/>
        <w:jc w:val="both"/>
        <w:rPr>
          <w:b/>
          <w:lang w:val="ru-RU"/>
        </w:rPr>
      </w:pPr>
    </w:p>
    <w:p w:rsidR="00AC72E6" w:rsidRPr="00D60E72" w:rsidRDefault="00AC72E6" w:rsidP="00AC72E6">
      <w:pPr>
        <w:spacing w:line="276" w:lineRule="auto"/>
        <w:ind w:left="720"/>
        <w:jc w:val="both"/>
        <w:rPr>
          <w:b/>
          <w:lang w:val="ru-RU"/>
        </w:rPr>
      </w:pPr>
    </w:p>
    <w:p w:rsidR="00AC72E6" w:rsidRPr="00D60E72" w:rsidRDefault="00AC72E6" w:rsidP="00AC72E6">
      <w:pPr>
        <w:spacing w:line="276" w:lineRule="auto"/>
        <w:ind w:left="720"/>
        <w:jc w:val="center"/>
        <w:rPr>
          <w:b/>
          <w:lang w:val="ru-RU"/>
        </w:rPr>
      </w:pPr>
      <w:r w:rsidRPr="00D60E72">
        <w:rPr>
          <w:b/>
          <w:lang w:val="ru-RU"/>
        </w:rPr>
        <w:t>Шановний Остапе Михайловичу!</w:t>
      </w:r>
    </w:p>
    <w:p w:rsidR="00AC72E6" w:rsidRPr="00D60E72" w:rsidRDefault="00AC72E6" w:rsidP="00AC72E6">
      <w:pPr>
        <w:spacing w:line="276" w:lineRule="auto"/>
        <w:ind w:left="720"/>
        <w:jc w:val="center"/>
        <w:rPr>
          <w:lang w:val="ru-RU"/>
        </w:rPr>
      </w:pPr>
    </w:p>
    <w:p w:rsidR="00AC72E6" w:rsidRPr="00D60E72" w:rsidRDefault="00AC72E6" w:rsidP="00AC72E6">
      <w:pPr>
        <w:spacing w:line="276" w:lineRule="auto"/>
        <w:ind w:left="720" w:firstLine="630"/>
        <w:jc w:val="both"/>
        <w:rPr>
          <w:iCs/>
          <w:lang w:val="ru-RU"/>
        </w:rPr>
      </w:pPr>
      <w:r w:rsidRPr="00D60E72">
        <w:rPr>
          <w:lang w:val="ru-RU"/>
        </w:rPr>
        <w:t>Від імені Ради директорів Американської торгівельної палати в Україні (далі – Палата) та компаній-членів висловлюємо Вам глибоку повагу і звертаємось з питанням щодо деяких</w:t>
      </w:r>
      <w:r w:rsidRPr="00D60E72">
        <w:rPr>
          <w:iCs/>
        </w:rPr>
        <w:t xml:space="preserve"> норм </w:t>
      </w:r>
      <w:r w:rsidRPr="00D60E72">
        <w:rPr>
          <w:lang w:val="ru-RU"/>
        </w:rPr>
        <w:t>Закону України від 23.05.2017 р. № 2059-</w:t>
      </w:r>
      <w:r w:rsidRPr="00D60E72">
        <w:t>VIII</w:t>
      </w:r>
      <w:r w:rsidRPr="00D60E72">
        <w:rPr>
          <w:lang w:val="ru-RU"/>
        </w:rPr>
        <w:t xml:space="preserve"> «Про оцінку впливу на довкілля» </w:t>
      </w:r>
      <w:r w:rsidRPr="00D60E72">
        <w:t>(далі – Закон).</w:t>
      </w:r>
      <w:r w:rsidRPr="00D60E72">
        <w:rPr>
          <w:iCs/>
        </w:rPr>
        <w:t xml:space="preserve"> </w:t>
      </w:r>
    </w:p>
    <w:p w:rsidR="00AC72E6" w:rsidRPr="00D60E72" w:rsidRDefault="00AC72E6" w:rsidP="00AC72E6">
      <w:pPr>
        <w:spacing w:line="276" w:lineRule="auto"/>
        <w:ind w:left="720" w:firstLine="630"/>
        <w:jc w:val="both"/>
        <w:rPr>
          <w:iCs/>
          <w:lang w:val="ru-RU"/>
        </w:rPr>
      </w:pPr>
      <w:r w:rsidRPr="00D60E72">
        <w:rPr>
          <w:iCs/>
          <w:lang w:val="ru-RU"/>
        </w:rPr>
        <w:t>Представники компаній-членів Палати неодноразово брали участь у засіданні Міністерства екології та природних ресурсів України стосовно обговорення Закону та Плану організації підготовки проектів актів, необхідних для забезпечення реалізації Закону. За інформацією представників Мінприроди, одержаною під час згаданих засідань, вимога щодо здійснення оцінки впливу на довкілля не застосовується для проведення геологічного вивчення нафтогазоносних надр, зокрема:</w:t>
      </w:r>
    </w:p>
    <w:p w:rsidR="00AC72E6" w:rsidRPr="00D60E72" w:rsidRDefault="00AC72E6" w:rsidP="00AC72E6">
      <w:pPr>
        <w:pStyle w:val="ListParagraph"/>
        <w:numPr>
          <w:ilvl w:val="0"/>
          <w:numId w:val="3"/>
        </w:numPr>
        <w:spacing w:after="60" w:line="276" w:lineRule="auto"/>
        <w:ind w:left="720" w:firstLine="360"/>
        <w:jc w:val="both"/>
        <w:rPr>
          <w:sz w:val="24"/>
          <w:szCs w:val="24"/>
          <w:lang w:val="uk-UA"/>
        </w:rPr>
      </w:pPr>
      <w:r w:rsidRPr="00D60E72">
        <w:rPr>
          <w:sz w:val="24"/>
          <w:szCs w:val="24"/>
          <w:lang w:val="uk-UA"/>
        </w:rPr>
        <w:t>частини друга і третя ст. 3 Закону прямо та однозначно не включають проведення геологорозвідувальних робіт до переліку видів планованої діяльності та об'єктів, які підлягають обов’язковій ОВД у процесі прийняття рішень про провадження планованої діяльності;</w:t>
      </w:r>
    </w:p>
    <w:p w:rsidR="00AC72E6" w:rsidRPr="00D60E72" w:rsidRDefault="00AC72E6" w:rsidP="00AC72E6">
      <w:pPr>
        <w:pStyle w:val="ListParagraph"/>
        <w:numPr>
          <w:ilvl w:val="0"/>
          <w:numId w:val="3"/>
        </w:numPr>
        <w:spacing w:line="276" w:lineRule="auto"/>
        <w:ind w:left="720" w:firstLine="360"/>
        <w:jc w:val="both"/>
        <w:rPr>
          <w:sz w:val="24"/>
          <w:szCs w:val="24"/>
          <w:lang w:val="uk-UA"/>
        </w:rPr>
      </w:pPr>
      <w:r w:rsidRPr="00D60E72">
        <w:rPr>
          <w:sz w:val="24"/>
          <w:szCs w:val="24"/>
          <w:lang w:val="uk-UA"/>
        </w:rPr>
        <w:t>згідно п.2 частини п’ятої ст.17 Закону, Кодекс України про надра буде доповнено статтею 15</w:t>
      </w:r>
      <w:r w:rsidRPr="00D60E72">
        <w:rPr>
          <w:sz w:val="24"/>
          <w:szCs w:val="24"/>
          <w:vertAlign w:val="superscript"/>
          <w:lang w:val="uk-UA"/>
        </w:rPr>
        <w:t>1</w:t>
      </w:r>
      <w:r w:rsidRPr="00D60E72">
        <w:rPr>
          <w:sz w:val="24"/>
          <w:szCs w:val="24"/>
          <w:lang w:val="uk-UA"/>
        </w:rPr>
        <w:t xml:space="preserve"> наступного змісту: «якщо користування надрами пов'язане з провадженням діяльності, передбаченої Законом України «Про оцінку впливу на довкілля», надання їх у користування здійснюється з урахуванням результатів оцінки впливу на довкілля».</w:t>
      </w:r>
    </w:p>
    <w:p w:rsidR="00AC72E6" w:rsidRPr="00D60E72" w:rsidRDefault="00AC72E6" w:rsidP="00AC72E6">
      <w:pPr>
        <w:spacing w:line="276" w:lineRule="auto"/>
        <w:ind w:left="720" w:firstLine="567"/>
        <w:jc w:val="both"/>
      </w:pPr>
      <w:r w:rsidRPr="00D60E72">
        <w:rPr>
          <w:lang w:val="ru-RU"/>
        </w:rPr>
        <w:t xml:space="preserve">Проте, згідно </w:t>
      </w:r>
      <w:r w:rsidRPr="00D60E72">
        <w:t>п</w:t>
      </w:r>
      <w:r w:rsidRPr="00D60E72">
        <w:rPr>
          <w:lang w:val="ru-RU"/>
        </w:rPr>
        <w:t>. 25</w:t>
      </w:r>
      <w:r w:rsidRPr="00D60E72">
        <w:t xml:space="preserve"> частини п’ятої ст</w:t>
      </w:r>
      <w:r w:rsidRPr="00D60E72">
        <w:rPr>
          <w:lang w:val="ru-RU"/>
        </w:rPr>
        <w:t>.</w:t>
      </w:r>
      <w:r w:rsidRPr="00D60E72">
        <w:t xml:space="preserve"> 17 Закону, статтю 14 Закону України «Про нафту і газ» буде доповнено положенням про те, що </w:t>
      </w:r>
      <w:r w:rsidRPr="00D60E72">
        <w:rPr>
          <w:b/>
        </w:rPr>
        <w:t>надання спеціальних дозволів на користування нафтогазоносними надрами здійснюється з урахуванням результатів оцінки впливу на довкілля</w:t>
      </w:r>
      <w:r w:rsidRPr="00D60E72">
        <w:t xml:space="preserve">. Звертаємо Вашу увагу, що згідно ст. 13 Закону України «Про нафту і газ» на користування нафтогазоносними надрами надаються різні види спеціальних дозволів, зокрема, на геологічне вивчення нафтогазоносних надр, у тому числі дослідно-промислову розробку родовищ; 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 на видобування нафти і газу (промислову розробку родовищ), та інші. </w:t>
      </w:r>
    </w:p>
    <w:p w:rsidR="00AC72E6" w:rsidRDefault="00AC72E6" w:rsidP="00AC72E6">
      <w:pPr>
        <w:spacing w:line="276" w:lineRule="auto"/>
        <w:ind w:left="720" w:firstLine="567"/>
        <w:jc w:val="both"/>
      </w:pPr>
      <w:r w:rsidRPr="00D60E72">
        <w:t xml:space="preserve">Таким чином, виникає можливість неоднозначного трактування положень законодавства у сфері видобування нафти та газу щодо необхідності здійснення ОВД для отримання спеціальних дозволів на геологічне вивчення нафтогазоносних надр, у тому числі дослідно-промислову розробку родовищ. Ситуація може стати складнішою при отриманні спеціальних дозволів на </w:t>
      </w:r>
    </w:p>
    <w:p w:rsidR="00AC72E6" w:rsidRDefault="00AC72E6" w:rsidP="00AC72E6">
      <w:pPr>
        <w:spacing w:line="276" w:lineRule="auto"/>
        <w:ind w:left="720"/>
        <w:jc w:val="both"/>
      </w:pPr>
    </w:p>
    <w:p w:rsidR="00AC72E6" w:rsidRDefault="00AC72E6" w:rsidP="00AC72E6">
      <w:pPr>
        <w:spacing w:line="276" w:lineRule="auto"/>
        <w:ind w:left="720"/>
        <w:jc w:val="both"/>
      </w:pPr>
    </w:p>
    <w:p w:rsidR="00AC72E6" w:rsidRDefault="00AC72E6" w:rsidP="00AC72E6">
      <w:pPr>
        <w:spacing w:line="276" w:lineRule="auto"/>
        <w:ind w:left="720"/>
        <w:jc w:val="both"/>
      </w:pPr>
      <w:r w:rsidRPr="00D60E72">
        <w:t xml:space="preserve">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 оскільки Законом </w:t>
      </w:r>
    </w:p>
    <w:p w:rsidR="00AC72E6" w:rsidRPr="00D60E72" w:rsidRDefault="00AC72E6" w:rsidP="00AC72E6">
      <w:pPr>
        <w:spacing w:line="276" w:lineRule="auto"/>
        <w:ind w:left="720"/>
        <w:jc w:val="both"/>
      </w:pPr>
      <w:r w:rsidRPr="00D60E72">
        <w:t>«Про оцінку впливу на довкілля» прямо передбачено обов’язковість оцінки впливу на довкілля лише при видобуванні</w:t>
      </w:r>
      <w:r w:rsidRPr="00D60E72">
        <w:rPr>
          <w:lang w:val="ru-RU"/>
        </w:rPr>
        <w:t xml:space="preserve"> корисних копалин (пп. 3 ч. 3. с</w:t>
      </w:r>
      <w:r w:rsidRPr="00D60E72">
        <w:t>т.</w:t>
      </w:r>
      <w:r w:rsidRPr="00D60E72">
        <w:rPr>
          <w:lang w:val="ru-RU"/>
        </w:rPr>
        <w:t xml:space="preserve"> </w:t>
      </w:r>
      <w:r w:rsidRPr="00D60E72">
        <w:t>3 Закону).</w:t>
      </w:r>
    </w:p>
    <w:p w:rsidR="00AC72E6" w:rsidRPr="00D60E72" w:rsidRDefault="00AC72E6" w:rsidP="00AC72E6">
      <w:pPr>
        <w:spacing w:line="276" w:lineRule="auto"/>
        <w:ind w:left="720" w:firstLine="567"/>
        <w:jc w:val="both"/>
      </w:pPr>
      <w:r w:rsidRPr="00D60E72">
        <w:t>Крім того, частина третя ст</w:t>
      </w:r>
      <w:r w:rsidRPr="00D60E72">
        <w:rPr>
          <w:lang w:val="ru-RU"/>
        </w:rPr>
        <w:t xml:space="preserve">. 3 </w:t>
      </w:r>
      <w:r w:rsidRPr="00D60E72">
        <w:t>Закону включає</w:t>
      </w:r>
      <w:r w:rsidRPr="00D60E72">
        <w:rPr>
          <w:lang w:val="ru-RU"/>
        </w:rPr>
        <w:t xml:space="preserve"> поняття</w:t>
      </w:r>
      <w:r w:rsidRPr="00D60E72">
        <w:t xml:space="preserve"> </w:t>
      </w:r>
      <w:r w:rsidRPr="00D60E72">
        <w:rPr>
          <w:lang w:val="ru-RU"/>
        </w:rPr>
        <w:t>«</w:t>
      </w:r>
      <w:r w:rsidRPr="00D60E72">
        <w:rPr>
          <w:b/>
        </w:rPr>
        <w:t>глибоке буріння</w:t>
      </w:r>
      <w:r w:rsidRPr="00D60E72">
        <w:rPr>
          <w:b/>
          <w:lang w:val="ru-RU"/>
        </w:rPr>
        <w:t>»</w:t>
      </w:r>
      <w:r w:rsidRPr="00D60E72">
        <w:t>, крім буріння з метою вивчення стійкості ґрунтів. При цьому визначення глибокого буріння можна знайти лише у на</w:t>
      </w:r>
      <w:r w:rsidRPr="00D60E72">
        <w:rPr>
          <w:lang w:val="ru-RU"/>
        </w:rPr>
        <w:t>уковій та довідковій літературі.</w:t>
      </w:r>
      <w:r w:rsidRPr="00D60E72">
        <w:t xml:space="preserve"> Наприклад, Мала гірнича енциклопедія визначає глибоке буріння як спорудження </w:t>
      </w:r>
      <w:hyperlink r:id="rId5" w:tooltip="Свердловина" w:history="1">
        <w:r w:rsidRPr="00D60E72">
          <w:t>свердловин</w:t>
        </w:r>
      </w:hyperlink>
      <w:r w:rsidRPr="00D60E72">
        <w:t> в </w:t>
      </w:r>
      <w:hyperlink r:id="rId6" w:tooltip="Земна кора" w:history="1">
        <w:r w:rsidRPr="00D60E72">
          <w:t>земній корі</w:t>
        </w:r>
      </w:hyperlink>
      <w:r w:rsidRPr="00D60E72">
        <w:t xml:space="preserve"> в інтервалі глибин 4500-6000 м. Законодавчі акти, якими б були безпосередньо встановлені критерії щодо глибини буріння, експертам компаній-членів Палати знайти не вдалося, хоча різними законодавчими актами дані критерії встановлюються для різних цілей (напр., для цілей оподаткування Податковим кодексом установлена зменшена ставка рентної плати для вуглеводнів, видобутих з покладів, які повністю залягають на глибині понад 5000 м тощо). </w:t>
      </w:r>
    </w:p>
    <w:p w:rsidR="00AC72E6" w:rsidRPr="00D60E72" w:rsidRDefault="00AC72E6" w:rsidP="00AC72E6">
      <w:pPr>
        <w:spacing w:line="276" w:lineRule="auto"/>
        <w:ind w:left="720" w:firstLine="567"/>
        <w:jc w:val="both"/>
      </w:pPr>
      <w:r w:rsidRPr="00D60E72">
        <w:t>Відповідно до пунктів 8 - 11 Правил розробки нафтових і газових родовищ, затверджених Наказом Міністерства екології та природних ресурсів України № 118 від 15.03.2017р. існує три етапи геологорозвідувальних робіт на нафту і газ: регіональний, пошуковий і розвідувальний. До регіонального етапу включено стадію підготовки об'єктів (структур) до глибокого буріння. Під час пошукового етапу бурять пошукові свердловини. Під час розвідувального етапу бурять розвідувальні свердловини, а також експлуатаційні (оціночні, оціночно-експлуатаційні, нагнітальні, контрольні, спеціальні). Пункт 30 зазначених Правил визначає спеціальні свердловини як такі, що призначені для видобутку технічної води, скидання промислових вод, ліквідації відкритих фонтанів нафти і газу, закачування газу для його зберігання у підземних сховищах газу.</w:t>
      </w:r>
    </w:p>
    <w:p w:rsidR="00AC72E6" w:rsidRPr="00D60E72" w:rsidRDefault="00AC72E6" w:rsidP="00AC72E6">
      <w:pPr>
        <w:spacing w:line="276" w:lineRule="auto"/>
        <w:ind w:left="720" w:firstLine="567"/>
        <w:jc w:val="both"/>
      </w:pPr>
      <w:r w:rsidRPr="00D60E72">
        <w:t xml:space="preserve">Таким чином, оскільки буріння пошукових, розвідувальних, експлуатаційних свердловин є частиною геологорозвідувальних робіт на нафту і газ, проте надрокористувач не завжди переходить до цієї стадії (наприклад, у зв’язку із економічною недоцільністю), просимо також звернути Вашу увагу на доцільність проведення оцінки впливу на довкілля на етапі отримання спеціальних дозволів на користування нафтогазоносними надрами на геологічне вивчення нафтогазоносних надр, у тому числі дослідно-промислову розробку родовищ; 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 </w:t>
      </w:r>
      <w:r w:rsidRPr="00D60E72">
        <w:rPr>
          <w:lang w:val="ru-RU"/>
        </w:rPr>
        <w:t>Крім того,</w:t>
      </w:r>
      <w:r w:rsidRPr="00D60E72">
        <w:t xml:space="preserve"> при розробці критеріїв визначення </w:t>
      </w:r>
      <w:r w:rsidRPr="00D60E72">
        <w:rPr>
          <w:lang w:val="ru-RU"/>
        </w:rPr>
        <w:t>«</w:t>
      </w:r>
      <w:r w:rsidRPr="00D60E72">
        <w:t>глибок</w:t>
      </w:r>
      <w:r w:rsidRPr="00D60E72">
        <w:rPr>
          <w:lang w:val="ru-RU"/>
        </w:rPr>
        <w:t>ого</w:t>
      </w:r>
      <w:r w:rsidRPr="00D60E72">
        <w:t xml:space="preserve"> буріння</w:t>
      </w:r>
      <w:r w:rsidRPr="00D60E72">
        <w:rPr>
          <w:lang w:val="ru-RU"/>
        </w:rPr>
        <w:t>»</w:t>
      </w:r>
      <w:r w:rsidRPr="00D60E72">
        <w:t xml:space="preserve"> пропонуємо</w:t>
      </w:r>
      <w:r w:rsidRPr="00D60E72">
        <w:rPr>
          <w:lang w:val="ru-RU"/>
        </w:rPr>
        <w:t xml:space="preserve"> </w:t>
      </w:r>
      <w:r w:rsidRPr="00D60E72">
        <w:t xml:space="preserve">розглянути доцільність включення </w:t>
      </w:r>
      <w:r w:rsidRPr="00D60E72">
        <w:rPr>
          <w:i/>
        </w:rPr>
        <w:t>буріння з метою геологорозвідувальних</w:t>
      </w:r>
      <w:r w:rsidRPr="00D60E72">
        <w:t xml:space="preserve"> </w:t>
      </w:r>
      <w:r w:rsidRPr="00D60E72">
        <w:rPr>
          <w:i/>
        </w:rPr>
        <w:t xml:space="preserve">робіт </w:t>
      </w:r>
      <w:r w:rsidRPr="00D60E72">
        <w:t xml:space="preserve">з огляду на наступне. </w:t>
      </w:r>
      <w:r w:rsidRPr="00D60E72">
        <w:rPr>
          <w:lang w:val="ru-RU"/>
        </w:rPr>
        <w:t xml:space="preserve"> </w:t>
      </w:r>
    </w:p>
    <w:p w:rsidR="00AC72E6" w:rsidRDefault="00AC72E6" w:rsidP="00AC72E6">
      <w:pPr>
        <w:spacing w:line="276" w:lineRule="auto"/>
        <w:ind w:left="720" w:firstLine="567"/>
        <w:jc w:val="both"/>
        <w:rPr>
          <w:b/>
        </w:rPr>
      </w:pPr>
      <w:r w:rsidRPr="00D60E72">
        <w:t>Ст</w:t>
      </w:r>
      <w:r w:rsidRPr="00D60E72">
        <w:rPr>
          <w:lang w:val="ru-RU"/>
        </w:rPr>
        <w:t xml:space="preserve">. </w:t>
      </w:r>
      <w:r w:rsidRPr="00D60E72">
        <w:t xml:space="preserve">45 </w:t>
      </w:r>
      <w:r w:rsidRPr="00D60E72">
        <w:rPr>
          <w:lang w:val="ru-RU"/>
        </w:rPr>
        <w:t>Закону «</w:t>
      </w:r>
      <w:r w:rsidRPr="00D60E72">
        <w:t>Про нафту і газ</w:t>
      </w:r>
      <w:r w:rsidRPr="00D60E72">
        <w:rPr>
          <w:lang w:val="ru-RU"/>
        </w:rPr>
        <w:t>»</w:t>
      </w:r>
      <w:r w:rsidRPr="00D60E72">
        <w:t xml:space="preserve"> встановлено обов’язковість оцінки впливу на довкілля </w:t>
      </w:r>
      <w:r w:rsidRPr="00D60E72">
        <w:rPr>
          <w:b/>
        </w:rPr>
        <w:t>проектів на проведення геологорозвідувальних робіт</w:t>
      </w:r>
      <w:r w:rsidRPr="00D60E72">
        <w:t xml:space="preserve"> виключно на землях природоохоронного, оздоровчого, рекреаційного та історико-культурного призначення. Відповідно до пунктів 46 та 56 Правил розробки нафтових і газових родовищ оцінку впливу на навколишнє природне середовище господарської діяльності підприємств і організацій під час регіонального, пошукового та розвідувального етапів геологорозвідувальних робіт, розбурювання і промислової розробки родовищ нафти і газу здійснюють згідно з державними будівельними нормами України у проектах на влаштування свердловин і проектах облаштування родовищ нафти і газу. </w:t>
      </w:r>
      <w:r w:rsidRPr="00D60E72">
        <w:rPr>
          <w:b/>
        </w:rPr>
        <w:t xml:space="preserve">Проекти </w:t>
      </w:r>
    </w:p>
    <w:p w:rsidR="00AC72E6" w:rsidRDefault="00AC72E6" w:rsidP="00AC72E6">
      <w:pPr>
        <w:spacing w:line="276" w:lineRule="auto"/>
        <w:ind w:left="720"/>
        <w:jc w:val="both"/>
        <w:rPr>
          <w:b/>
        </w:rPr>
      </w:pPr>
    </w:p>
    <w:p w:rsidR="00AC72E6" w:rsidRDefault="00AC72E6" w:rsidP="00AC72E6">
      <w:pPr>
        <w:spacing w:line="276" w:lineRule="auto"/>
        <w:ind w:left="720"/>
        <w:jc w:val="both"/>
        <w:rPr>
          <w:b/>
        </w:rPr>
      </w:pPr>
    </w:p>
    <w:p w:rsidR="00AC72E6" w:rsidRDefault="00AC72E6" w:rsidP="00AC72E6">
      <w:pPr>
        <w:spacing w:line="276" w:lineRule="auto"/>
        <w:ind w:left="720"/>
        <w:jc w:val="both"/>
      </w:pPr>
      <w:r w:rsidRPr="00D60E72">
        <w:rPr>
          <w:b/>
        </w:rPr>
        <w:t>влаштування свердловин</w:t>
      </w:r>
      <w:r w:rsidRPr="00D60E72">
        <w:t xml:space="preserve"> та </w:t>
      </w:r>
      <w:r w:rsidRPr="00D60E72">
        <w:rPr>
          <w:b/>
        </w:rPr>
        <w:t>проекти облаштування родовищ нафти і газу</w:t>
      </w:r>
      <w:r w:rsidRPr="00D60E72">
        <w:t xml:space="preserve"> підлягають </w:t>
      </w:r>
      <w:r w:rsidRPr="00D60E72">
        <w:rPr>
          <w:b/>
        </w:rPr>
        <w:t>екологічній експертизі згідно із законодавством</w:t>
      </w:r>
      <w:r w:rsidRPr="00D60E72">
        <w:t>. На сьогодні Правила ще не приведені у</w:t>
      </w:r>
    </w:p>
    <w:p w:rsidR="00AC72E6" w:rsidRDefault="00AC72E6" w:rsidP="00AC72E6">
      <w:pPr>
        <w:spacing w:line="276" w:lineRule="auto"/>
        <w:ind w:left="720"/>
        <w:jc w:val="both"/>
      </w:pPr>
      <w:r w:rsidRPr="00D60E72">
        <w:t xml:space="preserve">відповідність до Закону. Отже, наразі надрокористувачі нафтогазоносних надр при проведенні геологорозвідки зобов’язані проводити оцінку впливу на довкілля декілька разів  - при отриманні </w:t>
      </w:r>
    </w:p>
    <w:p w:rsidR="00AC72E6" w:rsidRPr="00D60E72" w:rsidRDefault="00AC72E6" w:rsidP="00AC72E6">
      <w:pPr>
        <w:spacing w:line="276" w:lineRule="auto"/>
        <w:ind w:left="720"/>
        <w:jc w:val="both"/>
      </w:pPr>
      <w:r w:rsidRPr="00D60E72">
        <w:t xml:space="preserve">спеціального дозволу, при бурінні кожної свердловини, при відведенні кожної земельної ділянки (оформленні землевпорядної документації, проектів рекультивації) тощо.  </w:t>
      </w:r>
    </w:p>
    <w:p w:rsidR="00AC72E6" w:rsidRPr="00D60E72" w:rsidRDefault="00AC72E6" w:rsidP="00AC72E6">
      <w:pPr>
        <w:spacing w:line="276" w:lineRule="auto"/>
        <w:ind w:left="720" w:firstLine="567"/>
        <w:jc w:val="both"/>
      </w:pPr>
      <w:r w:rsidRPr="00D60E72">
        <w:rPr>
          <w:lang w:val="ru-RU"/>
        </w:rPr>
        <w:t xml:space="preserve">Крім того, виникають </w:t>
      </w:r>
      <w:r w:rsidRPr="00D60E72">
        <w:t xml:space="preserve">питання </w:t>
      </w:r>
      <w:r w:rsidRPr="00D60E72">
        <w:rPr>
          <w:lang w:val="ru-RU"/>
        </w:rPr>
        <w:t xml:space="preserve">щодо </w:t>
      </w:r>
      <w:r w:rsidRPr="00D60E72">
        <w:t>застосування п</w:t>
      </w:r>
      <w:r w:rsidRPr="00D60E72">
        <w:rPr>
          <w:lang w:val="ru-RU"/>
        </w:rPr>
        <w:t xml:space="preserve">.22 </w:t>
      </w:r>
      <w:r w:rsidRPr="00D60E72">
        <w:t>частини другої та п</w:t>
      </w:r>
      <w:r w:rsidRPr="00D60E72">
        <w:rPr>
          <w:lang w:val="ru-RU"/>
        </w:rPr>
        <w:t xml:space="preserve">.14 </w:t>
      </w:r>
      <w:r w:rsidRPr="00D60E72">
        <w:t>частини третьої ст</w:t>
      </w:r>
      <w:r w:rsidRPr="00D60E72">
        <w:rPr>
          <w:lang w:val="ru-RU"/>
        </w:rPr>
        <w:t xml:space="preserve">.3 </w:t>
      </w:r>
      <w:r w:rsidRPr="00D60E72">
        <w:t>Закону при внесенні надрокористувачем змін до угоди про користування надрами та програми робіт.</w:t>
      </w:r>
    </w:p>
    <w:p w:rsidR="00AC72E6" w:rsidRPr="00D60E72" w:rsidRDefault="00AC72E6" w:rsidP="00AC72E6">
      <w:pPr>
        <w:spacing w:line="276" w:lineRule="auto"/>
        <w:ind w:left="720" w:firstLine="567"/>
        <w:jc w:val="both"/>
      </w:pPr>
      <w:r w:rsidRPr="00D60E72">
        <w:t>Відповідно до</w:t>
      </w:r>
      <w:r w:rsidRPr="00D60E72">
        <w:rPr>
          <w:lang w:val="ru-RU"/>
        </w:rPr>
        <w:t xml:space="preserve"> ст.</w:t>
      </w:r>
      <w:r w:rsidRPr="00D60E72">
        <w:t xml:space="preserve">28 Закону України «Про нафту і газ» та п. 10 Порядку надання спеціальних дозволів на користування надрами, затвердженого Постановою КМУ №615 від 30.05.2011 р. (далі - Порядок) невід'ємною частиною дозволу є угода про умови користування надрами, що укладається між органом з питань надання дозволу і надрокористувачем і містить програму робіт, оформлену як додаток, та </w:t>
      </w:r>
      <w:r w:rsidRPr="00D60E72">
        <w:rPr>
          <w:b/>
        </w:rPr>
        <w:t>особливі умови</w:t>
      </w:r>
      <w:r w:rsidRPr="00D60E72">
        <w:t xml:space="preserve"> надрокористування, що передбачають вимоги до ефективності робіт, сучасні технології видобування та переробки корисних копалин, порядок видобування корисних копалин, зокрема з метою запобігання негативним екологічним наслідкам і забезпечення безпеки забудованих територій, </w:t>
      </w:r>
      <w:r w:rsidRPr="00D60E72">
        <w:rPr>
          <w:b/>
        </w:rPr>
        <w:t>види, обсяги і строки виконання робіт на ділянці надр</w:t>
      </w:r>
      <w:r w:rsidRPr="00D60E72">
        <w:t xml:space="preserve">, підстави для припинення діяльності, пов'язаної з використанням ділянки надр. Вказаним Порядком також </w:t>
      </w:r>
      <w:r w:rsidRPr="00D60E72">
        <w:rPr>
          <w:lang w:val="ru-RU"/>
        </w:rPr>
        <w:t>регулюється</w:t>
      </w:r>
      <w:r w:rsidRPr="00D60E72">
        <w:t xml:space="preserve"> порядок внесення змін до спеціальних дозволів, </w:t>
      </w:r>
      <w:r w:rsidRPr="00D60E72">
        <w:rPr>
          <w:lang w:val="ru-RU"/>
        </w:rPr>
        <w:t>згідно якого (п.</w:t>
      </w:r>
      <w:r w:rsidRPr="00D60E72">
        <w:t>17</w:t>
      </w:r>
      <w:r w:rsidRPr="00D60E72">
        <w:rPr>
          <w:lang w:val="ru-RU"/>
        </w:rPr>
        <w:t xml:space="preserve"> Порядку)</w:t>
      </w:r>
      <w:r w:rsidRPr="00D60E72">
        <w:t xml:space="preserve"> не передбачено надання позитивного висновку державної екологічної експертизи при внесенні змін до спеціальних дозволів на геологічне вивчення родовищ корисних копалин, геологічне вивчення, в тому числі дослідно-промислової розробки родовищ корисних копалин загальнодержавного значення.</w:t>
      </w:r>
    </w:p>
    <w:p w:rsidR="00AC72E6" w:rsidRPr="00D60E72" w:rsidRDefault="00AC72E6" w:rsidP="00AC72E6">
      <w:pPr>
        <w:spacing w:line="276" w:lineRule="auto"/>
        <w:ind w:left="720" w:firstLine="567"/>
        <w:jc w:val="both"/>
      </w:pPr>
      <w:r w:rsidRPr="00D60E72">
        <w:t xml:space="preserve">Звертаємо </w:t>
      </w:r>
      <w:r w:rsidRPr="00D60E72">
        <w:rPr>
          <w:lang w:val="ru-RU"/>
        </w:rPr>
        <w:t xml:space="preserve">Вашу </w:t>
      </w:r>
      <w:r w:rsidRPr="00D60E72">
        <w:t xml:space="preserve">увагу, що угода про умови користування надрами та програма робіт узгоджуються та укладаються сторонами, як правило, після отримання спеціального дозволу. Не рідко програми геологорозвідувальних та дослідно-промислових робіт потребують коригування за результатами попередніх етапів; наскільки відомо експертам компаній-членів Палати, найчастіше такі зміни стосуються видів, обсягів, строків виконання робіт на ділянці надр в межах строку дії самого спеціального дозволу. </w:t>
      </w:r>
    </w:p>
    <w:p w:rsidR="00AC72E6" w:rsidRPr="00D60E72" w:rsidRDefault="00AC72E6" w:rsidP="00AC72E6">
      <w:pPr>
        <w:spacing w:line="276" w:lineRule="auto"/>
        <w:ind w:left="720" w:firstLine="567"/>
        <w:jc w:val="both"/>
      </w:pPr>
      <w:r w:rsidRPr="00D60E72">
        <w:t>Зважаючи на те, що процедура оцінки впливу на довкілля</w:t>
      </w:r>
      <w:r w:rsidRPr="00D60E72">
        <w:rPr>
          <w:lang w:val="ru-RU"/>
        </w:rPr>
        <w:t xml:space="preserve"> триватиме не менше</w:t>
      </w:r>
      <w:r w:rsidRPr="00D60E72">
        <w:t xml:space="preserve"> півроку, а, наприклад, зміна строку початку розвідувального буріння, або зміна строків вивчення та оцінки перспектив чи підготовки технічних проектів геологічних матеріалів маловірогідно</w:t>
      </w:r>
      <w:r w:rsidRPr="00D60E72">
        <w:rPr>
          <w:lang w:val="ru-RU"/>
        </w:rPr>
        <w:t xml:space="preserve"> </w:t>
      </w:r>
      <w:r w:rsidRPr="00D60E72">
        <w:t>завдасть впливу на довкілля,</w:t>
      </w:r>
      <w:r w:rsidRPr="00D60E72">
        <w:rPr>
          <w:lang w:val="ru-RU"/>
        </w:rPr>
        <w:t xml:space="preserve"> компанії - члени Палати</w:t>
      </w:r>
      <w:r w:rsidRPr="00D60E72">
        <w:t xml:space="preserve"> вважа</w:t>
      </w:r>
      <w:r w:rsidRPr="00D60E72">
        <w:rPr>
          <w:lang w:val="ru-RU"/>
        </w:rPr>
        <w:t xml:space="preserve">ють </w:t>
      </w:r>
      <w:r w:rsidRPr="00D60E72">
        <w:t>за необхідне чітко зазначити у відповідному нормативному акті необхідність проведення процедури оцінки впливу на довкілля</w:t>
      </w:r>
      <w:r w:rsidRPr="00D60E72">
        <w:rPr>
          <w:lang w:val="ru-RU"/>
        </w:rPr>
        <w:t xml:space="preserve"> </w:t>
      </w:r>
      <w:r w:rsidRPr="00D60E72">
        <w:t>при внесенні змін до угоди про користування надрами та програми робіт. Відповідні норми повинні бути внесені до нового Кодексу про надра, а до його прийняття - до спеціальних нормативних актів –  Закону «Про нафту і газ», Постанови КМУ №615 від 30.05.2011</w:t>
      </w:r>
      <w:r w:rsidRPr="00D60E72">
        <w:rPr>
          <w:lang w:val="ru-RU"/>
        </w:rPr>
        <w:t xml:space="preserve">р. </w:t>
      </w:r>
    </w:p>
    <w:p w:rsidR="00AC72E6" w:rsidRDefault="00AC72E6" w:rsidP="00AC72E6">
      <w:pPr>
        <w:spacing w:line="276" w:lineRule="auto"/>
        <w:ind w:left="720" w:firstLine="567"/>
        <w:jc w:val="both"/>
      </w:pPr>
      <w:r w:rsidRPr="00D60E72">
        <w:rPr>
          <w:lang w:val="ru-RU"/>
        </w:rPr>
        <w:t xml:space="preserve">Крім того, згідно ст. </w:t>
      </w:r>
      <w:r w:rsidRPr="00D60E72">
        <w:t xml:space="preserve">13 Закону </w:t>
      </w:r>
      <w:r w:rsidRPr="00D60E72">
        <w:rPr>
          <w:lang w:val="ru-RU"/>
        </w:rPr>
        <w:t xml:space="preserve">необхідно здійснити </w:t>
      </w:r>
      <w:r w:rsidRPr="00D60E72">
        <w:t xml:space="preserve"> післяпроектн</w:t>
      </w:r>
      <w:r w:rsidRPr="00D60E72">
        <w:rPr>
          <w:lang w:val="ru-RU"/>
        </w:rPr>
        <w:t>ий</w:t>
      </w:r>
      <w:r w:rsidRPr="00D60E72">
        <w:t xml:space="preserve"> </w:t>
      </w:r>
      <w:r w:rsidRPr="00D60E72">
        <w:rPr>
          <w:lang w:val="ru-RU"/>
        </w:rPr>
        <w:t>моніторинг</w:t>
      </w:r>
      <w:r w:rsidRPr="00D60E72">
        <w:t xml:space="preserve">, якщо це передбачено висновком з оцінки впливу на довкілля. Ця стаття викликає низку питань щодо її реалізації та процедури прийняття відповідних рішень. </w:t>
      </w:r>
      <w:r w:rsidRPr="00D60E72">
        <w:rPr>
          <w:lang w:val="ru-RU"/>
        </w:rPr>
        <w:t>Хочемо наголосити</w:t>
      </w:r>
      <w:r w:rsidRPr="00D60E72">
        <w:t>, що Україна вже мала сумний досвід проведення обов’язкового науково-технічного супроводу дотримання особливих умов надрокористування, який виявився номінальним та призводив до суттєвих втрат часу та коштів надрокористувачів. Важливим є і той факт, що саме надрокористувач, на відміну від будь-</w:t>
      </w:r>
    </w:p>
    <w:p w:rsidR="00AC72E6" w:rsidRDefault="00AC72E6" w:rsidP="00AC72E6">
      <w:pPr>
        <w:spacing w:line="276" w:lineRule="auto"/>
        <w:ind w:left="720"/>
        <w:jc w:val="both"/>
      </w:pPr>
    </w:p>
    <w:p w:rsidR="00AC72E6" w:rsidRDefault="00AC72E6" w:rsidP="00AC72E6">
      <w:pPr>
        <w:spacing w:line="276" w:lineRule="auto"/>
        <w:ind w:left="720"/>
        <w:jc w:val="both"/>
      </w:pPr>
    </w:p>
    <w:p w:rsidR="00AC72E6" w:rsidRDefault="00AC72E6" w:rsidP="00AC72E6">
      <w:pPr>
        <w:spacing w:line="276" w:lineRule="auto"/>
        <w:ind w:left="720"/>
        <w:jc w:val="both"/>
      </w:pPr>
      <w:r w:rsidRPr="00D60E72">
        <w:t>якого аудитора, який здійснюватиме моніторинг, несе відповідальність за дотримання вимог законодавства з охорони довкілля за нанесення будь-якої шкоди, заподіяної в результаті свої</w:t>
      </w:r>
    </w:p>
    <w:p w:rsidR="00AC72E6" w:rsidRPr="00D60E72" w:rsidRDefault="00AC72E6" w:rsidP="00AC72E6">
      <w:pPr>
        <w:spacing w:line="276" w:lineRule="auto"/>
        <w:ind w:left="720"/>
        <w:jc w:val="both"/>
      </w:pPr>
      <w:r w:rsidRPr="00D60E72">
        <w:t xml:space="preserve"> діяльності. </w:t>
      </w:r>
      <w:r w:rsidRPr="00D60E72">
        <w:rPr>
          <w:lang w:val="ru-RU"/>
        </w:rPr>
        <w:t>А</w:t>
      </w:r>
      <w:r w:rsidRPr="00D60E72">
        <w:t xml:space="preserve"> отже тільки надрокористувач є найбільш зацікавленою особою у проведенні такого моніторингу, як</w:t>
      </w:r>
      <w:r w:rsidRPr="00D60E72">
        <w:rPr>
          <w:lang w:val="ru-RU"/>
        </w:rPr>
        <w:t>ий</w:t>
      </w:r>
      <w:r w:rsidRPr="00D60E72">
        <w:t xml:space="preserve"> він вважає необхідним та достатнім.</w:t>
      </w:r>
    </w:p>
    <w:p w:rsidR="00AC72E6" w:rsidRPr="00D60E72" w:rsidRDefault="00AC72E6" w:rsidP="00AC72E6">
      <w:pPr>
        <w:spacing w:line="276" w:lineRule="auto"/>
        <w:ind w:left="720" w:firstLine="567"/>
        <w:jc w:val="both"/>
      </w:pPr>
      <w:r w:rsidRPr="00D60E72">
        <w:t>У зв’язку з вище</w:t>
      </w:r>
      <w:r w:rsidRPr="00D60E72">
        <w:rPr>
          <w:lang w:val="ru-RU"/>
        </w:rPr>
        <w:t>зазначеним</w:t>
      </w:r>
      <w:r w:rsidRPr="00D60E72">
        <w:t xml:space="preserve">, </w:t>
      </w:r>
      <w:r w:rsidRPr="00D60E72">
        <w:rPr>
          <w:lang w:val="ru-RU"/>
        </w:rPr>
        <w:t xml:space="preserve">звертаємось до Вас </w:t>
      </w:r>
      <w:r w:rsidRPr="00D60E72">
        <w:rPr>
          <w:b/>
          <w:lang w:val="ru-RU"/>
        </w:rPr>
        <w:t xml:space="preserve">з проханням </w:t>
      </w:r>
      <w:r w:rsidRPr="00D60E72">
        <w:rPr>
          <w:b/>
        </w:rPr>
        <w:t>надати роз’яснення</w:t>
      </w:r>
      <w:r w:rsidRPr="00D60E72">
        <w:rPr>
          <w:b/>
          <w:lang w:val="ru-RU"/>
        </w:rPr>
        <w:t xml:space="preserve"> </w:t>
      </w:r>
      <w:r w:rsidRPr="00D60E72">
        <w:rPr>
          <w:lang w:val="ru-RU"/>
        </w:rPr>
        <w:t>щодо наступних питань стосовно Закону України від 23.05.2017 р. № 2059-</w:t>
      </w:r>
      <w:r w:rsidRPr="00D60E72">
        <w:t>VIII</w:t>
      </w:r>
      <w:r w:rsidRPr="00D60E72">
        <w:rPr>
          <w:lang w:val="ru-RU"/>
        </w:rPr>
        <w:t xml:space="preserve"> «Про оцінку впливу на довкілля» </w:t>
      </w:r>
      <w:r w:rsidRPr="00D60E72">
        <w:t xml:space="preserve">: </w:t>
      </w:r>
    </w:p>
    <w:p w:rsidR="00AC72E6" w:rsidRPr="00D60E72" w:rsidRDefault="00AC72E6" w:rsidP="00AC72E6">
      <w:pPr>
        <w:pStyle w:val="ListParagraph"/>
        <w:numPr>
          <w:ilvl w:val="0"/>
          <w:numId w:val="2"/>
        </w:numPr>
        <w:tabs>
          <w:tab w:val="left" w:pos="851"/>
          <w:tab w:val="left" w:pos="1620"/>
        </w:tabs>
        <w:spacing w:after="60" w:line="276" w:lineRule="auto"/>
        <w:ind w:left="720" w:firstLine="630"/>
        <w:jc w:val="both"/>
        <w:rPr>
          <w:sz w:val="24"/>
          <w:szCs w:val="24"/>
          <w:lang w:val="uk-UA"/>
        </w:rPr>
      </w:pPr>
      <w:r w:rsidRPr="00D60E72">
        <w:rPr>
          <w:sz w:val="24"/>
          <w:szCs w:val="24"/>
          <w:lang w:val="uk-UA"/>
        </w:rPr>
        <w:t xml:space="preserve">Чи необхідно для провадження </w:t>
      </w:r>
      <w:r w:rsidRPr="00D60E72">
        <w:rPr>
          <w:b/>
          <w:sz w:val="24"/>
          <w:szCs w:val="24"/>
          <w:lang w:val="uk-UA"/>
        </w:rPr>
        <w:t xml:space="preserve">геологорозвідувальних робіт, в тому числі шляхом буріння пошукових розвідувальних, експлуатаційних свердловин, </w:t>
      </w:r>
      <w:r w:rsidRPr="00D60E72">
        <w:rPr>
          <w:sz w:val="24"/>
          <w:szCs w:val="24"/>
          <w:lang w:val="uk-UA"/>
        </w:rPr>
        <w:t xml:space="preserve">проходити процедуру оцінки впливу на довкілля та отримувати рішення про провадження планованої діяльності відповідно до положень Закону? Яким чином повинне бути оформлене рішення про провадження геологорозвідувальної діяльності, в тому числі шляхом буріння пошукових свердловин, для надрокористувачів, які вже отримали дозволи на користування надрами? Який орган повинен надати таке рішення? </w:t>
      </w:r>
    </w:p>
    <w:p w:rsidR="00AC72E6" w:rsidRPr="00D60E72" w:rsidRDefault="00AC72E6" w:rsidP="00AC72E6">
      <w:pPr>
        <w:pStyle w:val="ListParagraph"/>
        <w:numPr>
          <w:ilvl w:val="0"/>
          <w:numId w:val="2"/>
        </w:numPr>
        <w:tabs>
          <w:tab w:val="left" w:pos="851"/>
          <w:tab w:val="left" w:pos="1620"/>
        </w:tabs>
        <w:spacing w:after="60" w:line="276" w:lineRule="auto"/>
        <w:ind w:left="720" w:firstLine="630"/>
        <w:jc w:val="both"/>
        <w:rPr>
          <w:sz w:val="24"/>
          <w:szCs w:val="24"/>
          <w:lang w:val="uk-UA"/>
        </w:rPr>
      </w:pPr>
      <w:r w:rsidRPr="00D60E72">
        <w:rPr>
          <w:sz w:val="24"/>
          <w:szCs w:val="24"/>
          <w:lang w:val="uk-UA"/>
        </w:rPr>
        <w:t xml:space="preserve">Чи необхідно для провадження робіт з </w:t>
      </w:r>
      <w:r w:rsidRPr="00D60E72">
        <w:rPr>
          <w:b/>
          <w:sz w:val="24"/>
          <w:szCs w:val="24"/>
          <w:lang w:val="uk-UA"/>
        </w:rPr>
        <w:t>дослідно-промислової розробки та промислової розробки</w:t>
      </w:r>
      <w:r w:rsidRPr="00D60E72">
        <w:rPr>
          <w:sz w:val="24"/>
          <w:szCs w:val="24"/>
          <w:lang w:val="uk-UA"/>
        </w:rPr>
        <w:t xml:space="preserve"> проходити процедуру оцінки впливу на довкілля та отримувати рішення про провадження планованої діяльності відповідно до положень Закону?</w:t>
      </w:r>
    </w:p>
    <w:p w:rsidR="00AC72E6" w:rsidRPr="00D60E72" w:rsidRDefault="00AC72E6" w:rsidP="00AC72E6">
      <w:pPr>
        <w:pStyle w:val="ListParagraph"/>
        <w:numPr>
          <w:ilvl w:val="0"/>
          <w:numId w:val="2"/>
        </w:numPr>
        <w:tabs>
          <w:tab w:val="left" w:pos="851"/>
          <w:tab w:val="left" w:pos="1620"/>
        </w:tabs>
        <w:spacing w:after="60" w:line="276" w:lineRule="auto"/>
        <w:ind w:left="720" w:firstLine="630"/>
        <w:jc w:val="both"/>
        <w:rPr>
          <w:i/>
          <w:sz w:val="24"/>
          <w:szCs w:val="24"/>
          <w:lang w:val="uk-UA"/>
        </w:rPr>
      </w:pPr>
      <w:r w:rsidRPr="00D60E72">
        <w:rPr>
          <w:sz w:val="24"/>
          <w:szCs w:val="24"/>
          <w:lang w:val="uk-UA"/>
        </w:rPr>
        <w:t xml:space="preserve">Чи необхідно відповідно до пп.14 п.3 ст 3. Закону проходити процедуру оцінки впливу на довкілля та отримувати рішення про провадження планованої діяльності відповідно до положень Закону </w:t>
      </w:r>
      <w:r w:rsidRPr="00D60E72">
        <w:rPr>
          <w:b/>
          <w:sz w:val="24"/>
          <w:szCs w:val="24"/>
          <w:lang w:val="uk-UA"/>
        </w:rPr>
        <w:t>у разі внесення змін до програми робіт</w:t>
      </w:r>
      <w:r w:rsidRPr="00D60E72">
        <w:rPr>
          <w:sz w:val="24"/>
          <w:szCs w:val="24"/>
          <w:lang w:val="uk-UA"/>
        </w:rPr>
        <w:t xml:space="preserve">, що є невід’ємною частиною спеціального дозволу, якщо такі зміни стосуються видів, обсягів або строків виконання робіт на ділянці надр в межах дії строку спеціального дозволу? </w:t>
      </w:r>
    </w:p>
    <w:p w:rsidR="00AC72E6" w:rsidRPr="00D60E72" w:rsidRDefault="00AC72E6" w:rsidP="00AC72E6">
      <w:pPr>
        <w:pStyle w:val="ListParagraph"/>
        <w:numPr>
          <w:ilvl w:val="0"/>
          <w:numId w:val="2"/>
        </w:numPr>
        <w:tabs>
          <w:tab w:val="left" w:pos="851"/>
          <w:tab w:val="left" w:pos="1620"/>
        </w:tabs>
        <w:spacing w:after="60" w:line="276" w:lineRule="auto"/>
        <w:ind w:left="720" w:firstLine="630"/>
        <w:jc w:val="both"/>
        <w:rPr>
          <w:sz w:val="24"/>
          <w:szCs w:val="24"/>
          <w:lang w:val="uk-UA"/>
        </w:rPr>
      </w:pPr>
      <w:r w:rsidRPr="00D60E72">
        <w:rPr>
          <w:sz w:val="24"/>
          <w:szCs w:val="24"/>
          <w:lang w:val="uk-UA"/>
        </w:rPr>
        <w:t xml:space="preserve">Які свердловини є </w:t>
      </w:r>
      <w:r w:rsidRPr="00D60E72">
        <w:rPr>
          <w:b/>
          <w:sz w:val="24"/>
          <w:szCs w:val="24"/>
          <w:lang w:val="uk-UA"/>
        </w:rPr>
        <w:t>глибокими</w:t>
      </w:r>
      <w:r w:rsidRPr="00D60E72">
        <w:rPr>
          <w:sz w:val="24"/>
          <w:szCs w:val="24"/>
          <w:lang w:val="uk-UA"/>
        </w:rPr>
        <w:t xml:space="preserve"> у розумінні Закону? Чи застосовується критерій глибини до пошукових та інших свердловин, що буряться до переходу на стадію видобування?</w:t>
      </w:r>
    </w:p>
    <w:p w:rsidR="00AC72E6" w:rsidRPr="00D60E72" w:rsidRDefault="00AC72E6" w:rsidP="00AC72E6">
      <w:pPr>
        <w:pStyle w:val="ListParagraph"/>
        <w:numPr>
          <w:ilvl w:val="0"/>
          <w:numId w:val="2"/>
        </w:numPr>
        <w:tabs>
          <w:tab w:val="left" w:pos="851"/>
          <w:tab w:val="left" w:pos="1620"/>
        </w:tabs>
        <w:spacing w:after="60" w:line="276" w:lineRule="auto"/>
        <w:ind w:left="720" w:firstLine="630"/>
        <w:jc w:val="both"/>
        <w:rPr>
          <w:sz w:val="24"/>
          <w:szCs w:val="24"/>
          <w:lang w:val="uk-UA"/>
        </w:rPr>
      </w:pPr>
      <w:r w:rsidRPr="00D60E72">
        <w:rPr>
          <w:sz w:val="24"/>
          <w:szCs w:val="24"/>
          <w:lang w:val="uk-UA"/>
        </w:rPr>
        <w:t xml:space="preserve">Чи необхідно проходити процедуру оцінки впливу на довкілля та отримувати рішення про провадження планованої діяльності відповідно до положень Закону у разі, якщо </w:t>
      </w:r>
      <w:r w:rsidRPr="00D60E72">
        <w:rPr>
          <w:b/>
          <w:sz w:val="24"/>
          <w:szCs w:val="24"/>
          <w:lang w:val="uk-UA"/>
        </w:rPr>
        <w:t xml:space="preserve">Проектом влаштування </w:t>
      </w:r>
      <w:r w:rsidRPr="00D60E72">
        <w:rPr>
          <w:b/>
          <w:i/>
          <w:sz w:val="24"/>
          <w:szCs w:val="24"/>
          <w:lang w:val="uk-UA"/>
        </w:rPr>
        <w:t>пошукової</w:t>
      </w:r>
      <w:r w:rsidRPr="00D60E72">
        <w:rPr>
          <w:b/>
          <w:sz w:val="24"/>
          <w:szCs w:val="24"/>
          <w:lang w:val="uk-UA"/>
        </w:rPr>
        <w:t xml:space="preserve"> свердловини (або «</w:t>
      </w:r>
      <w:r w:rsidRPr="00D60E72">
        <w:rPr>
          <w:b/>
          <w:i/>
          <w:sz w:val="24"/>
          <w:szCs w:val="24"/>
          <w:lang w:val="uk-UA"/>
        </w:rPr>
        <w:t>неглибокої</w:t>
      </w:r>
      <w:r w:rsidRPr="00D60E72">
        <w:rPr>
          <w:b/>
          <w:sz w:val="24"/>
          <w:szCs w:val="24"/>
          <w:lang w:val="uk-UA"/>
        </w:rPr>
        <w:t>» свердловини) передбачено влаштування спеціальної свердловини</w:t>
      </w:r>
      <w:r w:rsidRPr="00D60E72">
        <w:rPr>
          <w:sz w:val="24"/>
          <w:szCs w:val="24"/>
          <w:lang w:val="uk-UA"/>
        </w:rPr>
        <w:t xml:space="preserve"> (для видобутку технічної води, скидання промислових вод, ліквідації відкритих фонтанів нафти і газу, закачування газу для його зберігання у підземних сховищах газу тощо)? Чи підлягає процедурі оцінки впливу на довкілля весь Проект влаштування пошукової свердловини, або лише відповідна частина стосовно спеціальної свердловини?</w:t>
      </w:r>
    </w:p>
    <w:p w:rsidR="00AC72E6" w:rsidRPr="00D60E72" w:rsidRDefault="00AC72E6" w:rsidP="00AC72E6">
      <w:pPr>
        <w:pStyle w:val="ListParagraph"/>
        <w:numPr>
          <w:ilvl w:val="0"/>
          <w:numId w:val="2"/>
        </w:numPr>
        <w:tabs>
          <w:tab w:val="left" w:pos="851"/>
          <w:tab w:val="left" w:pos="1620"/>
        </w:tabs>
        <w:spacing w:after="60" w:line="276" w:lineRule="auto"/>
        <w:ind w:left="720" w:firstLine="630"/>
        <w:jc w:val="both"/>
        <w:rPr>
          <w:sz w:val="24"/>
          <w:szCs w:val="24"/>
          <w:lang w:val="uk-UA"/>
        </w:rPr>
      </w:pPr>
      <w:r w:rsidRPr="00D60E72">
        <w:rPr>
          <w:sz w:val="24"/>
          <w:szCs w:val="24"/>
          <w:lang w:val="uk-UA"/>
        </w:rPr>
        <w:t xml:space="preserve">Чи підлягатимуть проекти влаштування свердловин, проекти облаштування родовищ нафти і газу, окремій оцінці впливу на довкілля та отриманню окремого рішення про провадження планованої діяльності відповідно до положень Закону, для надрокористувачів, які вже мають спеціальні дозволи на користування надрами? </w:t>
      </w:r>
    </w:p>
    <w:p w:rsidR="00AC72E6" w:rsidRDefault="00AC72E6" w:rsidP="00AC72E6">
      <w:pPr>
        <w:pStyle w:val="ListParagraph"/>
        <w:numPr>
          <w:ilvl w:val="0"/>
          <w:numId w:val="2"/>
        </w:numPr>
        <w:tabs>
          <w:tab w:val="left" w:pos="851"/>
          <w:tab w:val="left" w:pos="1620"/>
        </w:tabs>
        <w:spacing w:line="276" w:lineRule="auto"/>
        <w:ind w:left="720" w:firstLine="630"/>
        <w:jc w:val="both"/>
        <w:rPr>
          <w:sz w:val="24"/>
          <w:szCs w:val="24"/>
          <w:lang w:val="uk-UA"/>
        </w:rPr>
      </w:pPr>
      <w:r w:rsidRPr="00D60E72">
        <w:rPr>
          <w:sz w:val="24"/>
          <w:szCs w:val="24"/>
          <w:lang w:val="uk-UA"/>
        </w:rPr>
        <w:t>У яких випадках здійснення післяпроектного моніторингу підлягає включенню до висновку з оцінки впливу на довкілля? Який орган визначає наявність потреби узгоджувати за результатами післяпроектного моніторингу з уповноваженим територіальним (центральним) органом вжиття додаткових заходів і дій із запобігання, уникнення, зменшення (пом'якшення), усунення, обмеження впливу господарської діяльності на довкілля?</w:t>
      </w:r>
    </w:p>
    <w:p w:rsidR="00AC72E6" w:rsidRDefault="00AC72E6" w:rsidP="00AC72E6">
      <w:pPr>
        <w:spacing w:line="276" w:lineRule="auto"/>
        <w:ind w:left="720" w:firstLine="709"/>
        <w:jc w:val="both"/>
        <w:rPr>
          <w:lang w:val="ru-RU"/>
        </w:rPr>
      </w:pPr>
      <w:r w:rsidRPr="00D60E72">
        <w:rPr>
          <w:lang w:val="ru-RU"/>
        </w:rPr>
        <w:t xml:space="preserve">Будь ласка, ще раз прийміть запевнення у </w:t>
      </w:r>
      <w:r>
        <w:rPr>
          <w:lang w:val="ru-RU"/>
        </w:rPr>
        <w:t xml:space="preserve">нашій </w:t>
      </w:r>
      <w:r w:rsidRPr="00D60E72">
        <w:rPr>
          <w:lang w:val="ru-RU"/>
        </w:rPr>
        <w:t xml:space="preserve">глибокій повазі та побажання успіху. У разі виникнення питань щодо цього листа просимо Вас визначити відповідальну особу, яка могла </w:t>
      </w:r>
    </w:p>
    <w:p w:rsidR="00AC72E6" w:rsidRDefault="00AC72E6" w:rsidP="00AC72E6">
      <w:pPr>
        <w:spacing w:line="276" w:lineRule="auto"/>
        <w:ind w:left="720"/>
        <w:jc w:val="both"/>
        <w:rPr>
          <w:lang w:val="ru-RU"/>
        </w:rPr>
      </w:pPr>
    </w:p>
    <w:p w:rsidR="00AC72E6" w:rsidRPr="00D60E72" w:rsidRDefault="00AC72E6" w:rsidP="00AC72E6">
      <w:pPr>
        <w:spacing w:line="276" w:lineRule="auto"/>
        <w:ind w:left="720"/>
        <w:jc w:val="both"/>
        <w:rPr>
          <w:lang w:val="en-US"/>
        </w:rPr>
      </w:pPr>
      <w:bookmarkStart w:id="0" w:name="_GoBack"/>
      <w:bookmarkEnd w:id="0"/>
      <w:r w:rsidRPr="00D60E72">
        <w:rPr>
          <w:lang w:val="ru-RU"/>
        </w:rPr>
        <w:t xml:space="preserve">б зв’язатись з нами за телефоном 490 5800, контактна особа – Тетяна Темнюк, менеджер з питань стратегічного розвитку (паливно-енергетичний комплекс) або електронною поштою </w:t>
      </w:r>
      <w:hyperlink r:id="rId7" w:history="1">
        <w:r w:rsidRPr="00D60E72">
          <w:rPr>
            <w:rStyle w:val="Hyperlink"/>
          </w:rPr>
          <w:t>ttemniuk@chamber.ua</w:t>
        </w:r>
      </w:hyperlink>
      <w:r w:rsidRPr="00D60E72">
        <w:t>.</w:t>
      </w:r>
    </w:p>
    <w:p w:rsidR="00AC72E6" w:rsidRPr="00D60E72" w:rsidRDefault="00AC72E6" w:rsidP="00AC72E6">
      <w:pPr>
        <w:spacing w:line="276" w:lineRule="auto"/>
        <w:ind w:left="720" w:firstLine="708"/>
        <w:jc w:val="both"/>
        <w:rPr>
          <w:lang w:val="en-US"/>
        </w:rPr>
      </w:pPr>
    </w:p>
    <w:p w:rsidR="00AC72E6" w:rsidRPr="00D60E72" w:rsidRDefault="00AC72E6" w:rsidP="00AC72E6">
      <w:pPr>
        <w:spacing w:line="276" w:lineRule="auto"/>
        <w:ind w:left="720" w:firstLine="708"/>
        <w:jc w:val="both"/>
        <w:rPr>
          <w:lang w:val="en-US"/>
        </w:rPr>
      </w:pPr>
    </w:p>
    <w:p w:rsidR="00AC72E6" w:rsidRPr="00D60E72" w:rsidRDefault="00AC72E6" w:rsidP="00AC72E6">
      <w:pPr>
        <w:spacing w:line="276" w:lineRule="auto"/>
        <w:ind w:left="720"/>
        <w:jc w:val="both"/>
        <w:rPr>
          <w:b/>
        </w:rPr>
      </w:pPr>
      <w:r w:rsidRPr="00D60E72">
        <w:rPr>
          <w:b/>
        </w:rPr>
        <w:t>З найкращими побажаннями,</w:t>
      </w:r>
    </w:p>
    <w:p w:rsidR="00AC72E6" w:rsidRDefault="00AC72E6" w:rsidP="00AC72E6">
      <w:pPr>
        <w:spacing w:line="276" w:lineRule="auto"/>
        <w:ind w:left="720"/>
        <w:jc w:val="both"/>
        <w:rPr>
          <w:b/>
        </w:rPr>
      </w:pPr>
    </w:p>
    <w:p w:rsidR="00AC72E6" w:rsidRPr="00D60E72" w:rsidRDefault="00AC72E6" w:rsidP="00AC72E6">
      <w:pPr>
        <w:spacing w:line="276" w:lineRule="auto"/>
        <w:ind w:left="720"/>
        <w:jc w:val="both"/>
        <w:rPr>
          <w:b/>
        </w:rPr>
      </w:pPr>
    </w:p>
    <w:p w:rsidR="00AC72E6" w:rsidRPr="00D60E72" w:rsidRDefault="00AC72E6" w:rsidP="00AC72E6">
      <w:pPr>
        <w:spacing w:line="276" w:lineRule="auto"/>
        <w:ind w:left="720"/>
        <w:jc w:val="both"/>
        <w:rPr>
          <w:b/>
        </w:rPr>
      </w:pPr>
      <w:r w:rsidRPr="00D60E72">
        <w:rPr>
          <w:b/>
        </w:rPr>
        <w:t>Президент</w:t>
      </w:r>
      <w:r w:rsidRPr="00D60E72">
        <w:rPr>
          <w:b/>
        </w:rPr>
        <w:tab/>
      </w:r>
      <w:r w:rsidRPr="00D60E72">
        <w:rPr>
          <w:b/>
        </w:rPr>
        <w:tab/>
      </w:r>
      <w:r w:rsidRPr="00D60E72">
        <w:rPr>
          <w:b/>
        </w:rPr>
        <w:tab/>
      </w:r>
      <w:r w:rsidRPr="00D60E72">
        <w:rPr>
          <w:b/>
        </w:rPr>
        <w:tab/>
      </w:r>
      <w:r w:rsidRPr="00D60E72">
        <w:rPr>
          <w:b/>
        </w:rPr>
        <w:tab/>
      </w:r>
      <w:r w:rsidRPr="00D60E72">
        <w:rPr>
          <w:b/>
        </w:rPr>
        <w:tab/>
      </w:r>
      <w:r w:rsidRPr="00D60E72">
        <w:rPr>
          <w:b/>
        </w:rPr>
        <w:tab/>
      </w:r>
      <w:r w:rsidRPr="00D60E72">
        <w:rPr>
          <w:b/>
        </w:rPr>
        <w:tab/>
        <w:t xml:space="preserve">            </w:t>
      </w:r>
      <w:r w:rsidRPr="00D60E72">
        <w:rPr>
          <w:b/>
        </w:rPr>
        <w:tab/>
        <w:t xml:space="preserve">      Андрі</w:t>
      </w:r>
      <w:r>
        <w:rPr>
          <w:b/>
        </w:rPr>
        <w:t>й Гундер</w:t>
      </w:r>
    </w:p>
    <w:p w:rsidR="00AC72E6" w:rsidRPr="00D60E72" w:rsidRDefault="00AC72E6" w:rsidP="00AC72E6">
      <w:pPr>
        <w:spacing w:line="276" w:lineRule="auto"/>
        <w:ind w:left="720"/>
        <w:jc w:val="both"/>
      </w:pPr>
    </w:p>
    <w:p w:rsidR="00AC72E6" w:rsidRPr="00D60E72" w:rsidRDefault="00AC72E6" w:rsidP="00AC72E6">
      <w:pPr>
        <w:spacing w:line="276" w:lineRule="auto"/>
        <w:ind w:left="720"/>
      </w:pPr>
    </w:p>
    <w:p w:rsidR="00AC72E6" w:rsidRPr="00D60E72" w:rsidRDefault="00AC72E6" w:rsidP="00AC72E6">
      <w:pPr>
        <w:spacing w:line="276" w:lineRule="auto"/>
        <w:ind w:left="720"/>
      </w:pPr>
    </w:p>
    <w:p w:rsidR="00AC72E6" w:rsidRPr="00D60E72" w:rsidRDefault="00AC72E6" w:rsidP="00AC72E6">
      <w:pPr>
        <w:spacing w:line="276" w:lineRule="auto"/>
      </w:pPr>
    </w:p>
    <w:p w:rsidR="00DC0B2A" w:rsidRPr="00AC72E6" w:rsidRDefault="00AC72E6" w:rsidP="00AC72E6">
      <w:pPr>
        <w:spacing w:line="276" w:lineRule="auto"/>
      </w:pPr>
    </w:p>
    <w:sectPr w:rsidR="00DC0B2A" w:rsidRPr="00AC72E6" w:rsidSect="00CB38A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1247" w:footer="6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A4" w:rsidRDefault="00AC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72" w:rsidRPr="00843624" w:rsidRDefault="00AC72E6" w:rsidP="00590E60">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_________________________________________________________________________________________________________________________</w:t>
    </w:r>
  </w:p>
  <w:p w:rsidR="00D33472" w:rsidRPr="00843624" w:rsidRDefault="00AC72E6" w:rsidP="00D33472">
    <w:pPr>
      <w:ind w:left="1560" w:hanging="1560"/>
      <w:jc w:val="both"/>
      <w:rPr>
        <w:rFonts w:ascii="Arial" w:hAnsi="Arial" w:cs="Arial"/>
        <w:i/>
        <w:color w:val="404040"/>
        <w:sz w:val="16"/>
        <w:szCs w:val="16"/>
      </w:rPr>
    </w:pPr>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sidRPr="00843624">
      <w:rPr>
        <w:rFonts w:ascii="Arial" w:hAnsi="Arial" w:cs="Arial"/>
        <w:i/>
        <w:color w:val="404040"/>
        <w:sz w:val="16"/>
        <w:szCs w:val="16"/>
      </w:rPr>
      <w:t xml:space="preserve"> </w:t>
    </w:r>
    <w:r w:rsidRPr="00843624">
      <w:rPr>
        <w:rFonts w:ascii="Arial" w:hAnsi="Arial" w:cs="Arial"/>
        <w:b/>
        <w:i/>
        <w:color w:val="404040"/>
        <w:sz w:val="16"/>
        <w:szCs w:val="16"/>
      </w:rPr>
      <w:t xml:space="preserve">Гжегож Хмелярський, </w:t>
    </w:r>
    <w:r w:rsidRPr="00843624">
      <w:rPr>
        <w:rFonts w:ascii="Arial" w:hAnsi="Arial" w:cs="Arial"/>
        <w:i/>
        <w:color w:val="404040"/>
        <w:sz w:val="16"/>
        <w:szCs w:val="16"/>
      </w:rPr>
      <w:t>“МакДональдз Юкрейн”</w:t>
    </w:r>
    <w:r w:rsidRPr="00843624">
      <w:rPr>
        <w:rFonts w:ascii="Arial" w:hAnsi="Arial" w:cs="Arial"/>
        <w:b/>
        <w:i/>
        <w:color w:val="404040"/>
        <w:sz w:val="16"/>
        <w:szCs w:val="16"/>
      </w:rPr>
      <w:t xml:space="preserve"> – Голова; Шевкі Аджуне</w:t>
    </w:r>
    <w:r w:rsidRPr="00843624">
      <w:rPr>
        <w:rFonts w:ascii="Arial" w:hAnsi="Arial" w:cs="Arial"/>
        <w:b/>
        <w:i/>
        <w:color w:val="404040"/>
        <w:sz w:val="16"/>
        <w:szCs w:val="16"/>
      </w:rPr>
      <w:t xml:space="preserve">р, </w:t>
    </w:r>
    <w:r w:rsidRPr="00843624">
      <w:rPr>
        <w:rFonts w:ascii="Arial" w:hAnsi="Arial" w:cs="Arial"/>
        <w:i/>
        <w:color w:val="404040"/>
        <w:sz w:val="16"/>
        <w:szCs w:val="16"/>
      </w:rPr>
      <w:t>Європейський банк реконструкції та розвитку</w:t>
    </w:r>
    <w:r w:rsidRPr="00843624">
      <w:rPr>
        <w:rFonts w:ascii="Arial" w:hAnsi="Arial" w:cs="Arial"/>
        <w:b/>
        <w:i/>
        <w:color w:val="404040"/>
        <w:sz w:val="16"/>
        <w:szCs w:val="16"/>
      </w:rPr>
      <w:t xml:space="preserve"> – Заступник голови; Мартін Шумахер, </w:t>
    </w:r>
    <w:r w:rsidRPr="00843624">
      <w:rPr>
        <w:rFonts w:ascii="Arial" w:hAnsi="Arial" w:cs="Arial"/>
        <w:i/>
        <w:color w:val="404040"/>
        <w:sz w:val="16"/>
        <w:szCs w:val="16"/>
      </w:rPr>
      <w:t>"МЕТРО Кеш енд Кері Україна”</w:t>
    </w:r>
    <w:r w:rsidRPr="00843624">
      <w:rPr>
        <w:rFonts w:ascii="Arial" w:hAnsi="Arial" w:cs="Arial"/>
        <w:b/>
        <w:i/>
        <w:color w:val="404040"/>
        <w:sz w:val="16"/>
        <w:szCs w:val="16"/>
      </w:rPr>
      <w:t xml:space="preserve"> – Заступник голови; Надія Васильєва, </w:t>
    </w:r>
    <w:r w:rsidRPr="00843624">
      <w:rPr>
        <w:rFonts w:ascii="Arial" w:hAnsi="Arial" w:cs="Arial"/>
        <w:i/>
        <w:color w:val="404040"/>
        <w:sz w:val="16"/>
        <w:szCs w:val="16"/>
      </w:rPr>
      <w:t>“Майкрософт Україна”</w:t>
    </w:r>
    <w:r w:rsidRPr="00843624">
      <w:rPr>
        <w:rFonts w:ascii="Arial" w:hAnsi="Arial" w:cs="Arial"/>
        <w:b/>
        <w:i/>
        <w:color w:val="404040"/>
        <w:sz w:val="16"/>
        <w:szCs w:val="16"/>
      </w:rPr>
      <w:t xml:space="preserve"> – Скарбник; Олег Тимків, </w:t>
    </w:r>
    <w:r w:rsidRPr="00843624">
      <w:rPr>
        <w:rFonts w:ascii="Arial" w:hAnsi="Arial" w:cs="Arial"/>
        <w:i/>
        <w:color w:val="404040"/>
        <w:sz w:val="16"/>
        <w:szCs w:val="16"/>
      </w:rPr>
      <w:t>PwC</w:t>
    </w:r>
    <w:r w:rsidRPr="00843624">
      <w:rPr>
        <w:rFonts w:ascii="Arial" w:hAnsi="Arial" w:cs="Arial"/>
        <w:b/>
        <w:i/>
        <w:color w:val="404040"/>
        <w:sz w:val="16"/>
        <w:szCs w:val="16"/>
      </w:rPr>
      <w:t xml:space="preserve"> – Секретар; Сергій Чорний, </w:t>
    </w:r>
    <w:r w:rsidRPr="00843624">
      <w:rPr>
        <w:rFonts w:ascii="Arial" w:hAnsi="Arial" w:cs="Arial"/>
        <w:i/>
        <w:color w:val="404040"/>
        <w:sz w:val="16"/>
        <w:szCs w:val="16"/>
      </w:rPr>
      <w:t>“Бейкер і Макензі”</w:t>
    </w:r>
    <w:r w:rsidRPr="00843624">
      <w:rPr>
        <w:rFonts w:ascii="Arial" w:hAnsi="Arial" w:cs="Arial"/>
        <w:b/>
        <w:i/>
        <w:color w:val="404040"/>
        <w:sz w:val="16"/>
        <w:szCs w:val="16"/>
      </w:rPr>
      <w:t xml:space="preserve"> – Юридичний</w:t>
    </w:r>
    <w:r w:rsidRPr="00843624">
      <w:rPr>
        <w:rFonts w:ascii="Arial" w:hAnsi="Arial" w:cs="Arial"/>
        <w:b/>
        <w:i/>
        <w:color w:val="404040"/>
        <w:sz w:val="16"/>
        <w:szCs w:val="16"/>
      </w:rPr>
      <w:t xml:space="preserve"> радник; Ленна Кожарни, </w:t>
    </w:r>
    <w:r w:rsidRPr="00843624">
      <w:rPr>
        <w:rFonts w:ascii="Arial" w:hAnsi="Arial" w:cs="Arial"/>
        <w:i/>
        <w:color w:val="404040"/>
        <w:sz w:val="16"/>
        <w:szCs w:val="16"/>
      </w:rPr>
      <w:t>Horizon Capital;</w:t>
    </w:r>
    <w:r w:rsidRPr="00843624">
      <w:rPr>
        <w:rFonts w:ascii="Arial" w:hAnsi="Arial" w:cs="Arial"/>
        <w:b/>
        <w:i/>
        <w:color w:val="404040"/>
        <w:sz w:val="16"/>
        <w:szCs w:val="16"/>
      </w:rPr>
      <w:t xml:space="preserve"> Стівен Фішер, </w:t>
    </w:r>
    <w:r w:rsidRPr="00843624">
      <w:rPr>
        <w:rFonts w:ascii="Arial" w:hAnsi="Arial" w:cs="Arial"/>
        <w:i/>
        <w:color w:val="404040"/>
        <w:sz w:val="16"/>
        <w:szCs w:val="16"/>
      </w:rPr>
      <w:t>"СІТІ";</w:t>
    </w:r>
    <w:r w:rsidRPr="00843624">
      <w:rPr>
        <w:rFonts w:ascii="Arial" w:hAnsi="Arial" w:cs="Arial"/>
        <w:b/>
        <w:i/>
        <w:color w:val="404040"/>
        <w:sz w:val="16"/>
        <w:szCs w:val="16"/>
      </w:rPr>
      <w:t xml:space="preserve"> Євген Шевченко, </w:t>
    </w:r>
    <w:r w:rsidRPr="00843624">
      <w:rPr>
        <w:rFonts w:ascii="Arial" w:hAnsi="Arial" w:cs="Arial"/>
        <w:i/>
        <w:color w:val="404040"/>
        <w:sz w:val="16"/>
        <w:szCs w:val="16"/>
      </w:rPr>
      <w:t>Carlsberg;</w:t>
    </w:r>
    <w:r w:rsidRPr="00843624">
      <w:rPr>
        <w:rFonts w:ascii="Arial" w:hAnsi="Arial" w:cs="Arial"/>
        <w:b/>
        <w:i/>
        <w:color w:val="404040"/>
        <w:sz w:val="16"/>
        <w:szCs w:val="16"/>
      </w:rPr>
      <w:t xml:space="preserve"> Мартін Шульдт, </w:t>
    </w:r>
    <w:r w:rsidRPr="00843624">
      <w:rPr>
        <w:rFonts w:ascii="Arial" w:hAnsi="Arial" w:cs="Arial"/>
        <w:i/>
        <w:color w:val="404040"/>
        <w:sz w:val="16"/>
        <w:szCs w:val="16"/>
      </w:rPr>
      <w:t>"Каргілл".</w:t>
    </w:r>
  </w:p>
  <w:p w:rsidR="004C3FCF" w:rsidRPr="00843624" w:rsidRDefault="00AC72E6" w:rsidP="004C3FCF">
    <w:pPr>
      <w:ind w:left="1560" w:hanging="1560"/>
      <w:jc w:val="both"/>
      <w:rPr>
        <w:rFonts w:ascii="Arial" w:hAnsi="Arial" w:cs="Arial"/>
        <w:b/>
        <w:i/>
        <w:color w:val="404040"/>
        <w:sz w:val="16"/>
        <w:szCs w:val="16"/>
      </w:rPr>
    </w:pPr>
    <w:r w:rsidRPr="00843624">
      <w:rPr>
        <w:rFonts w:ascii="Arial" w:hAnsi="Arial" w:cs="Arial"/>
        <w:b/>
        <w:i/>
        <w:color w:val="404040"/>
        <w:sz w:val="16"/>
        <w:szCs w:val="16"/>
        <w:lang w:val="ru-RU"/>
      </w:rPr>
      <w:t>П</w:t>
    </w:r>
    <w:r w:rsidRPr="00843624">
      <w:rPr>
        <w:rFonts w:ascii="Arial" w:hAnsi="Arial" w:cs="Arial"/>
        <w:b/>
        <w:i/>
        <w:color w:val="404040"/>
        <w:sz w:val="16"/>
        <w:szCs w:val="16"/>
      </w:rPr>
      <w:t>резидент</w:t>
    </w:r>
    <w:r w:rsidRPr="00843624">
      <w:rPr>
        <w:rFonts w:ascii="Arial" w:hAnsi="Arial" w:cs="Arial"/>
        <w:b/>
        <w:i/>
        <w:color w:val="404040"/>
        <w:sz w:val="16"/>
        <w:szCs w:val="16"/>
      </w:rPr>
      <w:t xml:space="preserve">: </w:t>
    </w:r>
    <w:r w:rsidRPr="00843624">
      <w:rPr>
        <w:rFonts w:ascii="Arial" w:hAnsi="Arial" w:cs="Arial"/>
        <w:b/>
        <w:i/>
        <w:color w:val="404040"/>
        <w:sz w:val="16"/>
        <w:szCs w:val="16"/>
        <w:lang w:val="ru-RU"/>
      </w:rPr>
      <w:t xml:space="preserve">          </w:t>
    </w:r>
    <w:r w:rsidRPr="00843624">
      <w:rPr>
        <w:rFonts w:ascii="Arial" w:hAnsi="Arial" w:cs="Arial"/>
        <w:b/>
        <w:i/>
        <w:color w:val="404040"/>
        <w:sz w:val="16"/>
        <w:szCs w:val="16"/>
      </w:rPr>
      <w:t xml:space="preserve"> </w:t>
    </w:r>
    <w:r w:rsidRPr="00843624">
      <w:rPr>
        <w:rFonts w:ascii="Arial" w:hAnsi="Arial" w:cs="Arial"/>
        <w:b/>
        <w:i/>
        <w:color w:val="404040"/>
        <w:sz w:val="16"/>
        <w:szCs w:val="16"/>
      </w:rPr>
      <w:t>Андрій Гундер</w:t>
    </w:r>
  </w:p>
  <w:p w:rsidR="00B57472" w:rsidRPr="005F4AD6" w:rsidRDefault="00AC72E6" w:rsidP="00590E60">
    <w:pPr>
      <w:pStyle w:val="normal0"/>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A4" w:rsidRDefault="00AC72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A4" w:rsidRDefault="00AC7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510" w:rsidRPr="00712510" w:rsidRDefault="00AC72E6" w:rsidP="00712510">
    <w:pPr>
      <w:pStyle w:val="Header"/>
      <w:rPr>
        <w:lang w:val="en-US"/>
      </w:rPr>
    </w:pPr>
    <w:r>
      <w:rPr>
        <w:noProof/>
      </w:rPr>
      <w:drawing>
        <wp:anchor distT="0" distB="0" distL="114300" distR="114300" simplePos="0" relativeHeight="251659264" behindDoc="0" locked="0" layoutInCell="1" allowOverlap="1">
          <wp:simplePos x="0" y="0"/>
          <wp:positionH relativeFrom="column">
            <wp:posOffset>-352425</wp:posOffset>
          </wp:positionH>
          <wp:positionV relativeFrom="page">
            <wp:posOffset>88900</wp:posOffset>
          </wp:positionV>
          <wp:extent cx="7541895" cy="939800"/>
          <wp:effectExtent l="0" t="0" r="1905" b="0"/>
          <wp:wrapNone/>
          <wp:docPr id="1" name="Picture 1"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754189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A4" w:rsidRDefault="00AC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5071"/>
    <w:multiLevelType w:val="hybridMultilevel"/>
    <w:tmpl w:val="2FFAF804"/>
    <w:lvl w:ilvl="0" w:tplc="BE9CFB46">
      <w:start w:val="1"/>
      <w:numFmt w:val="bullet"/>
      <w:lvlText w:val="-"/>
      <w:lvlJc w:val="left"/>
      <w:pPr>
        <w:ind w:left="927" w:hanging="360"/>
      </w:pPr>
      <w:rPr>
        <w:rFonts w:ascii="Calibri" w:eastAsia="Cambria" w:hAnsi="Calibri" w:cs="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AEC2E88"/>
    <w:multiLevelType w:val="hybridMultilevel"/>
    <w:tmpl w:val="11A08F24"/>
    <w:lvl w:ilvl="0" w:tplc="7F0EC6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BB52548"/>
    <w:multiLevelType w:val="hybridMultilevel"/>
    <w:tmpl w:val="92B812B0"/>
    <w:lvl w:ilvl="0" w:tplc="40A0C54C">
      <w:start w:val="1"/>
      <w:numFmt w:val="decimal"/>
      <w:lvlText w:val="%1."/>
      <w:lvlJc w:val="left"/>
      <w:pPr>
        <w:ind w:left="1392" w:hanging="825"/>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E6"/>
    <w:rsid w:val="003A204F"/>
    <w:rsid w:val="00AC72E6"/>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567CE"/>
  <w15:chartTrackingRefBased/>
  <w15:docId w15:val="{E725DB1F-B314-4D4E-AE58-A62F5126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2E6"/>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72E6"/>
    <w:pPr>
      <w:tabs>
        <w:tab w:val="center" w:pos="4677"/>
        <w:tab w:val="right" w:pos="9355"/>
      </w:tabs>
    </w:pPr>
  </w:style>
  <w:style w:type="character" w:customStyle="1" w:styleId="HeaderChar">
    <w:name w:val="Header Char"/>
    <w:basedOn w:val="DefaultParagraphFont"/>
    <w:link w:val="Header"/>
    <w:rsid w:val="00AC72E6"/>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AC72E6"/>
    <w:pPr>
      <w:tabs>
        <w:tab w:val="center" w:pos="4677"/>
        <w:tab w:val="right" w:pos="9355"/>
      </w:tabs>
    </w:pPr>
  </w:style>
  <w:style w:type="character" w:customStyle="1" w:styleId="FooterChar">
    <w:name w:val="Footer Char"/>
    <w:basedOn w:val="DefaultParagraphFont"/>
    <w:link w:val="Footer"/>
    <w:uiPriority w:val="99"/>
    <w:rsid w:val="00AC72E6"/>
    <w:rPr>
      <w:rFonts w:ascii="Times New Roman" w:eastAsia="Times New Roman" w:hAnsi="Times New Roman" w:cs="Times New Roman"/>
      <w:sz w:val="24"/>
      <w:szCs w:val="24"/>
      <w:lang w:val="uk-UA" w:eastAsia="uk-UA"/>
    </w:rPr>
  </w:style>
  <w:style w:type="paragraph" w:customStyle="1" w:styleId="normal0">
    <w:name w:val="normal"/>
    <w:basedOn w:val="Normal"/>
    <w:rsid w:val="00AC72E6"/>
    <w:pPr>
      <w:spacing w:before="100" w:beforeAutospacing="1" w:after="100" w:afterAutospacing="1"/>
    </w:pPr>
    <w:rPr>
      <w:lang w:val="ru-RU" w:eastAsia="ru-RU"/>
    </w:rPr>
  </w:style>
  <w:style w:type="paragraph" w:styleId="ListParagraph">
    <w:name w:val="List Paragraph"/>
    <w:basedOn w:val="Normal"/>
    <w:uiPriority w:val="34"/>
    <w:qFormat/>
    <w:rsid w:val="00AC72E6"/>
    <w:pPr>
      <w:ind w:left="720"/>
      <w:contextualSpacing/>
    </w:pPr>
    <w:rPr>
      <w:sz w:val="20"/>
      <w:szCs w:val="20"/>
      <w:lang w:val="en-AU" w:eastAsia="en-US"/>
    </w:rPr>
  </w:style>
  <w:style w:type="character" w:styleId="Hyperlink">
    <w:name w:val="Hyperlink"/>
    <w:uiPriority w:val="99"/>
    <w:unhideWhenUsed/>
    <w:rsid w:val="00AC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temniuk@chamber.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7%D0%B5%D0%BC%D0%BD%D0%B0_%D0%BA%D0%BE%D1%80%D0%B0" TargetMode="External"/><Relationship Id="rId11" Type="http://schemas.openxmlformats.org/officeDocument/2006/relationships/footer" Target="footer2.xml"/><Relationship Id="rId5" Type="http://schemas.openxmlformats.org/officeDocument/2006/relationships/hyperlink" Target="https://uk.wikipedia.org/wiki/%D0%A1%D0%B2%D0%B5%D1%80%D0%B4%D0%BB%D0%BE%D0%B2%D0%B8%D0%BD%D0%B0"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cp:revision>
  <dcterms:created xsi:type="dcterms:W3CDTF">2017-08-03T15:51:00Z</dcterms:created>
  <dcterms:modified xsi:type="dcterms:W3CDTF">2017-08-03T15:59:00Z</dcterms:modified>
</cp:coreProperties>
</file>