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7D" w:rsidRPr="004433A9" w:rsidRDefault="00D7277D" w:rsidP="00D7277D">
      <w:pPr>
        <w:rPr>
          <w:rFonts w:ascii="Times New Roman" w:hAnsi="Times New Roman" w:cs="Times New Roman"/>
          <w:sz w:val="24"/>
          <w:szCs w:val="24"/>
        </w:rPr>
      </w:pPr>
    </w:p>
    <w:p w:rsidR="00D7277D" w:rsidRPr="004433A9" w:rsidRDefault="00D7277D" w:rsidP="00D7277D">
      <w:pPr>
        <w:jc w:val="center"/>
        <w:rPr>
          <w:rFonts w:ascii="Times New Roman" w:hAnsi="Times New Roman" w:cs="Times New Roman"/>
          <w:b/>
          <w:sz w:val="24"/>
          <w:szCs w:val="24"/>
          <w:lang w:val="ru-RU"/>
        </w:rPr>
      </w:pPr>
      <w:r w:rsidRPr="004433A9">
        <w:rPr>
          <w:rFonts w:ascii="Times New Roman" w:hAnsi="Times New Roman" w:cs="Times New Roman"/>
          <w:b/>
          <w:sz w:val="24"/>
          <w:szCs w:val="24"/>
          <w:lang w:val="ru-RU"/>
        </w:rPr>
        <w:t>ПОРІВНЯЛЬНА ТАБЛИЦЯ</w:t>
      </w:r>
    </w:p>
    <w:p w:rsidR="00D7277D" w:rsidRPr="004433A9" w:rsidRDefault="00D7277D" w:rsidP="00D7277D">
      <w:pPr>
        <w:jc w:val="center"/>
        <w:rPr>
          <w:rFonts w:ascii="Times New Roman" w:hAnsi="Times New Roman" w:cs="Times New Roman"/>
          <w:sz w:val="24"/>
          <w:szCs w:val="24"/>
          <w:lang w:val="uk-UA"/>
        </w:rPr>
      </w:pPr>
      <w:r w:rsidRPr="004433A9">
        <w:rPr>
          <w:rFonts w:ascii="Times New Roman" w:hAnsi="Times New Roman" w:cs="Times New Roman"/>
          <w:b/>
          <w:sz w:val="24"/>
          <w:szCs w:val="24"/>
          <w:lang w:val="uk-UA"/>
        </w:rPr>
        <w:t xml:space="preserve">щодо внесення деяких змін до Постанов КМУ №423, №594 та №615 </w:t>
      </w:r>
    </w:p>
    <w:p w:rsidR="00D7277D" w:rsidRPr="004433A9" w:rsidRDefault="00D7277D" w:rsidP="00D7277D">
      <w:pPr>
        <w:jc w:val="center"/>
        <w:rPr>
          <w:rFonts w:ascii="Times New Roman" w:hAnsi="Times New Roman" w:cs="Times New Roman"/>
          <w:sz w:val="24"/>
          <w:szCs w:val="24"/>
          <w:lang w:val="ru-RU"/>
        </w:rPr>
      </w:pPr>
    </w:p>
    <w:tbl>
      <w:tblPr>
        <w:tblStyle w:val="TableGrid"/>
        <w:tblpPr w:leftFromText="180" w:rightFromText="180" w:vertAnchor="text" w:tblpXSpec="center" w:tblpY="1"/>
        <w:tblOverlap w:val="never"/>
        <w:tblW w:w="15296" w:type="dxa"/>
        <w:tblLook w:val="04A0" w:firstRow="1" w:lastRow="0" w:firstColumn="1" w:lastColumn="0" w:noHBand="0" w:noVBand="1"/>
      </w:tblPr>
      <w:tblGrid>
        <w:gridCol w:w="7648"/>
        <w:gridCol w:w="7648"/>
      </w:tblGrid>
      <w:tr w:rsidR="00D7277D" w:rsidRPr="004433A9" w:rsidTr="004433A9">
        <w:trPr>
          <w:trHeight w:val="908"/>
        </w:trPr>
        <w:tc>
          <w:tcPr>
            <w:tcW w:w="7648" w:type="dxa"/>
          </w:tcPr>
          <w:p w:rsidR="00D7277D" w:rsidRPr="004433A9" w:rsidRDefault="00D7277D" w:rsidP="004433A9">
            <w:pPr>
              <w:spacing w:before="120" w:after="120"/>
              <w:jc w:val="center"/>
              <w:rPr>
                <w:rFonts w:ascii="Times New Roman" w:hAnsi="Times New Roman" w:cs="Times New Roman"/>
                <w:sz w:val="24"/>
                <w:szCs w:val="24"/>
              </w:rPr>
            </w:pPr>
            <w:r w:rsidRPr="004433A9">
              <w:rPr>
                <w:rFonts w:ascii="Times New Roman" w:hAnsi="Times New Roman" w:cs="Times New Roman"/>
                <w:sz w:val="24"/>
                <w:szCs w:val="24"/>
              </w:rPr>
              <w:t>Зміст положення (норми) чинного законодавства</w:t>
            </w:r>
          </w:p>
        </w:tc>
        <w:tc>
          <w:tcPr>
            <w:tcW w:w="7648" w:type="dxa"/>
          </w:tcPr>
          <w:p w:rsidR="00D7277D" w:rsidRPr="004433A9" w:rsidRDefault="00D7277D" w:rsidP="004433A9">
            <w:pPr>
              <w:spacing w:before="120" w:after="120"/>
              <w:jc w:val="center"/>
              <w:rPr>
                <w:rFonts w:ascii="Times New Roman" w:hAnsi="Times New Roman" w:cs="Times New Roman"/>
                <w:sz w:val="24"/>
                <w:szCs w:val="24"/>
              </w:rPr>
            </w:pPr>
            <w:r w:rsidRPr="004433A9">
              <w:rPr>
                <w:rFonts w:ascii="Times New Roman" w:hAnsi="Times New Roman" w:cs="Times New Roman"/>
                <w:sz w:val="24"/>
                <w:szCs w:val="24"/>
              </w:rPr>
              <w:t xml:space="preserve">Зміст відповідного положення (норми) </w:t>
            </w:r>
          </w:p>
          <w:p w:rsidR="00D7277D" w:rsidRPr="004433A9" w:rsidRDefault="00D7277D" w:rsidP="004433A9">
            <w:pPr>
              <w:spacing w:before="120" w:after="120"/>
              <w:jc w:val="center"/>
              <w:rPr>
                <w:rFonts w:ascii="Times New Roman" w:hAnsi="Times New Roman" w:cs="Times New Roman"/>
                <w:sz w:val="24"/>
                <w:szCs w:val="24"/>
              </w:rPr>
            </w:pPr>
            <w:r w:rsidRPr="004433A9">
              <w:rPr>
                <w:rFonts w:ascii="Times New Roman" w:hAnsi="Times New Roman" w:cs="Times New Roman"/>
                <w:sz w:val="24"/>
                <w:szCs w:val="24"/>
              </w:rPr>
              <w:t>проекту акта</w:t>
            </w:r>
          </w:p>
        </w:tc>
      </w:tr>
      <w:tr w:rsidR="00D7277D" w:rsidRPr="004433A9" w:rsidTr="004433A9">
        <w:tc>
          <w:tcPr>
            <w:tcW w:w="15296" w:type="dxa"/>
            <w:gridSpan w:val="2"/>
          </w:tcPr>
          <w:p w:rsidR="00D7277D" w:rsidRPr="004433A9" w:rsidRDefault="00D7277D" w:rsidP="004433A9">
            <w:pPr>
              <w:jc w:val="center"/>
              <w:rPr>
                <w:rFonts w:ascii="Times New Roman" w:hAnsi="Times New Roman" w:cs="Times New Roman"/>
                <w:b/>
                <w:sz w:val="24"/>
                <w:szCs w:val="24"/>
              </w:rPr>
            </w:pPr>
            <w:r w:rsidRPr="004433A9">
              <w:rPr>
                <w:rFonts w:ascii="Times New Roman" w:hAnsi="Times New Roman" w:cs="Times New Roman"/>
                <w:b/>
                <w:sz w:val="24"/>
                <w:szCs w:val="24"/>
              </w:rPr>
              <w:t>Положення про порядок розпорядження геологічною інформацією,</w:t>
            </w:r>
          </w:p>
          <w:p w:rsidR="00D7277D" w:rsidRPr="004433A9" w:rsidRDefault="00D7277D" w:rsidP="004433A9">
            <w:pPr>
              <w:jc w:val="center"/>
              <w:rPr>
                <w:rFonts w:ascii="Times New Roman" w:hAnsi="Times New Roman" w:cs="Times New Roman"/>
                <w:sz w:val="24"/>
                <w:szCs w:val="24"/>
              </w:rPr>
            </w:pPr>
            <w:r w:rsidRPr="004433A9">
              <w:rPr>
                <w:rFonts w:ascii="Times New Roman" w:hAnsi="Times New Roman" w:cs="Times New Roman"/>
                <w:sz w:val="24"/>
                <w:szCs w:val="24"/>
              </w:rPr>
              <w:t>затверджене постановою Кабінету Міністрів України від 13 червня 1995 р. № 423</w:t>
            </w: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4. Геологічна інформація, створена (придбана) на власні кошти юридичних та фізичних осіб, є їх власністю. Реалізація цієї інформації здійснюється її власником за погодженням з Держгеонадра.</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Така геологічна інформація може переходити до державної власності у разі передачі її до відповідних банків даних, фондів або архівів на договірній основі.</w:t>
            </w:r>
          </w:p>
        </w:tc>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4. Геологічна інформація, створена (придбана) на власні кошти юридичних та фізичних осіб, є їх власністю. </w:t>
            </w:r>
            <w:r w:rsidRPr="004433A9">
              <w:rPr>
                <w:rFonts w:ascii="Times New Roman" w:hAnsi="Times New Roman" w:cs="Times New Roman"/>
                <w:b/>
                <w:sz w:val="24"/>
                <w:szCs w:val="24"/>
              </w:rPr>
              <w:t xml:space="preserve">При реалізації геологічної інформації, власник геологічної інформації повідомляє про це Держгеонадра. </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Така геологічна інформація може переходити до державної власності у разі передачі її до відповідних банків даних, фондів або архівів на договірній основі.</w:t>
            </w: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5. </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Склад і обсяг інформації, яка підлягає обов'язковій передачі до Геоінформу, порядок її обліку та користування визначаються Держгеонадра.</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 xml:space="preserve">Норма відсутня. </w:t>
            </w:r>
          </w:p>
          <w:p w:rsidR="00D7277D" w:rsidRPr="004433A9" w:rsidRDefault="00D7277D" w:rsidP="004433A9">
            <w:pPr>
              <w:jc w:val="both"/>
              <w:rPr>
                <w:rFonts w:ascii="Times New Roman" w:hAnsi="Times New Roman" w:cs="Times New Roman"/>
                <w:sz w:val="24"/>
                <w:szCs w:val="24"/>
              </w:rPr>
            </w:pPr>
          </w:p>
        </w:tc>
        <w:tc>
          <w:tcPr>
            <w:tcW w:w="7648" w:type="dxa"/>
          </w:tcPr>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 xml:space="preserve">5. </w:t>
            </w: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Склад і обсяг інформації, яка підлягає обов'язковій передачі до Геоінформу, порядок її обліку та користування визначаються Держгеонадра. </w:t>
            </w:r>
            <w:bookmarkStart w:id="0" w:name="o32"/>
            <w:bookmarkEnd w:id="0"/>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Держгеонадра після спливу 5 років від дати отримання від надрокористувача публікує у цифровому вигляді на офіційному веб-сайті наступну геологічну інформацію по кожному родовищу:</w:t>
            </w:r>
          </w:p>
          <w:p w:rsidR="00D7277D" w:rsidRPr="004433A9" w:rsidRDefault="00D7277D" w:rsidP="004433A9">
            <w:pPr>
              <w:pStyle w:val="ListParagraph"/>
              <w:numPr>
                <w:ilvl w:val="0"/>
                <w:numId w:val="2"/>
              </w:numPr>
              <w:spacing w:after="160" w:line="259" w:lineRule="auto"/>
              <w:ind w:left="312"/>
              <w:jc w:val="both"/>
              <w:rPr>
                <w:b/>
                <w:sz w:val="24"/>
                <w:szCs w:val="24"/>
                <w:lang w:val="uk-UA"/>
              </w:rPr>
            </w:pPr>
            <w:r w:rsidRPr="004433A9">
              <w:rPr>
                <w:b/>
                <w:sz w:val="24"/>
                <w:szCs w:val="24"/>
                <w:lang w:val="uk-UA"/>
              </w:rPr>
              <w:t xml:space="preserve">звіти за результатами геологічних, геофізичних, гідрогеологічних, еколого-геологічних, інженерно-геологічних, </w:t>
            </w:r>
            <w:r w:rsidRPr="004433A9">
              <w:rPr>
                <w:b/>
                <w:sz w:val="24"/>
                <w:szCs w:val="24"/>
                <w:lang w:val="uk-UA"/>
              </w:rPr>
              <w:lastRenderedPageBreak/>
              <w:t>геохімічних робіт, у тому числі знімань, пошуків і розвідки твердих корисних копалин, нафти й газу, а також буріння опорних, параметричних, структурних, глибоких, надглибоких свердловин та їх каротаж;</w:t>
            </w:r>
            <w:bookmarkStart w:id="1" w:name="o33"/>
            <w:bookmarkEnd w:id="1"/>
          </w:p>
          <w:p w:rsidR="00D7277D" w:rsidRPr="004433A9" w:rsidRDefault="00D7277D" w:rsidP="004433A9">
            <w:pPr>
              <w:pStyle w:val="ListParagraph"/>
              <w:numPr>
                <w:ilvl w:val="0"/>
                <w:numId w:val="2"/>
              </w:numPr>
              <w:spacing w:after="160" w:line="259" w:lineRule="auto"/>
              <w:ind w:left="312"/>
              <w:jc w:val="both"/>
              <w:rPr>
                <w:b/>
                <w:sz w:val="24"/>
                <w:szCs w:val="24"/>
                <w:lang w:val="ru-RU"/>
              </w:rPr>
            </w:pPr>
            <w:r w:rsidRPr="004433A9">
              <w:rPr>
                <w:b/>
                <w:sz w:val="24"/>
                <w:szCs w:val="24"/>
                <w:lang w:val="ru-RU"/>
              </w:rPr>
              <w:t>геологічні карти, структурні, узагальнювальні, оглядові й зведені карти геологічного змісту з пояснювальними записками;</w:t>
            </w:r>
            <w:bookmarkStart w:id="2" w:name="o35"/>
            <w:bookmarkEnd w:id="2"/>
          </w:p>
          <w:p w:rsidR="00D7277D" w:rsidRPr="004433A9" w:rsidRDefault="00D7277D" w:rsidP="004433A9">
            <w:pPr>
              <w:pStyle w:val="ListParagraph"/>
              <w:numPr>
                <w:ilvl w:val="0"/>
                <w:numId w:val="2"/>
              </w:numPr>
              <w:spacing w:after="160" w:line="259" w:lineRule="auto"/>
              <w:ind w:left="312"/>
              <w:jc w:val="both"/>
              <w:rPr>
                <w:b/>
                <w:sz w:val="24"/>
                <w:szCs w:val="24"/>
                <w:lang w:val="ru-RU"/>
              </w:rPr>
            </w:pPr>
            <w:r w:rsidRPr="004433A9">
              <w:rPr>
                <w:b/>
                <w:sz w:val="24"/>
                <w:szCs w:val="24"/>
                <w:lang w:val="ru-RU"/>
              </w:rPr>
              <w:t>звіти за результатами розроблення кондицій мінеральної сировини, геолого-економічної оцінки родовищ корисних копалин, а також їх комплексного освоєння;</w:t>
            </w:r>
          </w:p>
          <w:p w:rsidR="00D7277D" w:rsidRPr="004433A9" w:rsidRDefault="00D7277D" w:rsidP="004433A9">
            <w:pPr>
              <w:pStyle w:val="ListParagraph"/>
              <w:numPr>
                <w:ilvl w:val="0"/>
                <w:numId w:val="2"/>
              </w:numPr>
              <w:spacing w:after="160" w:line="259" w:lineRule="auto"/>
              <w:ind w:left="312"/>
              <w:jc w:val="both"/>
              <w:rPr>
                <w:b/>
                <w:sz w:val="24"/>
                <w:szCs w:val="24"/>
                <w:lang w:val="ru-RU"/>
              </w:rPr>
            </w:pPr>
            <w:bookmarkStart w:id="3" w:name="o37"/>
            <w:bookmarkEnd w:id="3"/>
            <w:r w:rsidRPr="004433A9">
              <w:rPr>
                <w:b/>
                <w:sz w:val="24"/>
                <w:szCs w:val="24"/>
                <w:lang w:val="ru-RU"/>
              </w:rPr>
              <w:t>паспорти свердловин, родовищ і проявів корисних копалин;</w:t>
            </w:r>
          </w:p>
          <w:p w:rsidR="00D7277D" w:rsidRPr="004433A9" w:rsidRDefault="00D7277D" w:rsidP="004433A9">
            <w:pPr>
              <w:pStyle w:val="ListParagraph"/>
              <w:numPr>
                <w:ilvl w:val="0"/>
                <w:numId w:val="2"/>
              </w:numPr>
              <w:spacing w:after="160" w:line="259" w:lineRule="auto"/>
              <w:ind w:left="312"/>
              <w:jc w:val="both"/>
              <w:rPr>
                <w:b/>
                <w:sz w:val="24"/>
                <w:szCs w:val="24"/>
                <w:lang w:val="ru-RU"/>
              </w:rPr>
            </w:pPr>
            <w:bookmarkStart w:id="4" w:name="o39"/>
            <w:bookmarkEnd w:id="4"/>
            <w:r w:rsidRPr="004433A9">
              <w:rPr>
                <w:b/>
                <w:sz w:val="24"/>
                <w:szCs w:val="24"/>
                <w:lang w:val="ru-RU"/>
              </w:rPr>
              <w:t>облікові картки вивченості надр з копіями контурів розташування вивчених площ (профілів робіт) до них;</w:t>
            </w:r>
          </w:p>
          <w:p w:rsidR="00D7277D" w:rsidRPr="004433A9" w:rsidRDefault="00D7277D" w:rsidP="004433A9">
            <w:pPr>
              <w:pStyle w:val="ListParagraph"/>
              <w:numPr>
                <w:ilvl w:val="0"/>
                <w:numId w:val="2"/>
              </w:numPr>
              <w:spacing w:after="160" w:line="259" w:lineRule="auto"/>
              <w:ind w:left="312"/>
              <w:jc w:val="both"/>
              <w:rPr>
                <w:b/>
                <w:sz w:val="24"/>
                <w:szCs w:val="24"/>
                <w:lang w:val="ru-RU"/>
              </w:rPr>
            </w:pPr>
            <w:bookmarkStart w:id="5" w:name="o40"/>
            <w:bookmarkEnd w:id="5"/>
            <w:r w:rsidRPr="004433A9">
              <w:rPr>
                <w:b/>
                <w:sz w:val="24"/>
                <w:szCs w:val="24"/>
                <w:lang w:val="ru-RU"/>
              </w:rPr>
              <w:t>контурні карти, картограми та таблиці вивченості надр, ситуаційні плани;</w:t>
            </w:r>
          </w:p>
          <w:p w:rsidR="00D7277D" w:rsidRPr="004433A9" w:rsidRDefault="00D7277D" w:rsidP="004433A9">
            <w:pPr>
              <w:pStyle w:val="ListParagraph"/>
              <w:numPr>
                <w:ilvl w:val="0"/>
                <w:numId w:val="2"/>
              </w:numPr>
              <w:spacing w:after="160" w:line="259" w:lineRule="auto"/>
              <w:ind w:left="312"/>
              <w:jc w:val="both"/>
              <w:rPr>
                <w:b/>
                <w:sz w:val="24"/>
                <w:szCs w:val="24"/>
                <w:lang w:val="ru-RU"/>
              </w:rPr>
            </w:pPr>
            <w:bookmarkStart w:id="6" w:name="o41"/>
            <w:bookmarkEnd w:id="6"/>
            <w:r w:rsidRPr="004433A9">
              <w:rPr>
                <w:b/>
                <w:sz w:val="24"/>
                <w:szCs w:val="24"/>
                <w:lang w:val="ru-RU"/>
              </w:rPr>
              <w:t>узагальнювальні геологічні та геолого-економічні огляди, техніко-економічні доповіді;</w:t>
            </w:r>
          </w:p>
          <w:p w:rsidR="00D7277D" w:rsidRPr="004433A9" w:rsidRDefault="00D7277D" w:rsidP="004433A9">
            <w:pPr>
              <w:pStyle w:val="ListParagraph"/>
              <w:numPr>
                <w:ilvl w:val="0"/>
                <w:numId w:val="2"/>
              </w:numPr>
              <w:spacing w:after="160" w:line="259" w:lineRule="auto"/>
              <w:ind w:left="312"/>
              <w:jc w:val="both"/>
              <w:rPr>
                <w:b/>
                <w:sz w:val="24"/>
                <w:szCs w:val="24"/>
                <w:lang w:val="ru-RU"/>
              </w:rPr>
            </w:pPr>
            <w:bookmarkStart w:id="7" w:name="o44"/>
            <w:bookmarkEnd w:id="7"/>
            <w:r w:rsidRPr="004433A9">
              <w:rPr>
                <w:b/>
                <w:sz w:val="24"/>
                <w:szCs w:val="24"/>
                <w:lang w:val="ru-RU"/>
              </w:rPr>
              <w:t>протоколи Державної комісії по запасах корисних копалин України щодо затвердження запасів корисних копалин;</w:t>
            </w:r>
            <w:bookmarkStart w:id="8" w:name="o45"/>
            <w:bookmarkEnd w:id="8"/>
          </w:p>
          <w:p w:rsidR="00D7277D" w:rsidRPr="004433A9" w:rsidRDefault="00D7277D" w:rsidP="004433A9">
            <w:pPr>
              <w:pStyle w:val="ListParagraph"/>
              <w:numPr>
                <w:ilvl w:val="0"/>
                <w:numId w:val="2"/>
              </w:numPr>
              <w:spacing w:after="160" w:line="259" w:lineRule="auto"/>
              <w:ind w:left="312"/>
              <w:jc w:val="both"/>
              <w:rPr>
                <w:b/>
                <w:sz w:val="24"/>
                <w:szCs w:val="24"/>
                <w:lang w:val="ru-RU"/>
              </w:rPr>
            </w:pPr>
            <w:r w:rsidRPr="004433A9">
              <w:rPr>
                <w:b/>
                <w:sz w:val="24"/>
                <w:szCs w:val="24"/>
                <w:lang w:val="ru-RU"/>
              </w:rPr>
              <w:t>річні звіти з геолого-виробничої діяльності користувачів надр, що виконували роботи за рахунок державного та/чи місцевих бюджетів.</w:t>
            </w: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10. Для погодження продажу геологічної інформації, яка не є державною власністю, її власник надсилає запит Держгеонадра.</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У запиті зазначаються: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а) для продавця - власника геологічної інформації:</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відомості про юридичну особу (найменування, місцезнаходження, юридична адреса; посадова особа, що надіслала запит); для фізичних осіб - прізвище, ім'я та по батькові, місце проживання;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склад і обсяг інформації, яка пропонується на продаж;</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б) для покупця геологічної інформації:</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відомості про юридичну особу (найменування, місцезнаходження, юридична адреса; посадова особа, що надіслала запит); для фізичних осіб - прізвище, ім'я та по батькові, місце проживання;</w:t>
            </w:r>
          </w:p>
          <w:p w:rsidR="00D7277D" w:rsidRPr="004433A9" w:rsidRDefault="00D7277D" w:rsidP="004433A9">
            <w:pPr>
              <w:jc w:val="both"/>
              <w:rPr>
                <w:rFonts w:ascii="Times New Roman" w:hAnsi="Times New Roman" w:cs="Times New Roman"/>
                <w:sz w:val="24"/>
                <w:szCs w:val="24"/>
              </w:rPr>
            </w:pPr>
          </w:p>
          <w:p w:rsidR="00D7277D"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обсяг права власності на геологічну інформацію, що придбаватиметься.</w:t>
            </w:r>
          </w:p>
          <w:p w:rsidR="004433A9" w:rsidRPr="004433A9" w:rsidRDefault="004433A9" w:rsidP="004433A9">
            <w:pPr>
              <w:jc w:val="both"/>
              <w:rPr>
                <w:rFonts w:ascii="Times New Roman" w:hAnsi="Times New Roman" w:cs="Times New Roman"/>
                <w:sz w:val="24"/>
                <w:szCs w:val="24"/>
              </w:rPr>
            </w:pPr>
          </w:p>
        </w:tc>
        <w:tc>
          <w:tcPr>
            <w:tcW w:w="7648" w:type="dxa"/>
          </w:tcPr>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sz w:val="24"/>
                <w:szCs w:val="24"/>
              </w:rPr>
              <w:lastRenderedPageBreak/>
              <w:t xml:space="preserve">10. </w:t>
            </w:r>
            <w:r w:rsidRPr="004433A9">
              <w:rPr>
                <w:rFonts w:ascii="Times New Roman" w:hAnsi="Times New Roman" w:cs="Times New Roman"/>
                <w:b/>
                <w:sz w:val="24"/>
                <w:szCs w:val="24"/>
              </w:rPr>
              <w:t>При реалізації геологічної інформації, яка не є державною власністю, її власник повідомляє про це Держгеонадра.</w:t>
            </w:r>
          </w:p>
          <w:p w:rsidR="00D7277D" w:rsidRPr="004433A9" w:rsidRDefault="00D7277D" w:rsidP="004433A9">
            <w:pPr>
              <w:jc w:val="both"/>
              <w:rPr>
                <w:rFonts w:ascii="Times New Roman" w:hAnsi="Times New Roman" w:cs="Times New Roman"/>
                <w:b/>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У </w:t>
            </w:r>
            <w:r w:rsidRPr="004433A9">
              <w:rPr>
                <w:rFonts w:ascii="Times New Roman" w:hAnsi="Times New Roman" w:cs="Times New Roman"/>
                <w:b/>
                <w:sz w:val="24"/>
                <w:szCs w:val="24"/>
              </w:rPr>
              <w:t>повідомленні</w:t>
            </w:r>
            <w:r w:rsidRPr="004433A9">
              <w:rPr>
                <w:rFonts w:ascii="Times New Roman" w:hAnsi="Times New Roman" w:cs="Times New Roman"/>
                <w:sz w:val="24"/>
                <w:szCs w:val="24"/>
              </w:rPr>
              <w:t xml:space="preserve"> зазначаються: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а) </w:t>
            </w:r>
            <w:r w:rsidRPr="004433A9">
              <w:rPr>
                <w:rFonts w:ascii="Times New Roman" w:hAnsi="Times New Roman" w:cs="Times New Roman"/>
                <w:b/>
                <w:sz w:val="24"/>
                <w:szCs w:val="24"/>
              </w:rPr>
              <w:t>інформація про продавця</w:t>
            </w:r>
            <w:r w:rsidRPr="004433A9">
              <w:rPr>
                <w:rFonts w:ascii="Times New Roman" w:hAnsi="Times New Roman" w:cs="Times New Roman"/>
                <w:sz w:val="24"/>
                <w:szCs w:val="24"/>
              </w:rPr>
              <w:t xml:space="preserve"> - власника геологічної інформації:</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 xml:space="preserve">відомості про юридичну особу (найменування, місцезнаходження, юридична адреса; посадова особа, що надіслала </w:t>
            </w:r>
            <w:r w:rsidRPr="004433A9">
              <w:rPr>
                <w:rFonts w:ascii="Times New Roman" w:hAnsi="Times New Roman" w:cs="Times New Roman"/>
                <w:b/>
                <w:sz w:val="24"/>
                <w:szCs w:val="24"/>
              </w:rPr>
              <w:t>повідомлення</w:t>
            </w:r>
            <w:r w:rsidRPr="004433A9">
              <w:rPr>
                <w:rFonts w:ascii="Times New Roman" w:hAnsi="Times New Roman" w:cs="Times New Roman"/>
                <w:sz w:val="24"/>
                <w:szCs w:val="24"/>
              </w:rPr>
              <w:t>); для фізичних осіб - прізвище, ім'я та по батькові, місце проживання;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б) склад і обсяг інформації, яка пропонується на продаж;</w:t>
            </w:r>
          </w:p>
          <w:p w:rsidR="00D7277D" w:rsidRPr="004433A9" w:rsidRDefault="00D7277D" w:rsidP="004433A9">
            <w:pPr>
              <w:jc w:val="both"/>
              <w:rPr>
                <w:rFonts w:ascii="Times New Roman" w:hAnsi="Times New Roman" w:cs="Times New Roman"/>
                <w:b/>
                <w:sz w:val="24"/>
                <w:szCs w:val="24"/>
              </w:rPr>
            </w:pP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в) інформація про покупця геологічної інформації:</w:t>
            </w:r>
          </w:p>
          <w:p w:rsidR="00D7277D" w:rsidRPr="004433A9" w:rsidRDefault="00D7277D" w:rsidP="004433A9">
            <w:pPr>
              <w:jc w:val="both"/>
              <w:rPr>
                <w:rFonts w:ascii="Times New Roman" w:hAnsi="Times New Roman" w:cs="Times New Roman"/>
                <w:b/>
                <w:sz w:val="24"/>
                <w:szCs w:val="24"/>
              </w:rPr>
            </w:pP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відомості про юридичну особу (найменування, місцезнаходження, юридична адреса); для фізичних осіб - прізвище, ім'я та по батькові, місце проживання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11. Держгеонадра протягом 10 днів розглядає запит щодо придбання або погодження продажу геологічної інформації і про прийняте рішення повідомляє запитувача.</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4433A9" w:rsidRDefault="004433A9"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Задоволення запиту щодо придбання геологічної інформації здійснюється протягом місяця.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У разі відмови у погодженні продажу геологічної інформації її власник має право оскаржити таке рішення в порядку, визначеному чинним законодавством України.</w:t>
            </w:r>
          </w:p>
        </w:tc>
        <w:tc>
          <w:tcPr>
            <w:tcW w:w="7648" w:type="dxa"/>
          </w:tcPr>
          <w:p w:rsidR="00D7277D"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11. Держгеонадра протягом </w:t>
            </w:r>
            <w:r w:rsidRPr="004433A9">
              <w:rPr>
                <w:rFonts w:ascii="Times New Roman" w:hAnsi="Times New Roman" w:cs="Times New Roman"/>
                <w:b/>
                <w:color w:val="000000" w:themeColor="text1"/>
                <w:sz w:val="24"/>
                <w:szCs w:val="24"/>
              </w:rPr>
              <w:t>10</w:t>
            </w:r>
            <w:r w:rsidRPr="004433A9">
              <w:rPr>
                <w:rFonts w:ascii="Times New Roman" w:hAnsi="Times New Roman" w:cs="Times New Roman"/>
                <w:b/>
                <w:sz w:val="24"/>
                <w:szCs w:val="24"/>
              </w:rPr>
              <w:t xml:space="preserve"> </w:t>
            </w:r>
            <w:r w:rsidRPr="004433A9">
              <w:rPr>
                <w:rFonts w:ascii="Times New Roman" w:hAnsi="Times New Roman" w:cs="Times New Roman"/>
                <w:sz w:val="24"/>
                <w:szCs w:val="24"/>
              </w:rPr>
              <w:t xml:space="preserve">днів </w:t>
            </w:r>
            <w:r w:rsidRPr="004433A9">
              <w:rPr>
                <w:rFonts w:ascii="Times New Roman" w:hAnsi="Times New Roman" w:cs="Times New Roman"/>
                <w:b/>
                <w:sz w:val="24"/>
                <w:szCs w:val="24"/>
              </w:rPr>
              <w:t>опрацьовує</w:t>
            </w:r>
            <w:r w:rsidRPr="004433A9">
              <w:rPr>
                <w:rFonts w:ascii="Times New Roman" w:hAnsi="Times New Roman" w:cs="Times New Roman"/>
                <w:sz w:val="24"/>
                <w:szCs w:val="24"/>
              </w:rPr>
              <w:t xml:space="preserve"> запит щодо придбання геологічної інформації, </w:t>
            </w:r>
            <w:r w:rsidRPr="004433A9">
              <w:rPr>
                <w:rFonts w:ascii="Times New Roman" w:hAnsi="Times New Roman" w:cs="Times New Roman"/>
                <w:b/>
                <w:sz w:val="24"/>
                <w:szCs w:val="24"/>
              </w:rPr>
              <w:t>яка є державною власністю</w:t>
            </w:r>
            <w:r w:rsidRPr="004433A9">
              <w:rPr>
                <w:rFonts w:ascii="Times New Roman" w:hAnsi="Times New Roman" w:cs="Times New Roman"/>
                <w:sz w:val="24"/>
                <w:szCs w:val="24"/>
              </w:rPr>
              <w:t>,</w:t>
            </w:r>
            <w:r w:rsidRPr="004433A9">
              <w:rPr>
                <w:rFonts w:ascii="Times New Roman" w:hAnsi="Times New Roman" w:cs="Times New Roman"/>
                <w:b/>
                <w:sz w:val="24"/>
                <w:szCs w:val="24"/>
              </w:rPr>
              <w:t xml:space="preserve"> і</w:t>
            </w:r>
            <w:r w:rsidRPr="004433A9">
              <w:rPr>
                <w:rFonts w:ascii="Times New Roman" w:hAnsi="Times New Roman" w:cs="Times New Roman"/>
                <w:sz w:val="24"/>
                <w:szCs w:val="24"/>
              </w:rPr>
              <w:t xml:space="preserve"> </w:t>
            </w:r>
            <w:r w:rsidRPr="004433A9">
              <w:rPr>
                <w:rFonts w:ascii="Times New Roman" w:hAnsi="Times New Roman" w:cs="Times New Roman"/>
                <w:b/>
                <w:sz w:val="24"/>
                <w:szCs w:val="24"/>
              </w:rPr>
              <w:t>повідомляє запитувачу про вартість геологічної інформації, із розрахунком вартості. Вартість геологічної інформації розраховується відповідно до Методики визначення вартості геологічної інформації, отриманої за рахунок коштів державного бюджету.</w:t>
            </w:r>
            <w:r w:rsidRPr="004433A9">
              <w:rPr>
                <w:rFonts w:ascii="Times New Roman" w:hAnsi="Times New Roman" w:cs="Times New Roman"/>
                <w:sz w:val="24"/>
                <w:szCs w:val="24"/>
              </w:rPr>
              <w:t xml:space="preserve"> </w:t>
            </w:r>
          </w:p>
          <w:p w:rsidR="004433A9" w:rsidRPr="004433A9" w:rsidRDefault="004433A9"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Задоволення запиту щодо придбання геологічної інформації, здійснюється протягом місяця.</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b/>
                <w:color w:val="000000" w:themeColor="text1"/>
                <w:sz w:val="24"/>
                <w:szCs w:val="24"/>
              </w:rPr>
            </w:pPr>
            <w:r w:rsidRPr="004433A9">
              <w:rPr>
                <w:rFonts w:ascii="Times New Roman" w:hAnsi="Times New Roman" w:cs="Times New Roman"/>
                <w:b/>
                <w:color w:val="000000" w:themeColor="text1"/>
                <w:sz w:val="24"/>
                <w:szCs w:val="24"/>
              </w:rPr>
              <w:t xml:space="preserve">Геологічна інформація, яка була придбана у Держгеонадр, не є підставою для проведення апробації запасів корисних копалин у ДКЗ для отримання спеціального дозволу без аукціону. </w:t>
            </w:r>
          </w:p>
          <w:p w:rsidR="00D7277D" w:rsidRPr="004433A9" w:rsidRDefault="00D7277D" w:rsidP="004433A9">
            <w:pPr>
              <w:jc w:val="both"/>
              <w:rPr>
                <w:rFonts w:ascii="Times New Roman" w:hAnsi="Times New Roman" w:cs="Times New Roman"/>
                <w:b/>
                <w:color w:val="000000" w:themeColor="text1"/>
                <w:sz w:val="24"/>
                <w:szCs w:val="24"/>
              </w:rPr>
            </w:pPr>
          </w:p>
          <w:p w:rsidR="00D7277D" w:rsidRDefault="00D7277D" w:rsidP="004433A9">
            <w:pPr>
              <w:jc w:val="both"/>
              <w:rPr>
                <w:rFonts w:ascii="Times New Roman" w:hAnsi="Times New Roman" w:cs="Times New Roman"/>
                <w:b/>
                <w:color w:val="000000" w:themeColor="text1"/>
                <w:sz w:val="24"/>
                <w:szCs w:val="24"/>
              </w:rPr>
            </w:pPr>
            <w:r w:rsidRPr="004433A9">
              <w:rPr>
                <w:rFonts w:ascii="Times New Roman" w:hAnsi="Times New Roman" w:cs="Times New Roman"/>
                <w:b/>
                <w:color w:val="000000" w:themeColor="text1"/>
                <w:sz w:val="24"/>
                <w:szCs w:val="24"/>
              </w:rPr>
              <w:t>Держгеонадра не має права відмовити заявнику у придбанні геологічної інформації.</w:t>
            </w:r>
          </w:p>
          <w:p w:rsidR="004433A9" w:rsidRPr="004433A9" w:rsidRDefault="004433A9" w:rsidP="004433A9">
            <w:pPr>
              <w:jc w:val="both"/>
              <w:rPr>
                <w:rFonts w:ascii="Times New Roman" w:hAnsi="Times New Roman" w:cs="Times New Roman"/>
                <w:b/>
                <w:color w:val="000000" w:themeColor="text1"/>
                <w:sz w:val="24"/>
                <w:szCs w:val="24"/>
              </w:rPr>
            </w:pPr>
          </w:p>
        </w:tc>
      </w:tr>
      <w:tr w:rsidR="00D7277D" w:rsidRPr="004433A9" w:rsidTr="004433A9">
        <w:tc>
          <w:tcPr>
            <w:tcW w:w="15296" w:type="dxa"/>
            <w:gridSpan w:val="2"/>
          </w:tcPr>
          <w:p w:rsidR="00D7277D" w:rsidRPr="004433A9" w:rsidRDefault="00D7277D" w:rsidP="004433A9">
            <w:pPr>
              <w:jc w:val="center"/>
              <w:rPr>
                <w:rFonts w:ascii="Times New Roman" w:hAnsi="Times New Roman" w:cs="Times New Roman"/>
                <w:b/>
                <w:sz w:val="24"/>
                <w:szCs w:val="24"/>
              </w:rPr>
            </w:pPr>
            <w:r w:rsidRPr="004433A9">
              <w:rPr>
                <w:rFonts w:ascii="Times New Roman" w:hAnsi="Times New Roman" w:cs="Times New Roman"/>
                <w:b/>
                <w:sz w:val="24"/>
                <w:szCs w:val="24"/>
              </w:rPr>
              <w:lastRenderedPageBreak/>
              <w:t>Порядок проведення аукціонів з продажу спеціальних дозволів на користування надрами</w:t>
            </w:r>
          </w:p>
          <w:p w:rsidR="00D7277D" w:rsidRPr="004433A9" w:rsidRDefault="00D7277D" w:rsidP="004433A9">
            <w:pPr>
              <w:jc w:val="center"/>
              <w:rPr>
                <w:rFonts w:ascii="Times New Roman" w:hAnsi="Times New Roman" w:cs="Times New Roman"/>
                <w:sz w:val="24"/>
                <w:szCs w:val="24"/>
              </w:rPr>
            </w:pPr>
            <w:r w:rsidRPr="004433A9">
              <w:rPr>
                <w:rFonts w:ascii="Times New Roman" w:hAnsi="Times New Roman" w:cs="Times New Roman"/>
                <w:sz w:val="24"/>
                <w:szCs w:val="24"/>
              </w:rPr>
              <w:t>Затверджений Постановою Кабінету Міністрів України від 30 травня 2011 р. №594</w:t>
            </w: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27. Переможець здійснює протягом 30 календарних днів після проведення аукціону розрахунки за придбаний дозвіл шляхом внесення коштів до державного бюджету і сплачує різницю між ціною продажу дозволу та гарантійним внеском.</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Придбання геологічної інформації про ділянку надр, яка надається в користування переможцю, здійснюється в порядку, визначеному постановою Кабінету Міністрів України від 13 червня 1995 р. № 423 "Про затвердження Положення про порядок розпорядження геологічною інформацією" (ЗП України, 1995 р., № 8, ст. 220).</w:t>
            </w:r>
          </w:p>
        </w:tc>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27. Переможець здійснює протягом 30 календарних днів після проведення аукціону розрахунки за придбаний дозвіл шляхом внесення коштів до державного бюджету і сплачує різницю між ціною продажу дозволу та гарантійним внеском.</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У разі потреби переможець має право на придбання геологічної інформації про ділянку надр, яка надається в користування.</w:t>
            </w:r>
          </w:p>
          <w:p w:rsidR="00D7277D" w:rsidRPr="004433A9" w:rsidRDefault="00D7277D" w:rsidP="004433A9">
            <w:pPr>
              <w:jc w:val="both"/>
              <w:rPr>
                <w:rFonts w:ascii="Times New Roman" w:hAnsi="Times New Roman" w:cs="Times New Roman"/>
                <w:b/>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Придбання геологічної інформації про ділянку надр, яка надається в користування переможцю, здійснюється в порядку, визначеному постановою Кабінету Міністрів України від 13 червня 1995 р. № 423 "Про затвердження Положення про порядок розпорядження геологічною інформацією" (ЗП України, 1995 р., № 8, ст. 220). </w:t>
            </w:r>
          </w:p>
          <w:p w:rsidR="00D7277D" w:rsidRPr="004433A9" w:rsidRDefault="00D7277D" w:rsidP="004433A9">
            <w:pPr>
              <w:jc w:val="both"/>
              <w:rPr>
                <w:rFonts w:ascii="Times New Roman" w:hAnsi="Times New Roman" w:cs="Times New Roman"/>
                <w:sz w:val="24"/>
                <w:szCs w:val="24"/>
              </w:rPr>
            </w:pPr>
          </w:p>
        </w:tc>
      </w:tr>
      <w:tr w:rsidR="00D7277D" w:rsidRPr="004433A9" w:rsidTr="004433A9">
        <w:tc>
          <w:tcPr>
            <w:tcW w:w="15296" w:type="dxa"/>
            <w:gridSpan w:val="2"/>
          </w:tcPr>
          <w:p w:rsidR="00D7277D" w:rsidRPr="004433A9" w:rsidRDefault="00D7277D" w:rsidP="004433A9">
            <w:pPr>
              <w:jc w:val="center"/>
              <w:rPr>
                <w:rFonts w:ascii="Times New Roman" w:hAnsi="Times New Roman" w:cs="Times New Roman"/>
                <w:b/>
                <w:sz w:val="24"/>
                <w:szCs w:val="24"/>
              </w:rPr>
            </w:pPr>
            <w:r w:rsidRPr="004433A9">
              <w:rPr>
                <w:rFonts w:ascii="Times New Roman" w:hAnsi="Times New Roman" w:cs="Times New Roman"/>
                <w:b/>
                <w:sz w:val="24"/>
                <w:szCs w:val="24"/>
              </w:rPr>
              <w:t>Порядок надання спеціальних дозволів на користування надрами</w:t>
            </w:r>
          </w:p>
          <w:p w:rsidR="00D7277D" w:rsidRPr="004433A9" w:rsidRDefault="00D7277D" w:rsidP="004433A9">
            <w:pPr>
              <w:jc w:val="center"/>
              <w:rPr>
                <w:rFonts w:ascii="Times New Roman" w:hAnsi="Times New Roman" w:cs="Times New Roman"/>
                <w:b/>
                <w:sz w:val="24"/>
                <w:szCs w:val="24"/>
              </w:rPr>
            </w:pPr>
            <w:r w:rsidRPr="004433A9">
              <w:rPr>
                <w:rFonts w:ascii="Times New Roman" w:hAnsi="Times New Roman" w:cs="Times New Roman"/>
                <w:sz w:val="24"/>
                <w:szCs w:val="24"/>
              </w:rPr>
              <w:t>Затверджений Постановою Кабінету Міністрів України від 30 травня 2011 р. №615</w:t>
            </w:r>
          </w:p>
          <w:p w:rsidR="00D7277D" w:rsidRPr="004433A9" w:rsidRDefault="00D7277D" w:rsidP="004433A9">
            <w:pPr>
              <w:jc w:val="both"/>
              <w:rPr>
                <w:rFonts w:ascii="Times New Roman" w:hAnsi="Times New Roman" w:cs="Times New Roman"/>
                <w:sz w:val="24"/>
                <w:szCs w:val="24"/>
              </w:rPr>
            </w:pPr>
          </w:p>
        </w:tc>
      </w:tr>
      <w:tr w:rsidR="00D7277D" w:rsidRPr="004433A9" w:rsidTr="004433A9">
        <w:tc>
          <w:tcPr>
            <w:tcW w:w="7648" w:type="dxa"/>
          </w:tcPr>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8.…</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Органом з питань надання дозволу надсилається запит правоохоронним органам та суб’єктам фінансового моніторингу про розгляд документів заявника для виявлення суб’єктів господарювання, що здійснюють фінансування тероризму в Україні.</w:t>
            </w:r>
            <w:bookmarkStart w:id="9" w:name="n334"/>
            <w:bookmarkStart w:id="10" w:name="n329"/>
            <w:bookmarkEnd w:id="9"/>
            <w:bookmarkEnd w:id="10"/>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У разі ненадання правоохоронними органами та суб’єктами фінансового моніторингу відповіді на запит протягом 30-денного строку вважається, що за результатами розгляду документів заявника не виявлено суб’єктів господарювання, що здійснюють фінансування тероризму в Україні.</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Крім того, органом з питань надання дозволу надсилається запит органам ДФС щодо перевірки факту наявності у заявника боргу із сплати податків та загальнообов’язкових платежів станом на останній звітний період.</w:t>
            </w:r>
          </w:p>
          <w:p w:rsidR="00D7277D" w:rsidRPr="004433A9" w:rsidRDefault="00D7277D" w:rsidP="004433A9">
            <w:pPr>
              <w:jc w:val="both"/>
              <w:rPr>
                <w:rFonts w:ascii="Times New Roman" w:hAnsi="Times New Roman" w:cs="Times New Roman"/>
                <w:sz w:val="24"/>
                <w:szCs w:val="24"/>
              </w:rPr>
            </w:pPr>
            <w:bookmarkStart w:id="11" w:name="n332"/>
            <w:bookmarkStart w:id="12" w:name="n331"/>
            <w:bookmarkEnd w:id="11"/>
            <w:bookmarkEnd w:id="12"/>
            <w:r w:rsidRPr="004433A9">
              <w:rPr>
                <w:rFonts w:ascii="Times New Roman" w:hAnsi="Times New Roman" w:cs="Times New Roman"/>
                <w:sz w:val="24"/>
                <w:szCs w:val="24"/>
              </w:rPr>
              <w:t>У разі ненадання органами ДФС відповіді на запит протягом 30-денного строку вважається, що факту наявності у заявника боргу із сплати загальнодержавних податків та зборів станом на останній звітний період не виявлено.</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13. За надання дозволу без проведення аукціону справляється збір у розмірі, який розраховується виходячи з початкової ціни продажу такого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(Офіційний вісник України, 2004 р., № 42, ст. 2772; 2006 р., № 45, ст. 3014).</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Суб'єкт господарювання повинен сплатити у повному обсязі збір за надання, продовження строку дії дозволу, а також у разі збільшення запасів корисних копалин під час внесення змін до дозволу - вартість геологічної інформації (відповідно до Положення про порядок розпорядження геологічною інформацією, затвердженого постановою Кабінету Міністрів України від 13 червня 1995 р. № 423 (ЗП України, 1995 р., № 8, ст. 220) протягом 45 календарних днів з дати відправлення повідомлення про прийняття рішення про надання дозволу, продовження строку дії або внесення змін до дозволу у разі збільшення запасів корисних копалин.</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У разі несплати в установлений строк збору за надання, продовження строку дії дозволу, а також у разі збільшення запасів корисних копалин під час внесення змін до дозволу - вартості геологічної інформації (у разі її придбання) суб’єкт господарювання, щодо якого прийнято рішення про надання дозволу відповідно до пункту 8 цього Порядку, про продовження строку дії дозволу, а також про внесення змін до дозволу у разі збільшення запасів корисних копалин, втрачає право на його отримання, а зазначене рішення скасовується. При цьому комісія з питань надрокористування, що утворена органом з надання дозволу відповідно до пункту 25 цього Порядку, може продовжити строк сплати збору за умови надання суб’єктом господарювання письмового клопотання про продовження строку сплати збору з обов’язковим зазначенням причини, але не більш як 30 календарних днів.</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 від 13 червня 1995 р. № 423 "Про затвердження Положення про порядок розпорядження геологічною інформацією" (ЗП України, 1995 р., № 8, ст. 220).</w:t>
            </w:r>
          </w:p>
        </w:tc>
        <w:tc>
          <w:tcPr>
            <w:tcW w:w="7648" w:type="dxa"/>
          </w:tcPr>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sz w:val="24"/>
                <w:szCs w:val="24"/>
              </w:rPr>
              <w:lastRenderedPageBreak/>
              <w:t>8.</w:t>
            </w:r>
            <w:r w:rsidRPr="004433A9">
              <w:rPr>
                <w:rFonts w:ascii="Times New Roman" w:hAnsi="Times New Roman" w:cs="Times New Roman"/>
                <w:b/>
                <w:sz w:val="24"/>
                <w:szCs w:val="24"/>
              </w:rPr>
              <w:t>…</w:t>
            </w:r>
          </w:p>
          <w:p w:rsidR="00D7277D" w:rsidRPr="004433A9" w:rsidRDefault="00D7277D" w:rsidP="004433A9">
            <w:pPr>
              <w:jc w:val="both"/>
              <w:rPr>
                <w:rFonts w:ascii="Times New Roman" w:hAnsi="Times New Roman" w:cs="Times New Roman"/>
                <w:b/>
                <w:strike/>
                <w:sz w:val="24"/>
                <w:szCs w:val="24"/>
              </w:rPr>
            </w:pPr>
            <w:r w:rsidRPr="004433A9">
              <w:rPr>
                <w:rFonts w:ascii="Times New Roman" w:hAnsi="Times New Roman" w:cs="Times New Roman"/>
                <w:b/>
                <w:strike/>
                <w:sz w:val="24"/>
                <w:szCs w:val="24"/>
              </w:rPr>
              <w:t>Органом з питань надання дозволу надсилається запит правоохоронним органам та суб’єктам фінансового моніторингу про розгляд документів заявника для виявлення суб’єктів господарювання, що здійснюють фінансування тероризму в Україні.</w:t>
            </w:r>
          </w:p>
          <w:p w:rsidR="00D7277D" w:rsidRPr="004433A9" w:rsidRDefault="00D7277D" w:rsidP="004433A9">
            <w:pPr>
              <w:jc w:val="both"/>
              <w:rPr>
                <w:rFonts w:ascii="Times New Roman" w:hAnsi="Times New Roman" w:cs="Times New Roman"/>
                <w:b/>
                <w:strike/>
                <w:sz w:val="24"/>
                <w:szCs w:val="24"/>
              </w:rPr>
            </w:pPr>
            <w:r w:rsidRPr="004433A9">
              <w:rPr>
                <w:rFonts w:ascii="Times New Roman" w:hAnsi="Times New Roman" w:cs="Times New Roman"/>
                <w:b/>
                <w:strike/>
                <w:sz w:val="24"/>
                <w:szCs w:val="24"/>
              </w:rPr>
              <w:t>У разі ненадання правоохоронними органами та суб’єктами фінансового моніторингу відповіді на запит протягом 30-денного строку вважається, що за результатами розгляду документів заявника не виявлено суб’єктів господарювання, що здійснюють фінансування тероризму в Україні.</w:t>
            </w:r>
          </w:p>
          <w:p w:rsidR="00D7277D" w:rsidRPr="004433A9" w:rsidRDefault="00D7277D" w:rsidP="004433A9">
            <w:pPr>
              <w:jc w:val="both"/>
              <w:rPr>
                <w:rFonts w:ascii="Times New Roman" w:hAnsi="Times New Roman" w:cs="Times New Roman"/>
                <w:b/>
                <w:sz w:val="24"/>
                <w:szCs w:val="24"/>
              </w:rPr>
            </w:pPr>
          </w:p>
          <w:p w:rsidR="00D7277D" w:rsidRPr="004433A9" w:rsidRDefault="00D7277D" w:rsidP="004433A9">
            <w:pPr>
              <w:jc w:val="both"/>
              <w:rPr>
                <w:rFonts w:ascii="Times New Roman" w:hAnsi="Times New Roman" w:cs="Times New Roman"/>
                <w:strike/>
                <w:sz w:val="24"/>
                <w:szCs w:val="24"/>
              </w:rPr>
            </w:pPr>
            <w:r w:rsidRPr="004433A9">
              <w:rPr>
                <w:rFonts w:ascii="Times New Roman" w:hAnsi="Times New Roman" w:cs="Times New Roman"/>
                <w:sz w:val="24"/>
                <w:szCs w:val="24"/>
              </w:rPr>
              <w:lastRenderedPageBreak/>
              <w:t>Крім того, органом з питань надання дозволу надсилається запит органам ДФС щодо перевірки факту наявності у заявника боргу із сплати</w:t>
            </w:r>
            <w:r w:rsidRPr="004433A9">
              <w:rPr>
                <w:rFonts w:ascii="Times New Roman" w:hAnsi="Times New Roman" w:cs="Times New Roman"/>
                <w:strike/>
                <w:sz w:val="24"/>
                <w:szCs w:val="24"/>
              </w:rPr>
              <w:t xml:space="preserve"> </w:t>
            </w:r>
            <w:r w:rsidRPr="004433A9">
              <w:rPr>
                <w:rFonts w:ascii="Times New Roman" w:hAnsi="Times New Roman" w:cs="Times New Roman"/>
                <w:b/>
                <w:sz w:val="24"/>
                <w:szCs w:val="24"/>
              </w:rPr>
              <w:t>плати за користування надрами</w:t>
            </w:r>
            <w:r w:rsidRPr="004433A9">
              <w:rPr>
                <w:rFonts w:ascii="Times New Roman" w:hAnsi="Times New Roman" w:cs="Times New Roman"/>
                <w:sz w:val="24"/>
                <w:szCs w:val="24"/>
              </w:rPr>
              <w:t xml:space="preserve"> станом на останній звітний період.</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У разі ненадання органами ДФС відповіді на запит протягом 30-денного строку вважається, що факту наявності у заявника боргу із сплати </w:t>
            </w:r>
            <w:r w:rsidRPr="004433A9">
              <w:rPr>
                <w:rFonts w:ascii="Times New Roman" w:hAnsi="Times New Roman" w:cs="Times New Roman"/>
                <w:b/>
                <w:sz w:val="24"/>
                <w:szCs w:val="24"/>
              </w:rPr>
              <w:t>плати за користування надрами</w:t>
            </w:r>
            <w:r w:rsidRPr="004433A9">
              <w:rPr>
                <w:rFonts w:ascii="Times New Roman" w:hAnsi="Times New Roman" w:cs="Times New Roman"/>
                <w:sz w:val="24"/>
                <w:szCs w:val="24"/>
              </w:rPr>
              <w:t xml:space="preserve"> станом на останній звітний період не виявлено.</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13. За надання дозволу без проведення аукціону справляється збір у розмірі, який розраховується виходячи з початкової ціни продажу такого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(Офіційний вісник України, 2004 р., № 42, ст. 2772; 2006 р., № 45, ст. 3014).</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За надання дозволів без проведення аукціону з метою виконання угод про розподіл продукції справляється збір у розмірі 1 відсотка початкової ціни продажу такого дозволу на аукціоні.</w:t>
            </w: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sz w:val="24"/>
                <w:szCs w:val="24"/>
              </w:rPr>
              <w:t xml:space="preserve">Суб'єкт господарювання повинен сплатити у повному обсязі збір за надання, продовження строку дії дозволу, </w:t>
            </w:r>
            <w:r w:rsidRPr="004433A9">
              <w:rPr>
                <w:rFonts w:ascii="Times New Roman" w:hAnsi="Times New Roman" w:cs="Times New Roman"/>
                <w:b/>
                <w:strike/>
                <w:sz w:val="24"/>
                <w:szCs w:val="24"/>
              </w:rPr>
              <w:t>а також у разі збільшення запасів корисних копалин під час внесення змін до дозволу - вартість геологічної інформації (відповідно до Положення про порядок розпорядження геологічною інформацією, затвердженого постановою Кабінету Міністрів України від 13 червня 1995 р. № 423 (ЗП України, 1995 р., № 8, ст. 220)</w:t>
            </w:r>
            <w:r w:rsidRPr="004433A9">
              <w:rPr>
                <w:rFonts w:ascii="Times New Roman" w:hAnsi="Times New Roman" w:cs="Times New Roman"/>
                <w:sz w:val="24"/>
                <w:szCs w:val="24"/>
              </w:rPr>
              <w:t xml:space="preserve"> протягом 45 календарних днів з дати відправлення повідомлення про прийняття рішення про надання дозволу, продовження строку дії. </w:t>
            </w:r>
            <w:r w:rsidRPr="004433A9">
              <w:rPr>
                <w:rFonts w:ascii="Times New Roman" w:hAnsi="Times New Roman" w:cs="Times New Roman"/>
                <w:b/>
                <w:strike/>
                <w:sz w:val="24"/>
                <w:szCs w:val="24"/>
              </w:rPr>
              <w:t>або внесення змін до дозволу у разі збільшення запасів корисних копалин</w:t>
            </w:r>
            <w:r w:rsidRPr="004433A9">
              <w:rPr>
                <w:rFonts w:ascii="Times New Roman" w:hAnsi="Times New Roman" w:cs="Times New Roman"/>
                <w:b/>
                <w:sz w:val="24"/>
                <w:szCs w:val="24"/>
              </w:rPr>
              <w:t>.</w:t>
            </w:r>
          </w:p>
          <w:p w:rsidR="00D7277D" w:rsidRPr="004433A9" w:rsidRDefault="00D7277D" w:rsidP="004433A9">
            <w:pPr>
              <w:jc w:val="both"/>
              <w:rPr>
                <w:rFonts w:ascii="Times New Roman" w:hAnsi="Times New Roman" w:cs="Times New Roman"/>
                <w:sz w:val="24"/>
                <w:szCs w:val="24"/>
              </w:rPr>
            </w:pP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lastRenderedPageBreak/>
              <w:t xml:space="preserve">У разі несплати в установлений строк збору за надання, продовження строку дії дозволу, </w:t>
            </w:r>
            <w:r w:rsidRPr="004433A9">
              <w:rPr>
                <w:rFonts w:ascii="Times New Roman" w:hAnsi="Times New Roman" w:cs="Times New Roman"/>
                <w:b/>
                <w:strike/>
                <w:sz w:val="24"/>
                <w:szCs w:val="24"/>
              </w:rPr>
              <w:t>а також у разі збільшення запасів корисних копалин під час внесення змін до дозволу - вартості геологічної інформації (у разі її придбання)</w:t>
            </w:r>
            <w:r w:rsidRPr="004433A9">
              <w:rPr>
                <w:rFonts w:ascii="Times New Roman" w:hAnsi="Times New Roman" w:cs="Times New Roman"/>
                <w:sz w:val="24"/>
                <w:szCs w:val="24"/>
              </w:rPr>
              <w:t xml:space="preserve"> суб’єкт господарювання, щодо якого прийнято рішення про надання дозволу відповідно до пункту 8 цього Порядку, про продовження строку дії дозволу, </w:t>
            </w:r>
            <w:r w:rsidRPr="004433A9">
              <w:rPr>
                <w:rFonts w:ascii="Times New Roman" w:hAnsi="Times New Roman" w:cs="Times New Roman"/>
                <w:b/>
                <w:strike/>
                <w:sz w:val="24"/>
                <w:szCs w:val="24"/>
              </w:rPr>
              <w:t>а також про внесення змін до дозволу у разі збільшення запасів корисних копалин,</w:t>
            </w:r>
            <w:r w:rsidRPr="004433A9">
              <w:rPr>
                <w:rFonts w:ascii="Times New Roman" w:hAnsi="Times New Roman" w:cs="Times New Roman"/>
                <w:sz w:val="24"/>
                <w:szCs w:val="24"/>
              </w:rPr>
              <w:t xml:space="preserve"> втрачає право на його отримання, а зазначене рішення скасовується. При цьому комісія з питань надрокористування, що утворена органом з надання дозволу відповідно до пункту 25 цього Порядку, може продовжити строк сплати збору за умови надання суб’єктом господарювання письмового клопотання про продовження строку сплати збору з обов’язковим зазначенням причини, але не більш як 30 календарних днів.</w:t>
            </w:r>
          </w:p>
          <w:p w:rsidR="00D7277D" w:rsidRPr="004433A9" w:rsidRDefault="00D7277D" w:rsidP="004433A9">
            <w:pPr>
              <w:jc w:val="both"/>
              <w:rPr>
                <w:rFonts w:ascii="Times New Roman" w:hAnsi="Times New Roman" w:cs="Times New Roman"/>
                <w:b/>
                <w:sz w:val="24"/>
                <w:szCs w:val="24"/>
              </w:rPr>
            </w:pPr>
            <w:r w:rsidRPr="004433A9">
              <w:rPr>
                <w:rFonts w:ascii="Times New Roman" w:hAnsi="Times New Roman" w:cs="Times New Roman"/>
                <w:b/>
                <w:sz w:val="24"/>
                <w:szCs w:val="24"/>
              </w:rPr>
              <w:t>У разі потреби переможець має право на придбання геологічної інформації про ділянку надр, яка надається в користування.</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Придбання геологічної інформації про ділянку надр, яка надається суб'єкту господарювання в користування, здійснюється в порядку, визначеному постановою Кабінету Міністрів України від 13 червня 1995 р. № 423 "Про затвердження Положення про порядок розпорядження геологічною інформацією" (ЗП України, 1995 р., № 8, ст. 220). </w:t>
            </w:r>
          </w:p>
        </w:tc>
      </w:tr>
      <w:tr w:rsidR="00D7277D" w:rsidRPr="004433A9" w:rsidTr="004433A9">
        <w:tc>
          <w:tcPr>
            <w:tcW w:w="7648" w:type="dxa"/>
          </w:tcPr>
          <w:p w:rsidR="00D7277D" w:rsidRPr="004433A9" w:rsidRDefault="00D7277D" w:rsidP="004433A9">
            <w:pPr>
              <w:rPr>
                <w:rFonts w:ascii="Times New Roman" w:eastAsia="Times New Roman" w:hAnsi="Times New Roman" w:cs="Times New Roman"/>
                <w:sz w:val="24"/>
                <w:szCs w:val="24"/>
              </w:rPr>
            </w:pPr>
            <w:r w:rsidRPr="004433A9">
              <w:rPr>
                <w:rFonts w:ascii="Times New Roman" w:hAnsi="Times New Roman" w:cs="Times New Roman"/>
                <w:sz w:val="24"/>
                <w:szCs w:val="24"/>
              </w:rPr>
              <w:lastRenderedPageBreak/>
              <w:t xml:space="preserve">19. </w:t>
            </w:r>
            <w:r w:rsidRPr="004433A9">
              <w:rPr>
                <w:rFonts w:ascii="Times New Roman" w:eastAsia="Times New Roman" w:hAnsi="Times New Roman" w:cs="Times New Roman"/>
                <w:color w:val="000000"/>
                <w:sz w:val="24"/>
                <w:szCs w:val="24"/>
                <w:shd w:val="clear" w:color="auto" w:fill="FFFFFF"/>
              </w:rPr>
              <w:t>Підставами для прийняття рішення про відмову в наданні дозволу є:</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D7277D" w:rsidRPr="004433A9" w:rsidRDefault="00D7277D" w:rsidP="004433A9">
            <w:pPr>
              <w:jc w:val="both"/>
              <w:rPr>
                <w:rFonts w:ascii="Times New Roman" w:hAnsi="Times New Roman" w:cs="Times New Roman"/>
                <w:sz w:val="24"/>
                <w:szCs w:val="24"/>
              </w:rPr>
            </w:pPr>
            <w:bookmarkStart w:id="13" w:name="n390"/>
            <w:bookmarkEnd w:id="13"/>
            <w:r w:rsidRPr="004433A9">
              <w:rPr>
                <w:rFonts w:ascii="Times New Roman" w:hAnsi="Times New Roman" w:cs="Times New Roman"/>
                <w:sz w:val="24"/>
                <w:szCs w:val="24"/>
              </w:rPr>
              <w:t>наявність у заявника боргу із сплати загальнодержавних податків та зборів станом на останній звітний період;</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w:t>
            </w:r>
          </w:p>
        </w:tc>
        <w:tc>
          <w:tcPr>
            <w:tcW w:w="7648" w:type="dxa"/>
          </w:tcPr>
          <w:p w:rsidR="00D7277D" w:rsidRPr="004433A9" w:rsidRDefault="00D7277D" w:rsidP="004433A9">
            <w:pPr>
              <w:rPr>
                <w:rFonts w:ascii="Times New Roman" w:eastAsia="Times New Roman" w:hAnsi="Times New Roman" w:cs="Times New Roman"/>
                <w:sz w:val="24"/>
                <w:szCs w:val="24"/>
              </w:rPr>
            </w:pPr>
            <w:r w:rsidRPr="004433A9">
              <w:rPr>
                <w:rFonts w:ascii="Times New Roman" w:hAnsi="Times New Roman" w:cs="Times New Roman"/>
                <w:sz w:val="24"/>
                <w:szCs w:val="24"/>
              </w:rPr>
              <w:t xml:space="preserve">19. </w:t>
            </w:r>
            <w:r w:rsidRPr="004433A9">
              <w:rPr>
                <w:rFonts w:ascii="Times New Roman" w:eastAsia="Times New Roman" w:hAnsi="Times New Roman" w:cs="Times New Roman"/>
                <w:color w:val="000000"/>
                <w:sz w:val="24"/>
                <w:szCs w:val="24"/>
                <w:shd w:val="clear" w:color="auto" w:fill="FFFFFF"/>
              </w:rPr>
              <w:t>Підставами для прийняття рішення про відмову в наданні дозволу є:</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w:t>
            </w:r>
          </w:p>
          <w:p w:rsidR="00D7277D" w:rsidRPr="004433A9" w:rsidRDefault="00D7277D" w:rsidP="004433A9">
            <w:pPr>
              <w:jc w:val="both"/>
              <w:rPr>
                <w:rFonts w:ascii="Times New Roman" w:hAnsi="Times New Roman" w:cs="Times New Roman"/>
                <w:b/>
                <w:strike/>
                <w:sz w:val="24"/>
                <w:szCs w:val="24"/>
              </w:rPr>
            </w:pPr>
            <w:r w:rsidRPr="004433A9">
              <w:rPr>
                <w:rFonts w:ascii="Times New Roman" w:hAnsi="Times New Roman" w:cs="Times New Roman"/>
                <w:b/>
                <w:strike/>
                <w:sz w:val="24"/>
                <w:szCs w:val="24"/>
              </w:rPr>
              <w:t>наявність інформації від правоохоронних органів та суб’єктів фінансового моніторингу, що заявник здійснює фінансування тероризму в Україні;</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 xml:space="preserve">наявність у заявника боргу із сплати </w:t>
            </w:r>
            <w:r w:rsidRPr="004433A9">
              <w:rPr>
                <w:rFonts w:ascii="Times New Roman" w:hAnsi="Times New Roman" w:cs="Times New Roman"/>
                <w:b/>
                <w:sz w:val="24"/>
                <w:szCs w:val="24"/>
              </w:rPr>
              <w:t>плати за користування надрами</w:t>
            </w:r>
            <w:r w:rsidRPr="004433A9">
              <w:rPr>
                <w:rFonts w:ascii="Times New Roman" w:hAnsi="Times New Roman" w:cs="Times New Roman"/>
                <w:sz w:val="24"/>
                <w:szCs w:val="24"/>
              </w:rPr>
              <w:t xml:space="preserve"> станом на останній звітний період;</w:t>
            </w:r>
          </w:p>
          <w:p w:rsidR="00D7277D" w:rsidRPr="004433A9" w:rsidRDefault="00D7277D" w:rsidP="004433A9">
            <w:pPr>
              <w:jc w:val="both"/>
              <w:rPr>
                <w:rFonts w:ascii="Times New Roman" w:hAnsi="Times New Roman" w:cs="Times New Roman"/>
                <w:sz w:val="24"/>
                <w:szCs w:val="24"/>
              </w:rPr>
            </w:pPr>
            <w:r w:rsidRPr="004433A9">
              <w:rPr>
                <w:rFonts w:ascii="Times New Roman" w:hAnsi="Times New Roman" w:cs="Times New Roman"/>
                <w:sz w:val="24"/>
                <w:szCs w:val="24"/>
              </w:rPr>
              <w:t>…</w:t>
            </w:r>
          </w:p>
        </w:tc>
      </w:tr>
      <w:tr w:rsidR="00D7277D" w:rsidRPr="004433A9" w:rsidTr="004433A9">
        <w:tc>
          <w:tcPr>
            <w:tcW w:w="7648" w:type="dxa"/>
          </w:tcPr>
          <w:p w:rsidR="00D7277D" w:rsidRPr="004433A9" w:rsidRDefault="00D7277D" w:rsidP="004433A9">
            <w:pPr>
              <w:jc w:val="both"/>
              <w:rPr>
                <w:rFonts w:ascii="Times New Roman" w:eastAsia="Times New Roman" w:hAnsi="Times New Roman" w:cs="Times New Roman"/>
                <w:sz w:val="24"/>
                <w:szCs w:val="24"/>
              </w:rPr>
            </w:pPr>
            <w:r w:rsidRPr="004433A9">
              <w:rPr>
                <w:rFonts w:ascii="Times New Roman" w:eastAsia="Times New Roman" w:hAnsi="Times New Roman" w:cs="Times New Roman"/>
                <w:color w:val="000000"/>
                <w:sz w:val="24"/>
                <w:szCs w:val="24"/>
                <w:shd w:val="clear" w:color="auto" w:fill="FFFFFF"/>
              </w:rPr>
              <w:t xml:space="preserve">22. Дія дозволу може бути зупинена органом з питань надання дозволу безпосередньо або за поданням центральних органів виконавчої влади, що реалізують державну політику у сфері здійснення державного </w:t>
            </w:r>
            <w:r w:rsidRPr="004433A9">
              <w:rPr>
                <w:rFonts w:ascii="Times New Roman" w:eastAsia="Times New Roman" w:hAnsi="Times New Roman" w:cs="Times New Roman"/>
                <w:color w:val="000000"/>
                <w:sz w:val="24"/>
                <w:szCs w:val="24"/>
                <w:shd w:val="clear" w:color="auto" w:fill="FFFFFF"/>
              </w:rPr>
              <w:lastRenderedPageBreak/>
              <w:t>гірничого нагляду, епідеміологічного нагляду (спостереження), державного нагляду (контролю) за додержанням вимог законодавства у сфері охорони навколишнього природного середовища, органів місцевого самоврядування, органів ДФС у разі:</w:t>
            </w:r>
          </w:p>
          <w:p w:rsidR="00D7277D" w:rsidRPr="004433A9" w:rsidRDefault="00D7277D" w:rsidP="004433A9">
            <w:pPr>
              <w:jc w:val="both"/>
              <w:rPr>
                <w:rFonts w:ascii="Times New Roman" w:eastAsia="Times New Roman" w:hAnsi="Times New Roman" w:cs="Times New Roman"/>
                <w:color w:val="000000"/>
                <w:sz w:val="24"/>
                <w:szCs w:val="24"/>
                <w:shd w:val="clear" w:color="auto" w:fill="FFFFFF"/>
              </w:rPr>
            </w:pPr>
            <w:r w:rsidRPr="004433A9">
              <w:rPr>
                <w:rFonts w:ascii="Times New Roman" w:eastAsia="Times New Roman" w:hAnsi="Times New Roman" w:cs="Times New Roman"/>
                <w:color w:val="000000"/>
                <w:sz w:val="24"/>
                <w:szCs w:val="24"/>
                <w:shd w:val="clear" w:color="auto" w:fill="FFFFFF"/>
              </w:rPr>
              <w:t>…</w:t>
            </w:r>
          </w:p>
          <w:p w:rsidR="00D7277D" w:rsidRPr="004433A9" w:rsidRDefault="00D7277D" w:rsidP="004433A9">
            <w:pPr>
              <w:jc w:val="both"/>
              <w:rPr>
                <w:rFonts w:ascii="Times New Roman" w:eastAsia="Times New Roman" w:hAnsi="Times New Roman" w:cs="Times New Roman"/>
                <w:color w:val="000000"/>
                <w:sz w:val="24"/>
                <w:szCs w:val="24"/>
                <w:shd w:val="clear" w:color="auto" w:fill="FFFFFF"/>
              </w:rPr>
            </w:pPr>
            <w:r w:rsidRPr="004433A9">
              <w:rPr>
                <w:rFonts w:ascii="Times New Roman" w:eastAsia="Times New Roman" w:hAnsi="Times New Roman" w:cs="Times New Roman"/>
                <w:color w:val="000000"/>
                <w:sz w:val="24"/>
                <w:szCs w:val="24"/>
                <w:shd w:val="clear" w:color="auto" w:fill="FFFFFF"/>
              </w:rPr>
              <w:t>3) наявності заборгованості із сплати загальнодержавних податків та зборів;</w:t>
            </w:r>
          </w:p>
          <w:p w:rsidR="00D7277D" w:rsidRPr="004433A9" w:rsidRDefault="00D7277D" w:rsidP="004433A9">
            <w:pPr>
              <w:tabs>
                <w:tab w:val="left" w:pos="2260"/>
              </w:tabs>
              <w:rPr>
                <w:rFonts w:ascii="Times New Roman" w:eastAsia="Times New Roman" w:hAnsi="Times New Roman" w:cs="Times New Roman"/>
                <w:sz w:val="24"/>
                <w:szCs w:val="24"/>
              </w:rPr>
            </w:pPr>
            <w:r w:rsidRPr="004433A9">
              <w:rPr>
                <w:rFonts w:ascii="Times New Roman" w:eastAsia="Times New Roman" w:hAnsi="Times New Roman" w:cs="Times New Roman"/>
                <w:sz w:val="24"/>
                <w:szCs w:val="24"/>
              </w:rPr>
              <w:t>…</w:t>
            </w:r>
          </w:p>
        </w:tc>
        <w:tc>
          <w:tcPr>
            <w:tcW w:w="7648" w:type="dxa"/>
          </w:tcPr>
          <w:p w:rsidR="00D7277D" w:rsidRPr="004433A9" w:rsidRDefault="00D7277D" w:rsidP="004433A9">
            <w:pPr>
              <w:jc w:val="both"/>
              <w:rPr>
                <w:rFonts w:ascii="Times New Roman" w:eastAsia="Times New Roman" w:hAnsi="Times New Roman" w:cs="Times New Roman"/>
                <w:sz w:val="24"/>
                <w:szCs w:val="24"/>
              </w:rPr>
            </w:pPr>
            <w:r w:rsidRPr="004433A9">
              <w:rPr>
                <w:rFonts w:ascii="Times New Roman" w:eastAsia="Times New Roman" w:hAnsi="Times New Roman" w:cs="Times New Roman"/>
                <w:color w:val="000000"/>
                <w:sz w:val="24"/>
                <w:szCs w:val="24"/>
                <w:shd w:val="clear" w:color="auto" w:fill="FFFFFF"/>
              </w:rPr>
              <w:lastRenderedPageBreak/>
              <w:t xml:space="preserve">22. Дія дозволу може бути зупинена органом з питань надання дозволу безпосередньо або за поданням центральних органів виконавчої влади, що реалізують державну політику у сфері здійснення державного </w:t>
            </w:r>
            <w:r w:rsidRPr="004433A9">
              <w:rPr>
                <w:rFonts w:ascii="Times New Roman" w:eastAsia="Times New Roman" w:hAnsi="Times New Roman" w:cs="Times New Roman"/>
                <w:color w:val="000000"/>
                <w:sz w:val="24"/>
                <w:szCs w:val="24"/>
                <w:shd w:val="clear" w:color="auto" w:fill="FFFFFF"/>
              </w:rPr>
              <w:lastRenderedPageBreak/>
              <w:t>гірничого нагляду, епідеміологічного нагляду (спостереження), державного нагляду (контролю) за додержанням вимог законодавства у сфері охорони навколишнього природного середовища, органів місцевого самоврядування, органів ДФС у разі:</w:t>
            </w:r>
          </w:p>
          <w:p w:rsidR="00D7277D" w:rsidRPr="004433A9" w:rsidRDefault="00D7277D" w:rsidP="004433A9">
            <w:pPr>
              <w:jc w:val="both"/>
              <w:rPr>
                <w:rFonts w:ascii="Times New Roman" w:eastAsia="Times New Roman" w:hAnsi="Times New Roman" w:cs="Times New Roman"/>
                <w:color w:val="000000"/>
                <w:sz w:val="24"/>
                <w:szCs w:val="24"/>
                <w:shd w:val="clear" w:color="auto" w:fill="FFFFFF"/>
              </w:rPr>
            </w:pPr>
            <w:r w:rsidRPr="004433A9">
              <w:rPr>
                <w:rFonts w:ascii="Times New Roman" w:eastAsia="Times New Roman" w:hAnsi="Times New Roman" w:cs="Times New Roman"/>
                <w:color w:val="000000"/>
                <w:sz w:val="24"/>
                <w:szCs w:val="24"/>
                <w:shd w:val="clear" w:color="auto" w:fill="FFFFFF"/>
              </w:rPr>
              <w:t>…</w:t>
            </w:r>
          </w:p>
          <w:p w:rsidR="00D7277D" w:rsidRPr="004433A9" w:rsidRDefault="00D7277D" w:rsidP="004433A9">
            <w:pPr>
              <w:jc w:val="both"/>
              <w:rPr>
                <w:rFonts w:ascii="Times New Roman" w:eastAsia="Times New Roman" w:hAnsi="Times New Roman" w:cs="Times New Roman"/>
                <w:color w:val="000000"/>
                <w:sz w:val="24"/>
                <w:szCs w:val="24"/>
                <w:shd w:val="clear" w:color="auto" w:fill="FFFFFF"/>
              </w:rPr>
            </w:pPr>
            <w:r w:rsidRPr="004433A9">
              <w:rPr>
                <w:rFonts w:ascii="Times New Roman" w:eastAsia="Times New Roman" w:hAnsi="Times New Roman" w:cs="Times New Roman"/>
                <w:color w:val="000000"/>
                <w:sz w:val="24"/>
                <w:szCs w:val="24"/>
                <w:shd w:val="clear" w:color="auto" w:fill="FFFFFF"/>
              </w:rPr>
              <w:t xml:space="preserve">3) наявності заборгованості із сплати </w:t>
            </w:r>
            <w:r w:rsidRPr="004433A9">
              <w:rPr>
                <w:rFonts w:ascii="Times New Roman" w:eastAsia="Times New Roman" w:hAnsi="Times New Roman" w:cs="Times New Roman"/>
                <w:b/>
                <w:color w:val="000000"/>
                <w:sz w:val="24"/>
                <w:szCs w:val="24"/>
                <w:shd w:val="clear" w:color="auto" w:fill="FFFFFF"/>
              </w:rPr>
              <w:t>плати за користування надрами</w:t>
            </w:r>
            <w:r w:rsidRPr="004433A9">
              <w:rPr>
                <w:rFonts w:ascii="Times New Roman" w:eastAsia="Times New Roman" w:hAnsi="Times New Roman" w:cs="Times New Roman"/>
                <w:color w:val="000000"/>
                <w:sz w:val="24"/>
                <w:szCs w:val="24"/>
                <w:shd w:val="clear" w:color="auto" w:fill="FFFFFF"/>
              </w:rPr>
              <w:t>;</w:t>
            </w:r>
          </w:p>
          <w:p w:rsidR="00D7277D" w:rsidRPr="004433A9" w:rsidRDefault="00D7277D" w:rsidP="004433A9">
            <w:pPr>
              <w:tabs>
                <w:tab w:val="left" w:pos="2260"/>
              </w:tabs>
              <w:rPr>
                <w:rFonts w:ascii="Times New Roman" w:eastAsia="Times New Roman" w:hAnsi="Times New Roman" w:cs="Times New Roman"/>
                <w:sz w:val="24"/>
                <w:szCs w:val="24"/>
              </w:rPr>
            </w:pPr>
            <w:r w:rsidRPr="004433A9">
              <w:rPr>
                <w:rFonts w:ascii="Times New Roman" w:eastAsia="Times New Roman" w:hAnsi="Times New Roman" w:cs="Times New Roman"/>
                <w:sz w:val="24"/>
                <w:szCs w:val="24"/>
              </w:rPr>
              <w:t>…</w:t>
            </w:r>
          </w:p>
        </w:tc>
      </w:tr>
      <w:tr w:rsidR="00D7277D" w:rsidRPr="004433A9" w:rsidTr="004433A9">
        <w:tc>
          <w:tcPr>
            <w:tcW w:w="15296" w:type="dxa"/>
            <w:gridSpan w:val="2"/>
          </w:tcPr>
          <w:p w:rsidR="00D7277D" w:rsidRPr="004433A9" w:rsidRDefault="00D7277D" w:rsidP="004433A9">
            <w:pPr>
              <w:jc w:val="center"/>
              <w:rPr>
                <w:rFonts w:ascii="Times New Roman" w:hAnsi="Times New Roman" w:cs="Times New Roman"/>
                <w:b/>
                <w:sz w:val="24"/>
                <w:szCs w:val="24"/>
              </w:rPr>
            </w:pPr>
            <w:r w:rsidRPr="004433A9">
              <w:rPr>
                <w:rFonts w:ascii="Times New Roman" w:hAnsi="Times New Roman" w:cs="Times New Roman"/>
                <w:b/>
                <w:sz w:val="24"/>
                <w:szCs w:val="24"/>
              </w:rPr>
              <w:lastRenderedPageBreak/>
              <w:t>Розмір збору за продовження строку дії спеціальних дозволів на користування надрами</w:t>
            </w:r>
          </w:p>
          <w:p w:rsidR="00D7277D" w:rsidRPr="004433A9" w:rsidRDefault="00D7277D" w:rsidP="004433A9">
            <w:pPr>
              <w:jc w:val="center"/>
              <w:rPr>
                <w:rFonts w:ascii="Times New Roman" w:hAnsi="Times New Roman" w:cs="Times New Roman"/>
                <w:sz w:val="24"/>
                <w:szCs w:val="24"/>
              </w:rPr>
            </w:pPr>
            <w:r w:rsidRPr="004433A9">
              <w:rPr>
                <w:rFonts w:ascii="Times New Roman" w:hAnsi="Times New Roman" w:cs="Times New Roman"/>
                <w:sz w:val="24"/>
                <w:szCs w:val="24"/>
              </w:rPr>
              <w:t>Додаток 2 до Постанови Кабінету Міністрів України від 30 травня 2011 р. №615</w:t>
            </w:r>
          </w:p>
        </w:tc>
      </w:tr>
      <w:tr w:rsidR="00D7277D" w:rsidRPr="004433A9" w:rsidTr="004433A9">
        <w:tc>
          <w:tcPr>
            <w:tcW w:w="7648" w:type="dxa"/>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9"/>
              <w:gridCol w:w="2537"/>
              <w:gridCol w:w="2260"/>
            </w:tblGrid>
            <w:tr w:rsidR="00D7277D" w:rsidRPr="004433A9" w:rsidTr="005A4035">
              <w:tc>
                <w:tcPr>
                  <w:tcW w:w="6840" w:type="dxa"/>
                  <w:vMerge w:val="restart"/>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Вид</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користування</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надрами</w:t>
                  </w:r>
                  <w:proofErr w:type="spellEnd"/>
                  <w:r w:rsidRPr="004433A9">
                    <w:rPr>
                      <w:rFonts w:ascii="Times New Roman" w:hAnsi="Times New Roman" w:cs="Times New Roman"/>
                      <w:color w:val="000000"/>
                      <w:sz w:val="24"/>
                      <w:szCs w:val="24"/>
                    </w:rPr>
                    <w:t> </w:t>
                  </w:r>
                </w:p>
              </w:tc>
              <w:tc>
                <w:tcPr>
                  <w:tcW w:w="5500" w:type="dxa"/>
                  <w:gridSpan w:val="2"/>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Розмір</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збору</w:t>
                  </w:r>
                  <w:proofErr w:type="spellEnd"/>
                  <w:r w:rsidRPr="004433A9">
                    <w:rPr>
                      <w:rFonts w:ascii="Times New Roman" w:hAnsi="Times New Roman" w:cs="Times New Roman"/>
                      <w:color w:val="000000"/>
                      <w:sz w:val="24"/>
                      <w:szCs w:val="24"/>
                    </w:rPr>
                    <w:t> </w:t>
                  </w:r>
                </w:p>
              </w:tc>
            </w:tr>
            <w:tr w:rsidR="00D7277D" w:rsidRPr="004433A9" w:rsidTr="005A4035">
              <w:trPr>
                <w:trHeight w:val="1658"/>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D7277D" w:rsidRPr="004433A9" w:rsidRDefault="00D7277D" w:rsidP="004433A9">
                  <w:pPr>
                    <w:framePr w:hSpace="180" w:wrap="around" w:vAnchor="text" w:hAnchor="text" w:xAlign="center" w:y="1"/>
                    <w:suppressOverlap/>
                    <w:rPr>
                      <w:rFonts w:ascii="Times New Roman" w:hAnsi="Times New Roman" w:cs="Times New Roman"/>
                      <w:color w:val="000000"/>
                      <w:sz w:val="24"/>
                      <w:szCs w:val="24"/>
                    </w:rPr>
                  </w:pPr>
                </w:p>
              </w:tc>
              <w:tc>
                <w:tcPr>
                  <w:tcW w:w="4360" w:type="dxa"/>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неоподатковуваних</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мінімумів</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доходів</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громадян</w:t>
                  </w:r>
                  <w:proofErr w:type="spellEnd"/>
                  <w:r w:rsidRPr="004433A9">
                    <w:rPr>
                      <w:rFonts w:ascii="Times New Roman" w:hAnsi="Times New Roman" w:cs="Times New Roman"/>
                      <w:color w:val="000000"/>
                      <w:sz w:val="24"/>
                      <w:szCs w:val="24"/>
                    </w:rPr>
                    <w:t> </w:t>
                  </w:r>
                </w:p>
              </w:tc>
              <w:tc>
                <w:tcPr>
                  <w:tcW w:w="5360" w:type="dxa"/>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lang w:val="ru-RU"/>
                    </w:rPr>
                  </w:pPr>
                  <w:r w:rsidRPr="004433A9">
                    <w:rPr>
                      <w:rFonts w:ascii="Times New Roman" w:hAnsi="Times New Roman" w:cs="Times New Roman"/>
                      <w:color w:val="000000"/>
                      <w:sz w:val="24"/>
                      <w:szCs w:val="24"/>
                      <w:lang w:val="ru-RU"/>
                    </w:rPr>
                    <w:t>відсотків початкової ціни продажу дозволу на аукціоні (на дату подання заяви про продовження строку дії дозволу)</w:t>
                  </w:r>
                </w:p>
              </w:tc>
            </w:tr>
          </w:tbl>
          <w:p w:rsidR="00D7277D" w:rsidRPr="004433A9" w:rsidRDefault="00D7277D" w:rsidP="004433A9">
            <w:pPr>
              <w:rPr>
                <w:rFonts w:ascii="Times New Roman" w:hAnsi="Times New Roman" w:cs="Times New Roman"/>
                <w:sz w:val="24"/>
                <w:szCs w:val="24"/>
              </w:rPr>
            </w:pPr>
            <w:r w:rsidRPr="004433A9">
              <w:rPr>
                <w:rFonts w:ascii="Times New Roman" w:hAnsi="Times New Roman" w:cs="Times New Roman"/>
                <w:sz w:val="24"/>
                <w:szCs w:val="24"/>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2"/>
              <w:gridCol w:w="1397"/>
              <w:gridCol w:w="2963"/>
            </w:tblGrid>
            <w:tr w:rsidR="00D7277D" w:rsidRPr="004433A9" w:rsidTr="005A4035">
              <w:tc>
                <w:tcPr>
                  <w:tcW w:w="3072"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Видобування</w:t>
                  </w:r>
                  <w:proofErr w:type="spellEnd"/>
                  <w:r w:rsidRPr="004433A9">
                    <w:rPr>
                      <w:rFonts w:ascii="Times New Roman" w:hAnsi="Times New Roman" w:cs="Times New Roman"/>
                      <w:color w:val="000000"/>
                      <w:sz w:val="24"/>
                      <w:szCs w:val="24"/>
                    </w:rPr>
                    <w:t> </w:t>
                  </w:r>
                </w:p>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p>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r w:rsidRPr="004433A9">
                    <w:rPr>
                      <w:rFonts w:ascii="Times New Roman" w:hAnsi="Times New Roman" w:cs="Times New Roman"/>
                      <w:color w:val="000000"/>
                      <w:sz w:val="24"/>
                      <w:szCs w:val="24"/>
                    </w:rPr>
                    <w:t>…</w:t>
                  </w:r>
                </w:p>
              </w:tc>
              <w:tc>
                <w:tcPr>
                  <w:tcW w:w="1397"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
              </w:tc>
              <w:tc>
                <w:tcPr>
                  <w:tcW w:w="2963"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ind w:left="653"/>
                    <w:suppressOverlap/>
                    <w:textAlignment w:val="baseline"/>
                    <w:rPr>
                      <w:rFonts w:ascii="Times New Roman" w:hAnsi="Times New Roman" w:cs="Times New Roman"/>
                      <w:color w:val="000000"/>
                      <w:sz w:val="24"/>
                      <w:szCs w:val="24"/>
                      <w:lang w:val="ru-RU"/>
                    </w:rPr>
                  </w:pPr>
                  <w:r w:rsidRPr="004433A9">
                    <w:rPr>
                      <w:rFonts w:ascii="Times New Roman" w:hAnsi="Times New Roman" w:cs="Times New Roman"/>
                      <w:color w:val="000000"/>
                      <w:sz w:val="24"/>
                      <w:szCs w:val="24"/>
                      <w:lang w:val="ru-RU"/>
                    </w:rPr>
                    <w:t>20 (від вартості наданого дозволу, але не менш як 40 неоподатковуваних мінімумів доходів громадян)</w:t>
                  </w:r>
                </w:p>
              </w:tc>
            </w:tr>
          </w:tbl>
          <w:p w:rsidR="00D7277D" w:rsidRPr="004433A9" w:rsidRDefault="00D7277D" w:rsidP="004433A9">
            <w:pPr>
              <w:jc w:val="both"/>
              <w:rPr>
                <w:rFonts w:ascii="Times New Roman" w:hAnsi="Times New Roman" w:cs="Times New Roman"/>
                <w:sz w:val="24"/>
                <w:szCs w:val="24"/>
              </w:rPr>
            </w:pPr>
          </w:p>
        </w:tc>
        <w:tc>
          <w:tcPr>
            <w:tcW w:w="7648" w:type="dxa"/>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9"/>
              <w:gridCol w:w="2537"/>
              <w:gridCol w:w="2260"/>
            </w:tblGrid>
            <w:tr w:rsidR="00D7277D" w:rsidRPr="004433A9" w:rsidTr="005A4035">
              <w:tc>
                <w:tcPr>
                  <w:tcW w:w="6840" w:type="dxa"/>
                  <w:vMerge w:val="restart"/>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Вид</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користування</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надрами</w:t>
                  </w:r>
                  <w:proofErr w:type="spellEnd"/>
                  <w:r w:rsidRPr="004433A9">
                    <w:rPr>
                      <w:rFonts w:ascii="Times New Roman" w:hAnsi="Times New Roman" w:cs="Times New Roman"/>
                      <w:color w:val="000000"/>
                      <w:sz w:val="24"/>
                      <w:szCs w:val="24"/>
                    </w:rPr>
                    <w:t> </w:t>
                  </w:r>
                </w:p>
              </w:tc>
              <w:tc>
                <w:tcPr>
                  <w:tcW w:w="5500" w:type="dxa"/>
                  <w:gridSpan w:val="2"/>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Розмір</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збору</w:t>
                  </w:r>
                  <w:proofErr w:type="spellEnd"/>
                  <w:r w:rsidRPr="004433A9">
                    <w:rPr>
                      <w:rFonts w:ascii="Times New Roman" w:hAnsi="Times New Roman" w:cs="Times New Roman"/>
                      <w:color w:val="000000"/>
                      <w:sz w:val="24"/>
                      <w:szCs w:val="24"/>
                    </w:rPr>
                    <w:t> </w:t>
                  </w:r>
                </w:p>
              </w:tc>
            </w:tr>
            <w:tr w:rsidR="00D7277D" w:rsidRPr="004433A9" w:rsidTr="005A4035">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D7277D" w:rsidRPr="004433A9" w:rsidRDefault="00D7277D" w:rsidP="004433A9">
                  <w:pPr>
                    <w:framePr w:hSpace="180" w:wrap="around" w:vAnchor="text" w:hAnchor="text" w:xAlign="center" w:y="1"/>
                    <w:suppressOverlap/>
                    <w:rPr>
                      <w:rFonts w:ascii="Times New Roman" w:hAnsi="Times New Roman" w:cs="Times New Roman"/>
                      <w:color w:val="000000"/>
                      <w:sz w:val="24"/>
                      <w:szCs w:val="24"/>
                    </w:rPr>
                  </w:pPr>
                </w:p>
              </w:tc>
              <w:tc>
                <w:tcPr>
                  <w:tcW w:w="4360" w:type="dxa"/>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неоподатковуваних</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мінімумів</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доходів</w:t>
                  </w:r>
                  <w:proofErr w:type="spellEnd"/>
                  <w:r w:rsidRPr="004433A9">
                    <w:rPr>
                      <w:rFonts w:ascii="Times New Roman" w:hAnsi="Times New Roman" w:cs="Times New Roman"/>
                      <w:color w:val="000000"/>
                      <w:sz w:val="24"/>
                      <w:szCs w:val="24"/>
                    </w:rPr>
                    <w:t xml:space="preserve"> </w:t>
                  </w:r>
                  <w:proofErr w:type="spellStart"/>
                  <w:r w:rsidRPr="004433A9">
                    <w:rPr>
                      <w:rFonts w:ascii="Times New Roman" w:hAnsi="Times New Roman" w:cs="Times New Roman"/>
                      <w:color w:val="000000"/>
                      <w:sz w:val="24"/>
                      <w:szCs w:val="24"/>
                    </w:rPr>
                    <w:t>громадян</w:t>
                  </w:r>
                  <w:proofErr w:type="spellEnd"/>
                  <w:r w:rsidRPr="004433A9">
                    <w:rPr>
                      <w:rFonts w:ascii="Times New Roman" w:hAnsi="Times New Roman" w:cs="Times New Roman"/>
                      <w:color w:val="000000"/>
                      <w:sz w:val="24"/>
                      <w:szCs w:val="24"/>
                    </w:rPr>
                    <w:t> </w:t>
                  </w:r>
                </w:p>
              </w:tc>
              <w:tc>
                <w:tcPr>
                  <w:tcW w:w="5360" w:type="dxa"/>
                  <w:tcBorders>
                    <w:top w:val="single" w:sz="6" w:space="0" w:color="000000"/>
                    <w:left w:val="single" w:sz="6" w:space="0" w:color="000000"/>
                    <w:bottom w:val="single" w:sz="6" w:space="0" w:color="000000"/>
                    <w:right w:val="single" w:sz="6" w:space="0" w:color="000000"/>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lang w:val="ru-RU"/>
                    </w:rPr>
                  </w:pPr>
                  <w:r w:rsidRPr="004433A9">
                    <w:rPr>
                      <w:rFonts w:ascii="Times New Roman" w:hAnsi="Times New Roman" w:cs="Times New Roman"/>
                      <w:color w:val="000000"/>
                      <w:sz w:val="24"/>
                      <w:szCs w:val="24"/>
                      <w:lang w:val="ru-RU"/>
                    </w:rPr>
                    <w:t>відсотків початкової ціни продажу дозволу на аукціоні (на дату подання заяви про продовження строку дії дозволу)</w:t>
                  </w:r>
                </w:p>
              </w:tc>
            </w:tr>
          </w:tbl>
          <w:p w:rsidR="00D7277D" w:rsidRPr="004433A9" w:rsidRDefault="00D7277D" w:rsidP="004433A9">
            <w:pPr>
              <w:rPr>
                <w:rFonts w:ascii="Times New Roman" w:hAnsi="Times New Roman" w:cs="Times New Roman"/>
                <w:sz w:val="24"/>
                <w:szCs w:val="24"/>
              </w:rPr>
            </w:pPr>
            <w:r w:rsidRPr="004433A9">
              <w:rPr>
                <w:rFonts w:ascii="Times New Roman" w:hAnsi="Times New Roman" w:cs="Times New Roman"/>
                <w:sz w:val="24"/>
                <w:szCs w:val="24"/>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2"/>
              <w:gridCol w:w="1397"/>
              <w:gridCol w:w="2963"/>
            </w:tblGrid>
            <w:tr w:rsidR="00D7277D" w:rsidRPr="004433A9" w:rsidTr="005A4035">
              <w:tc>
                <w:tcPr>
                  <w:tcW w:w="3072"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proofErr w:type="spellStart"/>
                  <w:r w:rsidRPr="004433A9">
                    <w:rPr>
                      <w:rFonts w:ascii="Times New Roman" w:hAnsi="Times New Roman" w:cs="Times New Roman"/>
                      <w:color w:val="000000"/>
                      <w:sz w:val="24"/>
                      <w:szCs w:val="24"/>
                    </w:rPr>
                    <w:t>Видобування</w:t>
                  </w:r>
                  <w:proofErr w:type="spellEnd"/>
                  <w:r w:rsidRPr="004433A9">
                    <w:rPr>
                      <w:rFonts w:ascii="Times New Roman" w:hAnsi="Times New Roman" w:cs="Times New Roman"/>
                      <w:color w:val="000000"/>
                      <w:sz w:val="24"/>
                      <w:szCs w:val="24"/>
                    </w:rPr>
                    <w:t> </w:t>
                  </w:r>
                </w:p>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p>
                <w:p w:rsidR="00D7277D" w:rsidRPr="004433A9" w:rsidRDefault="00D7277D" w:rsidP="004433A9">
                  <w:pPr>
                    <w:framePr w:hSpace="180" w:wrap="around" w:vAnchor="text" w:hAnchor="text" w:xAlign="center" w:y="1"/>
                    <w:spacing w:before="150" w:after="150"/>
                    <w:suppressOverlap/>
                    <w:textAlignment w:val="baseline"/>
                    <w:rPr>
                      <w:rFonts w:ascii="Times New Roman" w:hAnsi="Times New Roman" w:cs="Times New Roman"/>
                      <w:color w:val="000000"/>
                      <w:sz w:val="24"/>
                      <w:szCs w:val="24"/>
                    </w:rPr>
                  </w:pPr>
                  <w:r w:rsidRPr="004433A9">
                    <w:rPr>
                      <w:rFonts w:ascii="Times New Roman" w:hAnsi="Times New Roman" w:cs="Times New Roman"/>
                      <w:color w:val="000000"/>
                      <w:sz w:val="24"/>
                      <w:szCs w:val="24"/>
                    </w:rPr>
                    <w:t>…</w:t>
                  </w:r>
                </w:p>
              </w:tc>
              <w:tc>
                <w:tcPr>
                  <w:tcW w:w="1397"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suppressOverlap/>
                    <w:jc w:val="center"/>
                    <w:textAlignment w:val="baseline"/>
                    <w:rPr>
                      <w:rFonts w:ascii="Times New Roman" w:hAnsi="Times New Roman" w:cs="Times New Roman"/>
                      <w:color w:val="000000"/>
                      <w:sz w:val="24"/>
                      <w:szCs w:val="24"/>
                    </w:rPr>
                  </w:pPr>
                </w:p>
              </w:tc>
              <w:tc>
                <w:tcPr>
                  <w:tcW w:w="2963" w:type="dxa"/>
                  <w:tcBorders>
                    <w:top w:val="nil"/>
                    <w:left w:val="nil"/>
                    <w:bottom w:val="nil"/>
                    <w:right w:val="nil"/>
                  </w:tcBorders>
                  <w:hideMark/>
                </w:tcPr>
                <w:p w:rsidR="00D7277D" w:rsidRPr="004433A9" w:rsidRDefault="00D7277D" w:rsidP="004433A9">
                  <w:pPr>
                    <w:framePr w:hSpace="180" w:wrap="around" w:vAnchor="text" w:hAnchor="text" w:xAlign="center" w:y="1"/>
                    <w:spacing w:before="150" w:after="150"/>
                    <w:ind w:left="655"/>
                    <w:suppressOverlap/>
                    <w:textAlignment w:val="baseline"/>
                    <w:rPr>
                      <w:rFonts w:ascii="Times New Roman" w:hAnsi="Times New Roman" w:cs="Times New Roman"/>
                      <w:color w:val="000000"/>
                      <w:sz w:val="24"/>
                      <w:szCs w:val="24"/>
                      <w:lang w:val="ru-RU"/>
                    </w:rPr>
                  </w:pPr>
                  <w:r w:rsidRPr="004433A9">
                    <w:rPr>
                      <w:rFonts w:ascii="Times New Roman" w:hAnsi="Times New Roman" w:cs="Times New Roman"/>
                      <w:b/>
                      <w:color w:val="000000"/>
                      <w:sz w:val="24"/>
                      <w:szCs w:val="24"/>
                      <w:lang w:val="ru-RU"/>
                    </w:rPr>
                    <w:t>2</w:t>
                  </w:r>
                  <w:r w:rsidRPr="004433A9">
                    <w:rPr>
                      <w:rFonts w:ascii="Times New Roman" w:hAnsi="Times New Roman" w:cs="Times New Roman"/>
                      <w:color w:val="000000"/>
                      <w:sz w:val="24"/>
                      <w:szCs w:val="24"/>
                      <w:lang w:val="ru-RU"/>
                    </w:rPr>
                    <w:t xml:space="preserve"> (від вартості наданого дозволу, але не менш як 40 неоподатковуваних мінімумів доходів громадян)</w:t>
                  </w:r>
                </w:p>
              </w:tc>
            </w:tr>
          </w:tbl>
          <w:p w:rsidR="00D7277D" w:rsidRPr="004433A9" w:rsidRDefault="00D7277D" w:rsidP="004433A9">
            <w:pPr>
              <w:tabs>
                <w:tab w:val="left" w:pos="3060"/>
              </w:tabs>
              <w:jc w:val="both"/>
              <w:rPr>
                <w:rFonts w:ascii="Times New Roman" w:hAnsi="Times New Roman" w:cs="Times New Roman"/>
                <w:sz w:val="24"/>
                <w:szCs w:val="24"/>
              </w:rPr>
            </w:pPr>
          </w:p>
        </w:tc>
      </w:tr>
    </w:tbl>
    <w:p w:rsidR="00D7277D" w:rsidRPr="004433A9" w:rsidRDefault="00D7277D" w:rsidP="004433A9">
      <w:pPr>
        <w:rPr>
          <w:rFonts w:ascii="Times New Roman" w:hAnsi="Times New Roman" w:cs="Times New Roman"/>
          <w:sz w:val="24"/>
          <w:szCs w:val="24"/>
          <w:lang w:val="uk-UA"/>
        </w:rPr>
      </w:pPr>
      <w:bookmarkStart w:id="14" w:name="_GoBack"/>
      <w:bookmarkEnd w:id="14"/>
    </w:p>
    <w:sectPr w:rsidR="00D7277D" w:rsidRPr="004433A9" w:rsidSect="00D7277D">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567"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77D" w:rsidRDefault="00D7277D" w:rsidP="00D7277D">
      <w:pPr>
        <w:spacing w:after="0" w:line="240" w:lineRule="auto"/>
      </w:pPr>
      <w:r>
        <w:separator/>
      </w:r>
    </w:p>
  </w:endnote>
  <w:endnote w:type="continuationSeparator" w:id="0">
    <w:p w:rsidR="00D7277D" w:rsidRDefault="00D7277D" w:rsidP="00D7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A9" w:rsidRDefault="00443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72" w:rsidRPr="00843624" w:rsidRDefault="004433A9"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r>
      <w:rPr>
        <w:rFonts w:ascii="Arial" w:hAnsi="Arial" w:cs="Arial"/>
        <w:b/>
        <w:i/>
        <w:color w:val="404040"/>
        <w:sz w:val="16"/>
        <w:szCs w:val="16"/>
      </w:rPr>
      <w:t>_______________________________________________________</w:t>
    </w:r>
  </w:p>
  <w:p w:rsidR="00D33472" w:rsidRPr="00843624" w:rsidRDefault="004433A9" w:rsidP="00D33472">
    <w:pPr>
      <w:ind w:left="1560" w:hanging="1560"/>
      <w:jc w:val="both"/>
      <w:rPr>
        <w:rFonts w:ascii="Arial" w:hAnsi="Arial" w:cs="Arial"/>
        <w:i/>
        <w:color w:val="404040"/>
        <w:sz w:val="16"/>
        <w:szCs w:val="16"/>
      </w:rPr>
    </w:pPr>
    <w:proofErr w:type="spellStart"/>
    <w:r w:rsidRPr="00843624">
      <w:rPr>
        <w:rFonts w:ascii="Arial" w:hAnsi="Arial" w:cs="Arial"/>
        <w:b/>
        <w:i/>
        <w:color w:val="404040"/>
        <w:sz w:val="16"/>
        <w:szCs w:val="16"/>
      </w:rPr>
      <w:t>Рада</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директорів</w:t>
    </w:r>
    <w:proofErr w:type="spellEnd"/>
    <w:r w:rsidRPr="00843624">
      <w:rPr>
        <w:rFonts w:ascii="Arial" w:hAnsi="Arial" w:cs="Arial"/>
        <w:i/>
        <w:color w:val="404040"/>
        <w:sz w:val="16"/>
        <w:szCs w:val="16"/>
      </w:rPr>
      <w:t xml:space="preserve">: </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Хмелярський</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Юкрейн</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Голова</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w:t>
    </w:r>
    <w:r w:rsidRPr="00843624">
      <w:rPr>
        <w:rFonts w:ascii="Arial" w:hAnsi="Arial" w:cs="Arial"/>
        <w:b/>
        <w:i/>
        <w:color w:val="404040"/>
        <w:sz w:val="16"/>
        <w:szCs w:val="16"/>
      </w:rPr>
      <w:t>р</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Європейський</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банк</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реконструкції</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та</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розвитку</w:t>
    </w:r>
    <w:proofErr w:type="spellEnd"/>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Заступник</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голови</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Мартін</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w:t>
    </w:r>
    <w:proofErr w:type="spellStart"/>
    <w:r w:rsidRPr="00843624">
      <w:rPr>
        <w:rFonts w:ascii="Arial" w:hAnsi="Arial" w:cs="Arial"/>
        <w:i/>
        <w:color w:val="404040"/>
        <w:sz w:val="16"/>
        <w:szCs w:val="16"/>
      </w:rPr>
      <w:t>Кеш</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Кері</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Україна</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Заступник</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голови</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Надія</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Васильєва</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Майкрософт</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Україна</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Скарбник</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Олег</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Тимків</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PwC</w:t>
    </w:r>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Секретар</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Сергій</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Чорний</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Бейкер</w:t>
    </w:r>
    <w:proofErr w:type="spellEnd"/>
    <w:r w:rsidRPr="00843624">
      <w:rPr>
        <w:rFonts w:ascii="Arial" w:hAnsi="Arial" w:cs="Arial"/>
        <w:i/>
        <w:color w:val="404040"/>
        <w:sz w:val="16"/>
        <w:szCs w:val="16"/>
      </w:rPr>
      <w:t xml:space="preserve"> і </w:t>
    </w:r>
    <w:proofErr w:type="spellStart"/>
    <w:r w:rsidRPr="00843624">
      <w:rPr>
        <w:rFonts w:ascii="Arial" w:hAnsi="Arial" w:cs="Arial"/>
        <w:i/>
        <w:color w:val="404040"/>
        <w:sz w:val="16"/>
        <w:szCs w:val="16"/>
      </w:rPr>
      <w:t>Макензі</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 </w:t>
    </w:r>
    <w:proofErr w:type="spellStart"/>
    <w:r w:rsidRPr="00843624">
      <w:rPr>
        <w:rFonts w:ascii="Arial" w:hAnsi="Arial" w:cs="Arial"/>
        <w:b/>
        <w:i/>
        <w:color w:val="404040"/>
        <w:sz w:val="16"/>
        <w:szCs w:val="16"/>
      </w:rPr>
      <w:t>Юридичний</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радник</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Ленна</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Horizon Capital;</w:t>
    </w:r>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Стівен</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Фішер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"СІТІ";</w:t>
    </w:r>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Євген</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Шевченко</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Carlsberg;</w:t>
    </w:r>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Мартін</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Каргілл</w:t>
    </w:r>
    <w:proofErr w:type="spellEnd"/>
    <w:r w:rsidRPr="00843624">
      <w:rPr>
        <w:rFonts w:ascii="Arial" w:hAnsi="Arial" w:cs="Arial"/>
        <w:i/>
        <w:color w:val="404040"/>
        <w:sz w:val="16"/>
        <w:szCs w:val="16"/>
      </w:rPr>
      <w:t>".</w:t>
    </w:r>
  </w:p>
  <w:p w:rsidR="004C3FCF" w:rsidRPr="00843624" w:rsidRDefault="004433A9" w:rsidP="004C3FCF">
    <w:pPr>
      <w:ind w:left="1560" w:hanging="1560"/>
      <w:jc w:val="both"/>
      <w:rPr>
        <w:rFonts w:ascii="Arial" w:hAnsi="Arial" w:cs="Arial"/>
        <w:b/>
        <w:i/>
        <w:color w:val="404040"/>
        <w:sz w:val="16"/>
        <w:szCs w:val="16"/>
      </w:rPr>
    </w:pPr>
    <w:r w:rsidRPr="00843624">
      <w:rPr>
        <w:rFonts w:ascii="Arial" w:hAnsi="Arial" w:cs="Arial"/>
        <w:b/>
        <w:i/>
        <w:color w:val="404040"/>
        <w:sz w:val="16"/>
        <w:szCs w:val="16"/>
        <w:lang w:val="ru-RU"/>
      </w:rPr>
      <w:t>П</w:t>
    </w:r>
    <w:proofErr w:type="spellStart"/>
    <w:r w:rsidRPr="00843624">
      <w:rPr>
        <w:rFonts w:ascii="Arial" w:hAnsi="Arial" w:cs="Arial"/>
        <w:b/>
        <w:i/>
        <w:color w:val="404040"/>
        <w:sz w:val="16"/>
        <w:szCs w:val="16"/>
      </w:rPr>
      <w:t>резидент</w:t>
    </w:r>
    <w:proofErr w:type="spellEnd"/>
    <w:r w:rsidRPr="00843624">
      <w:rPr>
        <w:rFonts w:ascii="Arial" w:hAnsi="Arial" w:cs="Arial"/>
        <w:b/>
        <w:i/>
        <w:color w:val="404040"/>
        <w:sz w:val="16"/>
        <w:szCs w:val="16"/>
      </w:rPr>
      <w:t xml:space="preserve">: </w:t>
    </w:r>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Андрій</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Гундер</w:t>
    </w:r>
    <w:proofErr w:type="spellEnd"/>
  </w:p>
  <w:p w:rsidR="00B57472" w:rsidRPr="005F4AD6" w:rsidRDefault="004433A9" w:rsidP="00590E60">
    <w:pPr>
      <w:pStyle w:val="normal0"/>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A9" w:rsidRDefault="00443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77D" w:rsidRDefault="00D7277D" w:rsidP="00D7277D">
      <w:pPr>
        <w:spacing w:after="0" w:line="240" w:lineRule="auto"/>
      </w:pPr>
      <w:r>
        <w:separator/>
      </w:r>
    </w:p>
  </w:footnote>
  <w:footnote w:type="continuationSeparator" w:id="0">
    <w:p w:rsidR="00D7277D" w:rsidRDefault="00D7277D" w:rsidP="00D7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A9" w:rsidRDefault="00443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10" w:rsidRPr="00712510" w:rsidRDefault="004433A9" w:rsidP="00712510">
    <w:pPr>
      <w:pStyle w:val="Header"/>
      <w:rPr>
        <w:lang w:val="en-US"/>
      </w:rPr>
    </w:pPr>
    <w:sdt>
      <w:sdtPr>
        <w:rPr>
          <w:lang w:val="en-US"/>
        </w:rPr>
        <w:id w:val="-1434813253"/>
        <w:docPartObj>
          <w:docPartGallery w:val="Watermarks"/>
          <w:docPartUnique/>
        </w:docPartObj>
      </w:sdtPr>
      <w:sdtContent>
        <w:r w:rsidRPr="004433A9">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277D">
      <w:rPr>
        <w:noProof/>
      </w:rPr>
      <w:drawing>
        <wp:anchor distT="0" distB="0" distL="114300" distR="114300" simplePos="0" relativeHeight="251659264" behindDoc="0" locked="0" layoutInCell="1" allowOverlap="1">
          <wp:simplePos x="0" y="0"/>
          <wp:positionH relativeFrom="column">
            <wp:posOffset>600075</wp:posOffset>
          </wp:positionH>
          <wp:positionV relativeFrom="page">
            <wp:posOffset>-83820</wp:posOffset>
          </wp:positionV>
          <wp:extent cx="8321040" cy="1036890"/>
          <wp:effectExtent l="0" t="0" r="3810"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8321040" cy="1036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3A9" w:rsidRDefault="0044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C81"/>
    <w:multiLevelType w:val="hybridMultilevel"/>
    <w:tmpl w:val="E88E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EC2E88"/>
    <w:multiLevelType w:val="hybridMultilevel"/>
    <w:tmpl w:val="11A08F24"/>
    <w:lvl w:ilvl="0" w:tplc="7F0EC6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7D"/>
    <w:rsid w:val="003A204F"/>
    <w:rsid w:val="004433A9"/>
    <w:rsid w:val="00D7277D"/>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BB73"/>
  <w15:chartTrackingRefBased/>
  <w15:docId w15:val="{AF0713B5-13A1-4082-8C5B-73FB1B2E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77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HeaderChar">
    <w:name w:val="Header Char"/>
    <w:basedOn w:val="DefaultParagraphFont"/>
    <w:link w:val="Header"/>
    <w:rsid w:val="00D7277D"/>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D7277D"/>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FooterChar">
    <w:name w:val="Footer Char"/>
    <w:basedOn w:val="DefaultParagraphFont"/>
    <w:link w:val="Footer"/>
    <w:uiPriority w:val="99"/>
    <w:rsid w:val="00D7277D"/>
    <w:rPr>
      <w:rFonts w:ascii="Times New Roman" w:eastAsia="Times New Roman" w:hAnsi="Times New Roman" w:cs="Times New Roman"/>
      <w:sz w:val="24"/>
      <w:szCs w:val="24"/>
      <w:lang w:val="uk-UA" w:eastAsia="uk-UA"/>
    </w:rPr>
  </w:style>
  <w:style w:type="paragraph" w:customStyle="1" w:styleId="normal0">
    <w:name w:val="normal"/>
    <w:basedOn w:val="Normal"/>
    <w:rsid w:val="00D727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D7277D"/>
    <w:pPr>
      <w:spacing w:after="0" w:line="240" w:lineRule="auto"/>
      <w:ind w:left="720"/>
      <w:contextualSpacing/>
    </w:pPr>
    <w:rPr>
      <w:rFonts w:ascii="Times New Roman" w:eastAsia="Times New Roman" w:hAnsi="Times New Roman" w:cs="Times New Roman"/>
      <w:sz w:val="20"/>
      <w:szCs w:val="20"/>
      <w:lang w:val="en-AU"/>
    </w:rPr>
  </w:style>
  <w:style w:type="table" w:styleId="TableGrid">
    <w:name w:val="Table Grid"/>
    <w:basedOn w:val="TableNormal"/>
    <w:uiPriority w:val="39"/>
    <w:rsid w:val="00D7277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2017-08-03T15:51:00Z</dcterms:created>
  <dcterms:modified xsi:type="dcterms:W3CDTF">2017-08-03T16:05:00Z</dcterms:modified>
</cp:coreProperties>
</file>