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42" w:rsidRPr="0063447D" w:rsidRDefault="00027F67" w:rsidP="00D316B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</w:t>
      </w:r>
      <w:r w:rsidR="006A3D42" w:rsidRPr="0063447D">
        <w:rPr>
          <w:rFonts w:asciiTheme="majorHAnsi" w:hAnsiTheme="majorHAnsi"/>
          <w:i/>
          <w:sz w:val="24"/>
          <w:szCs w:val="24"/>
        </w:rPr>
        <w:t>равов</w:t>
      </w:r>
      <w:r>
        <w:rPr>
          <w:rFonts w:asciiTheme="majorHAnsi" w:hAnsiTheme="majorHAnsi"/>
          <w:i/>
          <w:sz w:val="24"/>
          <w:szCs w:val="24"/>
        </w:rPr>
        <w:t>а</w:t>
      </w:r>
      <w:r w:rsidR="006A3D42" w:rsidRPr="0063447D">
        <w:rPr>
          <w:rFonts w:asciiTheme="majorHAnsi" w:hAnsiTheme="majorHAnsi"/>
          <w:i/>
          <w:sz w:val="24"/>
          <w:szCs w:val="24"/>
        </w:rPr>
        <w:t xml:space="preserve"> позиці</w:t>
      </w:r>
      <w:r>
        <w:rPr>
          <w:rFonts w:asciiTheme="majorHAnsi" w:hAnsiTheme="majorHAnsi"/>
          <w:i/>
          <w:sz w:val="24"/>
          <w:szCs w:val="24"/>
        </w:rPr>
        <w:t>я</w:t>
      </w:r>
      <w:r w:rsidR="006A3D42" w:rsidRPr="0063447D">
        <w:rPr>
          <w:rFonts w:asciiTheme="majorHAnsi" w:hAnsiTheme="majorHAnsi"/>
          <w:i/>
          <w:sz w:val="24"/>
          <w:szCs w:val="24"/>
        </w:rPr>
        <w:t xml:space="preserve"> «нового» Верховного Суду </w:t>
      </w:r>
      <w:r w:rsidR="00DA6D5B">
        <w:rPr>
          <w:rFonts w:asciiTheme="majorHAnsi" w:hAnsiTheme="majorHAnsi"/>
          <w:i/>
          <w:sz w:val="24"/>
          <w:szCs w:val="24"/>
        </w:rPr>
        <w:t xml:space="preserve">України </w:t>
      </w:r>
      <w:r w:rsidR="006A3D42" w:rsidRPr="0063447D">
        <w:rPr>
          <w:rFonts w:asciiTheme="majorHAnsi" w:hAnsiTheme="majorHAnsi"/>
          <w:i/>
          <w:sz w:val="24"/>
          <w:szCs w:val="24"/>
        </w:rPr>
        <w:t xml:space="preserve">щодо наслідків </w:t>
      </w:r>
      <w:r w:rsidR="00DA6D5B">
        <w:rPr>
          <w:rFonts w:asciiTheme="majorHAnsi" w:hAnsiTheme="majorHAnsi"/>
          <w:i/>
          <w:sz w:val="24"/>
          <w:szCs w:val="24"/>
        </w:rPr>
        <w:t xml:space="preserve">застосування статті </w:t>
      </w:r>
      <w:r w:rsidR="006A3D42" w:rsidRPr="0063447D">
        <w:rPr>
          <w:rFonts w:asciiTheme="majorHAnsi" w:hAnsiTheme="majorHAnsi"/>
          <w:i/>
          <w:sz w:val="24"/>
          <w:szCs w:val="24"/>
        </w:rPr>
        <w:t>205 К</w:t>
      </w:r>
      <w:r w:rsidR="00DA6D5B">
        <w:rPr>
          <w:rFonts w:asciiTheme="majorHAnsi" w:hAnsiTheme="majorHAnsi"/>
          <w:i/>
          <w:sz w:val="24"/>
          <w:szCs w:val="24"/>
        </w:rPr>
        <w:t xml:space="preserve">римінального </w:t>
      </w:r>
      <w:r w:rsidR="006A3D42" w:rsidRPr="0063447D">
        <w:rPr>
          <w:rFonts w:asciiTheme="majorHAnsi" w:hAnsiTheme="majorHAnsi"/>
          <w:i/>
          <w:sz w:val="24"/>
          <w:szCs w:val="24"/>
        </w:rPr>
        <w:t>К</w:t>
      </w:r>
      <w:r w:rsidR="00DA6D5B">
        <w:rPr>
          <w:rFonts w:asciiTheme="majorHAnsi" w:hAnsiTheme="majorHAnsi"/>
          <w:i/>
          <w:sz w:val="24"/>
          <w:szCs w:val="24"/>
        </w:rPr>
        <w:t>одексу</w:t>
      </w:r>
      <w:bookmarkStart w:id="0" w:name="_GoBack"/>
      <w:bookmarkEnd w:id="0"/>
      <w:r w:rsidR="006A3D42" w:rsidRPr="0063447D">
        <w:rPr>
          <w:rFonts w:asciiTheme="majorHAnsi" w:hAnsiTheme="majorHAnsi"/>
          <w:i/>
          <w:sz w:val="24"/>
          <w:szCs w:val="24"/>
        </w:rPr>
        <w:t xml:space="preserve"> України по постачальнику (станом на 06 лютого 2018 року)</w:t>
      </w:r>
    </w:p>
    <w:p w:rsidR="006B4929" w:rsidRPr="0063447D" w:rsidRDefault="006B4929" w:rsidP="00D316B1">
      <w:pPr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177052" w:rsidRPr="0063447D" w:rsidRDefault="00177052" w:rsidP="00D316B1">
      <w:pPr>
        <w:jc w:val="both"/>
        <w:rPr>
          <w:rFonts w:asciiTheme="majorHAnsi" w:hAnsiTheme="majorHAnsi"/>
          <w:b/>
          <w:iCs/>
          <w:sz w:val="24"/>
          <w:szCs w:val="24"/>
        </w:rPr>
      </w:pPr>
      <w:r w:rsidRPr="0063447D">
        <w:rPr>
          <w:rFonts w:asciiTheme="majorHAnsi" w:hAnsiTheme="majorHAnsi"/>
          <w:b/>
          <w:iCs/>
          <w:sz w:val="24"/>
          <w:szCs w:val="24"/>
        </w:rPr>
        <w:t>Передумови створені «старим» Верховним Судом</w:t>
      </w:r>
    </w:p>
    <w:p w:rsidR="00D316B1" w:rsidRPr="0063447D" w:rsidRDefault="00574668" w:rsidP="00D316B1">
      <w:pPr>
        <w:jc w:val="both"/>
        <w:rPr>
          <w:rFonts w:asciiTheme="majorHAnsi" w:hAnsiTheme="majorHAnsi"/>
          <w:sz w:val="24"/>
          <w:szCs w:val="24"/>
        </w:rPr>
      </w:pPr>
      <w:r w:rsidRPr="0063447D">
        <w:rPr>
          <w:rFonts w:asciiTheme="majorHAnsi" w:hAnsiTheme="majorHAnsi"/>
          <w:iCs/>
          <w:sz w:val="24"/>
          <w:szCs w:val="24"/>
        </w:rPr>
        <w:t xml:space="preserve">Низка рішень </w:t>
      </w:r>
      <w:r w:rsidRPr="0063447D">
        <w:rPr>
          <w:rFonts w:asciiTheme="majorHAnsi" w:hAnsiTheme="majorHAnsi"/>
          <w:sz w:val="24"/>
          <w:szCs w:val="24"/>
        </w:rPr>
        <w:t xml:space="preserve">Верховного Суду України, прийнятих до судової реформи: від 12.09.2017р. у справі </w:t>
      </w:r>
      <w:r w:rsidRPr="0063447D">
        <w:rPr>
          <w:rFonts w:asciiTheme="majorHAnsi" w:hAnsiTheme="majorHAnsi"/>
          <w:bCs/>
          <w:sz w:val="24"/>
          <w:szCs w:val="24"/>
        </w:rPr>
        <w:t>826/10933/14</w:t>
      </w:r>
      <w:r w:rsidRPr="0063447D">
        <w:rPr>
          <w:rStyle w:val="FootnoteReference"/>
          <w:rFonts w:asciiTheme="majorHAnsi" w:hAnsiTheme="majorHAnsi"/>
          <w:bCs/>
          <w:sz w:val="24"/>
          <w:szCs w:val="24"/>
        </w:rPr>
        <w:footnoteReference w:id="1"/>
      </w:r>
      <w:r w:rsidRPr="0063447D">
        <w:rPr>
          <w:rFonts w:asciiTheme="majorHAnsi" w:hAnsiTheme="majorHAnsi"/>
          <w:bCs/>
          <w:sz w:val="24"/>
          <w:szCs w:val="24"/>
        </w:rPr>
        <w:t>, від 27.06.2017 р. у справі 2а-6549/11/1470</w:t>
      </w:r>
      <w:r w:rsidRPr="0063447D">
        <w:rPr>
          <w:rStyle w:val="FootnoteReference"/>
          <w:rFonts w:asciiTheme="majorHAnsi" w:hAnsiTheme="majorHAnsi"/>
          <w:b/>
          <w:bCs/>
          <w:sz w:val="24"/>
          <w:szCs w:val="24"/>
        </w:rPr>
        <w:footnoteReference w:id="2"/>
      </w:r>
      <w:r w:rsidRPr="0063447D">
        <w:rPr>
          <w:rFonts w:asciiTheme="majorHAnsi" w:hAnsiTheme="majorHAnsi"/>
          <w:bCs/>
          <w:sz w:val="24"/>
          <w:szCs w:val="24"/>
        </w:rPr>
        <w:t>,  від 14.03.2017р. у справі 826/757/13-а</w:t>
      </w:r>
      <w:r w:rsidRPr="0063447D">
        <w:rPr>
          <w:rStyle w:val="FootnoteReference"/>
          <w:rFonts w:asciiTheme="majorHAnsi" w:hAnsiTheme="majorHAnsi"/>
          <w:bCs/>
          <w:sz w:val="24"/>
          <w:szCs w:val="24"/>
        </w:rPr>
        <w:footnoteReference w:id="3"/>
      </w:r>
      <w:r w:rsidRPr="0063447D">
        <w:rPr>
          <w:rFonts w:asciiTheme="majorHAnsi" w:hAnsiTheme="majorHAnsi"/>
          <w:bCs/>
          <w:sz w:val="24"/>
          <w:szCs w:val="24"/>
        </w:rPr>
        <w:t xml:space="preserve">, </w:t>
      </w:r>
      <w:r w:rsidRPr="0063447D">
        <w:rPr>
          <w:rFonts w:asciiTheme="majorHAnsi" w:hAnsiTheme="majorHAnsi"/>
          <w:sz w:val="24"/>
          <w:szCs w:val="24"/>
        </w:rPr>
        <w:t>від 20.01.2016 в справі 826/11531/14</w:t>
      </w:r>
      <w:r w:rsidRPr="0063447D">
        <w:rPr>
          <w:rStyle w:val="FootnoteReference"/>
          <w:rFonts w:asciiTheme="majorHAnsi" w:hAnsiTheme="majorHAnsi"/>
          <w:sz w:val="24"/>
          <w:szCs w:val="24"/>
        </w:rPr>
        <w:footnoteReference w:id="4"/>
      </w:r>
      <w:r w:rsidRPr="0063447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63447D">
        <w:rPr>
          <w:rFonts w:asciiTheme="majorHAnsi" w:hAnsiTheme="majorHAnsi"/>
          <w:sz w:val="24"/>
          <w:szCs w:val="24"/>
        </w:rPr>
        <w:t>від 22.09.2015 у справі № 810/5645/14</w:t>
      </w:r>
      <w:r w:rsidRPr="0063447D">
        <w:rPr>
          <w:rStyle w:val="FootnoteReference"/>
          <w:rFonts w:asciiTheme="majorHAnsi" w:hAnsiTheme="majorHAnsi"/>
          <w:sz w:val="24"/>
          <w:szCs w:val="24"/>
        </w:rPr>
        <w:footnoteReference w:id="5"/>
      </w:r>
      <w:r w:rsidRPr="0063447D">
        <w:rPr>
          <w:rFonts w:asciiTheme="majorHAnsi" w:hAnsiTheme="majorHAnsi"/>
          <w:sz w:val="24"/>
          <w:szCs w:val="24"/>
        </w:rPr>
        <w:t>; від 03.11.2015 у справі № 826/3477/13-а</w:t>
      </w:r>
      <w:r w:rsidRPr="0063447D">
        <w:rPr>
          <w:rStyle w:val="FootnoteReference"/>
          <w:rFonts w:asciiTheme="majorHAnsi" w:hAnsiTheme="majorHAnsi"/>
          <w:sz w:val="24"/>
          <w:szCs w:val="24"/>
        </w:rPr>
        <w:footnoteReference w:id="6"/>
      </w:r>
      <w:r w:rsidRPr="0063447D">
        <w:rPr>
          <w:rFonts w:asciiTheme="majorHAnsi" w:hAnsiTheme="majorHAnsi"/>
          <w:sz w:val="24"/>
          <w:szCs w:val="24"/>
        </w:rPr>
        <w:t>; від 17.11.2015 року №2а/3264/11/1070</w:t>
      </w:r>
      <w:r w:rsidRPr="0063447D">
        <w:rPr>
          <w:rStyle w:val="FootnoteReference"/>
          <w:rFonts w:asciiTheme="majorHAnsi" w:hAnsiTheme="majorHAnsi"/>
          <w:sz w:val="24"/>
          <w:szCs w:val="24"/>
        </w:rPr>
        <w:footnoteReference w:id="7"/>
      </w:r>
      <w:r w:rsidRPr="0063447D">
        <w:rPr>
          <w:rFonts w:asciiTheme="majorHAnsi" w:hAnsiTheme="majorHAnsi"/>
          <w:sz w:val="24"/>
          <w:szCs w:val="24"/>
        </w:rPr>
        <w:t>від 01.12.2015 у справі № 826/15034/14</w:t>
      </w:r>
      <w:r w:rsidRPr="0063447D">
        <w:rPr>
          <w:rStyle w:val="FootnoteReference"/>
          <w:rFonts w:asciiTheme="majorHAnsi" w:hAnsiTheme="majorHAnsi"/>
          <w:sz w:val="24"/>
          <w:szCs w:val="24"/>
        </w:rPr>
        <w:footnoteReference w:id="8"/>
      </w:r>
      <w:r w:rsidRPr="0063447D">
        <w:rPr>
          <w:rFonts w:asciiTheme="majorHAnsi" w:hAnsiTheme="majorHAnsi"/>
          <w:sz w:val="24"/>
          <w:szCs w:val="24"/>
        </w:rPr>
        <w:t xml:space="preserve"> та інші.</w:t>
      </w:r>
    </w:p>
    <w:p w:rsidR="00574668" w:rsidRDefault="005F6C17" w:rsidP="00D316B1">
      <w:pPr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В цих рішеннях Верховний Суд</w:t>
      </w:r>
      <w:r w:rsidR="00845D93">
        <w:rPr>
          <w:rFonts w:asciiTheme="majorHAnsi" w:hAnsiTheme="majorHAnsi"/>
          <w:iCs/>
          <w:sz w:val="24"/>
          <w:szCs w:val="24"/>
        </w:rPr>
        <w:t xml:space="preserve"> дійшов відомого багатьом платникам висновку про те, що </w:t>
      </w:r>
      <w:r w:rsidR="00845D93" w:rsidRPr="00845D93">
        <w:rPr>
          <w:rFonts w:ascii="Courier New" w:hAnsi="Courier New" w:cs="Courier New"/>
          <w:iCs/>
          <w:sz w:val="20"/>
          <w:szCs w:val="24"/>
        </w:rPr>
        <w:t>«статус фіктивного підприємства несумісний з легальною підприємницькою діяльністю, навіть за формального підтвердження її первинними документами»</w:t>
      </w:r>
      <w:r w:rsidR="00845D93">
        <w:rPr>
          <w:rFonts w:asciiTheme="majorHAnsi" w:hAnsiTheme="majorHAnsi"/>
          <w:iCs/>
          <w:sz w:val="24"/>
          <w:szCs w:val="24"/>
        </w:rPr>
        <w:t xml:space="preserve">, при цьому </w:t>
      </w:r>
      <w:r w:rsidR="003A7337">
        <w:rPr>
          <w:rFonts w:asciiTheme="majorHAnsi" w:hAnsiTheme="majorHAnsi"/>
          <w:iCs/>
          <w:sz w:val="24"/>
          <w:szCs w:val="24"/>
        </w:rPr>
        <w:t>підставою для таких тверджень часто виступали не тільки вироки стосовно директора постачальника, а й матеріали досудових розслідувань за ст. 205 КК України</w:t>
      </w:r>
      <w:r w:rsidR="00BE5093">
        <w:rPr>
          <w:rFonts w:asciiTheme="majorHAnsi" w:hAnsiTheme="majorHAnsi"/>
          <w:iCs/>
          <w:sz w:val="24"/>
          <w:szCs w:val="24"/>
        </w:rPr>
        <w:t>.</w:t>
      </w:r>
    </w:p>
    <w:p w:rsidR="00566D49" w:rsidRDefault="000F6397" w:rsidP="00566D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Однак, незважаючи на значну кількість рішень, т</w:t>
      </w:r>
      <w:r w:rsidR="00566D49">
        <w:rPr>
          <w:rFonts w:asciiTheme="majorHAnsi" w:hAnsiTheme="majorHAnsi"/>
          <w:iCs/>
          <w:sz w:val="24"/>
          <w:szCs w:val="24"/>
        </w:rPr>
        <w:t>а</w:t>
      </w:r>
      <w:r w:rsidR="000F75EC">
        <w:rPr>
          <w:rFonts w:asciiTheme="majorHAnsi" w:hAnsiTheme="majorHAnsi"/>
          <w:iCs/>
          <w:sz w:val="24"/>
          <w:szCs w:val="24"/>
        </w:rPr>
        <w:t xml:space="preserve">ка позиція </w:t>
      </w:r>
      <w:r w:rsidR="00D34DCA">
        <w:rPr>
          <w:rFonts w:asciiTheme="majorHAnsi" w:hAnsiTheme="majorHAnsi"/>
          <w:iCs/>
          <w:sz w:val="24"/>
          <w:szCs w:val="24"/>
        </w:rPr>
        <w:t xml:space="preserve">«старого» Верховного суду </w:t>
      </w:r>
      <w:r w:rsidR="000F75EC">
        <w:rPr>
          <w:rFonts w:asciiTheme="majorHAnsi" w:hAnsiTheme="majorHAnsi"/>
          <w:iCs/>
          <w:sz w:val="24"/>
          <w:szCs w:val="24"/>
        </w:rPr>
        <w:t xml:space="preserve">не була однозначною. </w:t>
      </w:r>
      <w:r w:rsidR="00D34DCA">
        <w:rPr>
          <w:rFonts w:asciiTheme="majorHAnsi" w:hAnsiTheme="majorHAnsi"/>
          <w:iCs/>
          <w:sz w:val="24"/>
          <w:szCs w:val="24"/>
        </w:rPr>
        <w:t xml:space="preserve">До прикладу, </w:t>
      </w:r>
      <w:r w:rsidR="00D34DCA">
        <w:rPr>
          <w:rFonts w:asciiTheme="majorHAnsi" w:hAnsiTheme="majorHAnsi"/>
          <w:sz w:val="24"/>
          <w:szCs w:val="24"/>
        </w:rPr>
        <w:t xml:space="preserve">Постанова </w:t>
      </w:r>
      <w:r w:rsidR="00566D49">
        <w:rPr>
          <w:rFonts w:asciiTheme="majorHAnsi" w:hAnsiTheme="majorHAnsi"/>
          <w:sz w:val="24"/>
          <w:szCs w:val="24"/>
        </w:rPr>
        <w:t>від 11.04.2017 року у справі 826/18925/14</w:t>
      </w:r>
      <w:r w:rsidR="00566D49">
        <w:rPr>
          <w:rStyle w:val="FootnoteReference"/>
          <w:rFonts w:asciiTheme="majorHAnsi" w:hAnsiTheme="majorHAnsi"/>
          <w:sz w:val="24"/>
          <w:szCs w:val="24"/>
        </w:rPr>
        <w:footnoteReference w:id="9"/>
      </w:r>
      <w:r w:rsidR="00566D49">
        <w:rPr>
          <w:rFonts w:asciiTheme="majorHAnsi" w:hAnsiTheme="majorHAnsi"/>
          <w:sz w:val="24"/>
          <w:szCs w:val="24"/>
        </w:rPr>
        <w:t>,</w:t>
      </w:r>
      <w:r w:rsidR="00D34DCA">
        <w:rPr>
          <w:rFonts w:asciiTheme="majorHAnsi" w:hAnsiTheme="majorHAnsi"/>
          <w:sz w:val="24"/>
          <w:szCs w:val="24"/>
        </w:rPr>
        <w:t xml:space="preserve"> із протилежною позицією щодо вироку стосовно директора постачальника за 205 КК </w:t>
      </w:r>
      <w:r w:rsidR="004469F2">
        <w:rPr>
          <w:rFonts w:asciiTheme="majorHAnsi" w:hAnsiTheme="majorHAnsi"/>
          <w:sz w:val="24"/>
          <w:szCs w:val="24"/>
        </w:rPr>
        <w:t>України</w:t>
      </w:r>
      <w:r w:rsidR="00566D49">
        <w:rPr>
          <w:rFonts w:asciiTheme="majorHAnsi" w:hAnsiTheme="majorHAnsi"/>
          <w:sz w:val="24"/>
          <w:szCs w:val="24"/>
        </w:rPr>
        <w:t xml:space="preserve">: </w:t>
      </w:r>
    </w:p>
    <w:p w:rsidR="002E5E42" w:rsidRPr="0071540B" w:rsidRDefault="00566D49" w:rsidP="0071540B">
      <w:pPr>
        <w:ind w:left="567"/>
        <w:jc w:val="both"/>
        <w:rPr>
          <w:rFonts w:ascii="Courier New" w:hAnsi="Courier New" w:cs="Courier New"/>
          <w:sz w:val="20"/>
          <w:szCs w:val="20"/>
        </w:rPr>
      </w:pPr>
      <w:r w:rsidRPr="00617A24">
        <w:rPr>
          <w:rFonts w:ascii="Courier New" w:hAnsi="Courier New" w:cs="Courier New"/>
          <w:sz w:val="20"/>
          <w:szCs w:val="20"/>
        </w:rPr>
        <w:t>«…….оскільки вирок суду, який міститься у матеріалах справи, не містить відомостей про відсутність господарських операцій між позивачем і товариством, а тому таке рішення суду не може бути визнано належним доказом на підтвердження порушення Товариством вимог податкового законодавства, які зумовили визначення податкового зобов'язання з податку на прибуток».</w:t>
      </w:r>
    </w:p>
    <w:p w:rsidR="002E5E42" w:rsidRPr="00AA12C6" w:rsidRDefault="002E5E42" w:rsidP="00D316B1">
      <w:pPr>
        <w:jc w:val="both"/>
        <w:rPr>
          <w:rFonts w:asciiTheme="majorHAnsi" w:hAnsiTheme="majorHAnsi"/>
          <w:iCs/>
          <w:sz w:val="28"/>
          <w:szCs w:val="24"/>
        </w:rPr>
      </w:pPr>
    </w:p>
    <w:p w:rsidR="00680B37" w:rsidRPr="00AA12C6" w:rsidRDefault="00C817B0" w:rsidP="00D316B1">
      <w:pPr>
        <w:jc w:val="both"/>
        <w:rPr>
          <w:rFonts w:asciiTheme="majorHAnsi" w:hAnsiTheme="majorHAnsi"/>
          <w:b/>
          <w:iCs/>
          <w:sz w:val="24"/>
        </w:rPr>
      </w:pPr>
      <w:r w:rsidRPr="00AA12C6">
        <w:rPr>
          <w:rFonts w:asciiTheme="majorHAnsi" w:hAnsiTheme="majorHAnsi"/>
          <w:b/>
          <w:iCs/>
          <w:sz w:val="24"/>
        </w:rPr>
        <w:t>Позиція оновленого Верховного Суду</w:t>
      </w:r>
    </w:p>
    <w:p w:rsidR="00C817B0" w:rsidRDefault="005F208D" w:rsidP="00D316B1">
      <w:pPr>
        <w:jc w:val="both"/>
        <w:rPr>
          <w:rFonts w:asciiTheme="majorHAnsi" w:hAnsiTheme="majorHAnsi"/>
          <w:iCs/>
          <w:sz w:val="24"/>
        </w:rPr>
      </w:pPr>
      <w:r w:rsidRPr="00AA12C6">
        <w:rPr>
          <w:rFonts w:asciiTheme="majorHAnsi" w:hAnsiTheme="majorHAnsi"/>
          <w:iCs/>
          <w:sz w:val="24"/>
        </w:rPr>
        <w:t>Оновленим Верховним Судом вже прийняті перші рішення</w:t>
      </w:r>
      <w:r w:rsidR="00260AE4" w:rsidRPr="00AA12C6">
        <w:rPr>
          <w:rFonts w:asciiTheme="majorHAnsi" w:hAnsiTheme="majorHAnsi"/>
          <w:iCs/>
          <w:sz w:val="24"/>
        </w:rPr>
        <w:t xml:space="preserve"> </w:t>
      </w:r>
      <w:r w:rsidR="00AA12C6">
        <w:rPr>
          <w:rFonts w:asciiTheme="majorHAnsi" w:hAnsiTheme="majorHAnsi"/>
          <w:iCs/>
          <w:sz w:val="24"/>
        </w:rPr>
        <w:t>з цього питання</w:t>
      </w:r>
      <w:r w:rsidR="008043F1">
        <w:rPr>
          <w:rFonts w:asciiTheme="majorHAnsi" w:hAnsiTheme="majorHAnsi"/>
          <w:iCs/>
          <w:sz w:val="24"/>
        </w:rPr>
        <w:t>.</w:t>
      </w:r>
    </w:p>
    <w:p w:rsidR="00421834" w:rsidRPr="00F43779" w:rsidRDefault="00894AC5" w:rsidP="00B814C2">
      <w:pPr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iCs/>
          <w:sz w:val="24"/>
        </w:rPr>
        <w:t>Станом на 06.02.2018 року</w:t>
      </w:r>
      <w:r w:rsidR="00B814C2">
        <w:rPr>
          <w:rFonts w:asciiTheme="majorHAnsi" w:hAnsiTheme="majorHAnsi"/>
          <w:iCs/>
          <w:sz w:val="24"/>
        </w:rPr>
        <w:t xml:space="preserve"> </w:t>
      </w:r>
      <w:r w:rsidRPr="00B814C2">
        <w:rPr>
          <w:rFonts w:asciiTheme="majorHAnsi" w:hAnsiTheme="majorHAnsi"/>
          <w:iCs/>
          <w:sz w:val="24"/>
          <w:u w:val="single"/>
        </w:rPr>
        <w:t>у 3 рішеннях новий Верховний Суд продублював позицію</w:t>
      </w:r>
      <w:r w:rsidRPr="00B814C2">
        <w:rPr>
          <w:rFonts w:asciiTheme="majorHAnsi" w:hAnsiTheme="majorHAnsi"/>
          <w:iCs/>
          <w:sz w:val="24"/>
        </w:rPr>
        <w:t xml:space="preserve"> «старого» Верховного Суду </w:t>
      </w:r>
      <w:r w:rsidRPr="00C5554E">
        <w:rPr>
          <w:rFonts w:asciiTheme="majorHAnsi" w:hAnsiTheme="majorHAnsi"/>
          <w:iCs/>
          <w:sz w:val="24"/>
          <w:u w:val="single"/>
        </w:rPr>
        <w:t xml:space="preserve">щодо негативних наслідків </w:t>
      </w:r>
      <w:proofErr w:type="spellStart"/>
      <w:r w:rsidR="00A63294" w:rsidRPr="00C5554E">
        <w:rPr>
          <w:rFonts w:asciiTheme="majorHAnsi" w:hAnsiTheme="majorHAnsi"/>
          <w:iCs/>
          <w:sz w:val="24"/>
          <w:u w:val="single"/>
        </w:rPr>
        <w:t>вироку</w:t>
      </w:r>
      <w:proofErr w:type="spellEnd"/>
      <w:r w:rsidR="00B977E2">
        <w:rPr>
          <w:rFonts w:asciiTheme="majorHAnsi" w:hAnsiTheme="majorHAnsi"/>
          <w:iCs/>
          <w:sz w:val="24"/>
          <w:u w:val="single"/>
        </w:rPr>
        <w:t>/</w:t>
      </w:r>
      <w:r w:rsidR="00EF0EAB" w:rsidRPr="00C5554E">
        <w:rPr>
          <w:rFonts w:asciiTheme="majorHAnsi" w:hAnsiTheme="majorHAnsi"/>
          <w:iCs/>
          <w:sz w:val="24"/>
          <w:u w:val="single"/>
        </w:rPr>
        <w:t>протоколу допиту</w:t>
      </w:r>
      <w:r w:rsidR="00EF0EAB">
        <w:rPr>
          <w:rFonts w:asciiTheme="majorHAnsi" w:hAnsiTheme="majorHAnsi"/>
          <w:iCs/>
          <w:sz w:val="24"/>
        </w:rPr>
        <w:t xml:space="preserve"> за</w:t>
      </w:r>
      <w:r w:rsidR="00A63294">
        <w:rPr>
          <w:rFonts w:asciiTheme="majorHAnsi" w:hAnsiTheme="majorHAnsi"/>
          <w:iCs/>
          <w:sz w:val="24"/>
        </w:rPr>
        <w:t xml:space="preserve"> </w:t>
      </w:r>
      <w:r w:rsidRPr="00B814C2">
        <w:rPr>
          <w:rFonts w:asciiTheme="majorHAnsi" w:hAnsiTheme="majorHAnsi"/>
          <w:iCs/>
          <w:sz w:val="24"/>
        </w:rPr>
        <w:t>ст.  205 КК У</w:t>
      </w:r>
      <w:r w:rsidR="0033759F" w:rsidRPr="00B814C2">
        <w:rPr>
          <w:rFonts w:asciiTheme="majorHAnsi" w:hAnsiTheme="majorHAnsi"/>
          <w:iCs/>
          <w:sz w:val="24"/>
        </w:rPr>
        <w:t>країни по постачальнику. Відповідн</w:t>
      </w:r>
      <w:r w:rsidR="001C07FD" w:rsidRPr="00B814C2">
        <w:rPr>
          <w:rFonts w:asciiTheme="majorHAnsi" w:hAnsiTheme="majorHAnsi"/>
          <w:iCs/>
          <w:sz w:val="24"/>
        </w:rPr>
        <w:t xml:space="preserve">і Постанови: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від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23.01.2018 у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справі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№ К/9901/1608/18</w:t>
      </w:r>
      <w:r w:rsidR="00260AE4">
        <w:rPr>
          <w:rStyle w:val="FootnoteReference"/>
          <w:rFonts w:asciiTheme="majorHAnsi" w:hAnsiTheme="majorHAnsi"/>
          <w:sz w:val="24"/>
          <w:szCs w:val="24"/>
          <w:lang w:val="ru-RU"/>
        </w:rPr>
        <w:footnoteReference w:id="10"/>
      </w:r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,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від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23.01.2018 року у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справі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№ 826/7047/13-а</w:t>
      </w:r>
      <w:r w:rsidR="00260AE4">
        <w:rPr>
          <w:rStyle w:val="FootnoteReference"/>
          <w:rFonts w:asciiTheme="majorHAnsi" w:hAnsiTheme="majorHAnsi"/>
          <w:sz w:val="24"/>
          <w:szCs w:val="24"/>
          <w:lang w:val="ru-RU"/>
        </w:rPr>
        <w:footnoteReference w:id="11"/>
      </w:r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та 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від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16.01.2018  у </w:t>
      </w:r>
      <w:proofErr w:type="spellStart"/>
      <w:r w:rsidR="00260AE4" w:rsidRPr="00B814C2">
        <w:rPr>
          <w:rFonts w:asciiTheme="majorHAnsi" w:hAnsiTheme="majorHAnsi"/>
          <w:sz w:val="24"/>
          <w:szCs w:val="24"/>
          <w:lang w:val="ru-RU"/>
        </w:rPr>
        <w:t>справі</w:t>
      </w:r>
      <w:proofErr w:type="spellEnd"/>
      <w:r w:rsidR="00260AE4" w:rsidRPr="00B814C2">
        <w:rPr>
          <w:rFonts w:asciiTheme="majorHAnsi" w:hAnsiTheme="majorHAnsi"/>
          <w:sz w:val="24"/>
          <w:szCs w:val="24"/>
          <w:lang w:val="ru-RU"/>
        </w:rPr>
        <w:t xml:space="preserve"> № К/9901/1478/18</w:t>
      </w:r>
      <w:r w:rsidR="00260AE4">
        <w:rPr>
          <w:rStyle w:val="FootnoteReference"/>
          <w:rFonts w:asciiTheme="majorHAnsi" w:hAnsiTheme="majorHAnsi"/>
          <w:sz w:val="24"/>
          <w:szCs w:val="24"/>
          <w:lang w:val="ru-RU"/>
        </w:rPr>
        <w:footnoteReference w:id="12"/>
      </w:r>
      <w:r w:rsidR="001C07FD" w:rsidRPr="00B814C2">
        <w:rPr>
          <w:rFonts w:asciiTheme="majorHAnsi" w:hAnsiTheme="majorHAnsi"/>
          <w:sz w:val="24"/>
          <w:szCs w:val="24"/>
          <w:lang w:val="ru-RU"/>
        </w:rPr>
        <w:t>.</w:t>
      </w:r>
      <w:r w:rsidR="00A4422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A44220" w:rsidRPr="00A44220">
        <w:rPr>
          <w:rFonts w:asciiTheme="majorHAnsi" w:hAnsiTheme="majorHAnsi"/>
          <w:sz w:val="24"/>
          <w:szCs w:val="24"/>
        </w:rPr>
        <w:t>Та</w:t>
      </w:r>
      <w:r w:rsidR="00A44220">
        <w:rPr>
          <w:rFonts w:asciiTheme="majorHAnsi" w:hAnsiTheme="majorHAnsi"/>
          <w:sz w:val="24"/>
          <w:szCs w:val="24"/>
        </w:rPr>
        <w:t xml:space="preserve">кі рішення прийняті </w:t>
      </w:r>
      <w:r w:rsidR="00BF488D">
        <w:rPr>
          <w:rFonts w:asciiTheme="majorHAnsi" w:hAnsiTheme="majorHAnsi"/>
          <w:sz w:val="24"/>
          <w:szCs w:val="24"/>
        </w:rPr>
        <w:t xml:space="preserve">за участю 4 із 9 суддів палати Касаційного адміністративного </w:t>
      </w:r>
      <w:r w:rsidR="00BF488D" w:rsidRPr="00A46880">
        <w:rPr>
          <w:rFonts w:asciiTheme="majorHAnsi" w:hAnsiTheme="majorHAnsi"/>
          <w:sz w:val="24"/>
          <w:szCs w:val="24"/>
        </w:rPr>
        <w:t>суду</w:t>
      </w:r>
      <w:r w:rsidR="00A46880" w:rsidRPr="00A46880">
        <w:rPr>
          <w:rFonts w:asciiTheme="majorHAnsi" w:hAnsiTheme="majorHAnsi"/>
          <w:sz w:val="24"/>
          <w:szCs w:val="24"/>
        </w:rPr>
        <w:t xml:space="preserve"> (Судді </w:t>
      </w:r>
      <w:r w:rsidR="00A46880" w:rsidRPr="00A46880">
        <w:rPr>
          <w:rFonts w:asciiTheme="majorHAnsi" w:eastAsia="Times New Roman" w:hAnsiTheme="majorHAnsi"/>
          <w:sz w:val="24"/>
          <w:szCs w:val="24"/>
          <w:lang w:eastAsia="en-US"/>
        </w:rPr>
        <w:t>Ханова Р.Ф., Васильєва</w:t>
      </w:r>
      <w:r w:rsidR="00A46880" w:rsidRPr="001B6982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І.А., Пасічник С.С</w:t>
      </w:r>
      <w:r w:rsidR="00A46880" w:rsidRPr="00A46880">
        <w:rPr>
          <w:rFonts w:asciiTheme="majorHAnsi" w:eastAsia="Times New Roman" w:hAnsiTheme="majorHAnsi" w:cs="Times New Roman"/>
          <w:sz w:val="24"/>
          <w:szCs w:val="24"/>
          <w:lang w:eastAsia="en-US"/>
        </w:rPr>
        <w:t xml:space="preserve"> та Юрченко В.П.</w:t>
      </w:r>
      <w:r w:rsidR="00A46880" w:rsidRPr="00A46880">
        <w:rPr>
          <w:rFonts w:asciiTheme="majorHAnsi" w:hAnsiTheme="majorHAnsi"/>
          <w:sz w:val="24"/>
          <w:szCs w:val="24"/>
        </w:rPr>
        <w:t>)</w:t>
      </w:r>
      <w:r w:rsidR="00F43779">
        <w:rPr>
          <w:rFonts w:asciiTheme="majorHAnsi" w:hAnsiTheme="majorHAnsi"/>
          <w:sz w:val="24"/>
          <w:szCs w:val="24"/>
          <w:lang w:val="ru-RU"/>
        </w:rPr>
        <w:t>.</w:t>
      </w:r>
    </w:p>
    <w:p w:rsidR="008E6AC2" w:rsidRDefault="008E6AC2" w:rsidP="008E6AC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Cs/>
          <w:sz w:val="24"/>
        </w:rPr>
        <w:t xml:space="preserve">При цьому, </w:t>
      </w:r>
      <w:r w:rsidRPr="00443C68">
        <w:rPr>
          <w:rFonts w:asciiTheme="majorHAnsi" w:hAnsiTheme="majorHAnsi"/>
          <w:iCs/>
          <w:sz w:val="24"/>
          <w:u w:val="single"/>
        </w:rPr>
        <w:t>в 1 рішенні, принаймні щодо наслідків протоколу допиту</w:t>
      </w:r>
      <w:r>
        <w:rPr>
          <w:rFonts w:asciiTheme="majorHAnsi" w:hAnsiTheme="majorHAnsi"/>
          <w:iCs/>
          <w:sz w:val="24"/>
        </w:rPr>
        <w:t xml:space="preserve"> директора постачальника за </w:t>
      </w:r>
      <w:r w:rsidRPr="00B814C2">
        <w:rPr>
          <w:rFonts w:asciiTheme="majorHAnsi" w:hAnsiTheme="majorHAnsi"/>
          <w:iCs/>
          <w:sz w:val="24"/>
        </w:rPr>
        <w:t>ст.  205 КК У</w:t>
      </w:r>
      <w:r>
        <w:rPr>
          <w:rFonts w:asciiTheme="majorHAnsi" w:hAnsiTheme="majorHAnsi"/>
          <w:iCs/>
          <w:sz w:val="24"/>
        </w:rPr>
        <w:t xml:space="preserve">країни, новий Верховний Суд відійшов від позиції наявності у такого протоколу «автоматично» негативних наслідків для податкового обліку покупця, та вказав на </w:t>
      </w:r>
      <w:r w:rsidRPr="00824884">
        <w:rPr>
          <w:rFonts w:asciiTheme="majorHAnsi" w:hAnsiTheme="majorHAnsi"/>
          <w:iCs/>
          <w:sz w:val="24"/>
          <w:u w:val="single"/>
        </w:rPr>
        <w:t xml:space="preserve">необхідність їх перевірки адміністративним судом шляхом </w:t>
      </w:r>
      <w:r w:rsidRPr="00824884">
        <w:rPr>
          <w:rFonts w:asciiTheme="majorHAnsi" w:hAnsiTheme="majorHAnsi"/>
          <w:iCs/>
          <w:sz w:val="24"/>
          <w:u w:val="single"/>
        </w:rPr>
        <w:lastRenderedPageBreak/>
        <w:t>допиту директора постачальника</w:t>
      </w:r>
      <w:r>
        <w:rPr>
          <w:rFonts w:asciiTheme="majorHAnsi" w:hAnsiTheme="majorHAnsi"/>
          <w:iCs/>
          <w:sz w:val="24"/>
        </w:rPr>
        <w:t xml:space="preserve"> (Верховний Суд направив справу на новий розгляд). Така позиція викладена у Постанові </w:t>
      </w:r>
      <w:r>
        <w:rPr>
          <w:rFonts w:asciiTheme="majorHAnsi" w:hAnsiTheme="majorHAnsi"/>
          <w:sz w:val="24"/>
          <w:szCs w:val="24"/>
        </w:rPr>
        <w:t xml:space="preserve">від 30.01.2018 року у справі </w:t>
      </w:r>
      <w:r w:rsidRPr="00775352">
        <w:rPr>
          <w:rFonts w:asciiTheme="majorHAnsi" w:hAnsiTheme="majorHAnsi"/>
          <w:bCs/>
          <w:sz w:val="24"/>
          <w:szCs w:val="24"/>
        </w:rPr>
        <w:t>826/2747/13-а</w:t>
      </w:r>
      <w:r>
        <w:rPr>
          <w:rStyle w:val="FootnoteReference"/>
          <w:rFonts w:asciiTheme="majorHAnsi" w:hAnsiTheme="majorHAnsi"/>
          <w:bCs/>
          <w:sz w:val="24"/>
          <w:szCs w:val="24"/>
        </w:rPr>
        <w:footnoteReference w:id="13"/>
      </w:r>
      <w:r>
        <w:rPr>
          <w:rFonts w:asciiTheme="majorHAnsi" w:hAnsiTheme="majorHAnsi"/>
          <w:bCs/>
          <w:sz w:val="24"/>
          <w:szCs w:val="24"/>
        </w:rPr>
        <w:t>, яка прийнята за участю</w:t>
      </w:r>
      <w:r w:rsidR="00A46880">
        <w:rPr>
          <w:rFonts w:asciiTheme="majorHAnsi" w:hAnsiTheme="majorHAnsi"/>
          <w:bCs/>
          <w:sz w:val="24"/>
          <w:szCs w:val="24"/>
        </w:rPr>
        <w:t xml:space="preserve"> головуючого судді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Олендаря</w:t>
      </w:r>
      <w:proofErr w:type="spellEnd"/>
      <w:r>
        <w:rPr>
          <w:rFonts w:asciiTheme="majorHAnsi" w:hAnsiTheme="majorHAnsi"/>
          <w:sz w:val="24"/>
          <w:szCs w:val="24"/>
        </w:rPr>
        <w:t xml:space="preserve"> І.Я., і </w:t>
      </w:r>
      <w:r w:rsidR="00A46880">
        <w:rPr>
          <w:rFonts w:asciiTheme="majorHAnsi" w:hAnsiTheme="majorHAnsi"/>
          <w:sz w:val="24"/>
          <w:szCs w:val="24"/>
        </w:rPr>
        <w:t>судді</w:t>
      </w:r>
      <w:r w:rsidR="00643127">
        <w:rPr>
          <w:rFonts w:asciiTheme="majorHAnsi" w:hAnsiTheme="majorHAnsi"/>
          <w:sz w:val="24"/>
          <w:szCs w:val="24"/>
        </w:rPr>
        <w:t>в</w:t>
      </w:r>
      <w:r w:rsidR="00A4688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Ханової Р.Ф. та </w:t>
      </w:r>
      <w:proofErr w:type="spellStart"/>
      <w:r>
        <w:rPr>
          <w:rFonts w:asciiTheme="majorHAnsi" w:hAnsiTheme="majorHAnsi"/>
          <w:sz w:val="24"/>
          <w:szCs w:val="24"/>
        </w:rPr>
        <w:t>Гончарової</w:t>
      </w:r>
      <w:proofErr w:type="spellEnd"/>
      <w:r>
        <w:rPr>
          <w:rFonts w:asciiTheme="majorHAnsi" w:hAnsiTheme="majorHAnsi"/>
          <w:sz w:val="24"/>
          <w:szCs w:val="24"/>
        </w:rPr>
        <w:t xml:space="preserve"> І.А.</w:t>
      </w:r>
      <w:r w:rsidR="00A46880">
        <w:rPr>
          <w:rFonts w:asciiTheme="majorHAnsi" w:hAnsiTheme="majorHAnsi"/>
          <w:sz w:val="24"/>
          <w:szCs w:val="24"/>
        </w:rPr>
        <w:t>.</w:t>
      </w:r>
    </w:p>
    <w:p w:rsidR="00A46880" w:rsidRDefault="00D9209C" w:rsidP="008E6AC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Виходячи із наявних на сьогодні рішень, є </w:t>
      </w:r>
      <w:r w:rsidRPr="00D9209C">
        <w:rPr>
          <w:rFonts w:asciiTheme="majorHAnsi" w:hAnsiTheme="majorHAnsi"/>
          <w:sz w:val="24"/>
          <w:szCs w:val="24"/>
          <w:u w:val="single"/>
        </w:rPr>
        <w:t>дві від</w:t>
      </w:r>
      <w:r w:rsidR="00824884">
        <w:rPr>
          <w:rFonts w:asciiTheme="majorHAnsi" w:hAnsiTheme="majorHAnsi"/>
          <w:sz w:val="24"/>
          <w:szCs w:val="24"/>
          <w:u w:val="single"/>
        </w:rPr>
        <w:t>мінні позиції щодо «</w:t>
      </w:r>
      <w:proofErr w:type="spellStart"/>
      <w:r w:rsidR="00824884">
        <w:rPr>
          <w:rFonts w:asciiTheme="majorHAnsi" w:hAnsiTheme="majorHAnsi"/>
          <w:sz w:val="24"/>
          <w:szCs w:val="24"/>
          <w:u w:val="single"/>
        </w:rPr>
        <w:t>автоматичн</w:t>
      </w:r>
      <w:r w:rsidR="00824884">
        <w:rPr>
          <w:rFonts w:asciiTheme="majorHAnsi" w:hAnsiTheme="majorHAnsi"/>
          <w:sz w:val="24"/>
          <w:szCs w:val="24"/>
          <w:u w:val="single"/>
          <w:lang w:val="ru-RU"/>
        </w:rPr>
        <w:t>ості</w:t>
      </w:r>
      <w:proofErr w:type="spellEnd"/>
      <w:r w:rsidRPr="00D9209C">
        <w:rPr>
          <w:rFonts w:asciiTheme="majorHAnsi" w:hAnsiTheme="majorHAnsi"/>
          <w:sz w:val="24"/>
          <w:szCs w:val="24"/>
          <w:u w:val="single"/>
        </w:rPr>
        <w:t>» наслідків протоколу допиту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Cs/>
          <w:sz w:val="24"/>
        </w:rPr>
        <w:t xml:space="preserve">директора постачальника за </w:t>
      </w:r>
      <w:r w:rsidRPr="00B814C2">
        <w:rPr>
          <w:rFonts w:asciiTheme="majorHAnsi" w:hAnsiTheme="majorHAnsi"/>
          <w:iCs/>
          <w:sz w:val="24"/>
        </w:rPr>
        <w:t>ст.  205 КК У</w:t>
      </w:r>
      <w:r>
        <w:rPr>
          <w:rFonts w:asciiTheme="majorHAnsi" w:hAnsiTheme="majorHAnsi"/>
          <w:iCs/>
          <w:sz w:val="24"/>
        </w:rPr>
        <w:t>країни</w:t>
      </w:r>
      <w:r>
        <w:rPr>
          <w:rFonts w:asciiTheme="majorHAnsi" w:hAnsiTheme="majorHAnsi"/>
          <w:sz w:val="24"/>
          <w:szCs w:val="24"/>
        </w:rPr>
        <w:t xml:space="preserve">, які зайняті </w:t>
      </w:r>
      <w:r>
        <w:rPr>
          <w:rFonts w:asciiTheme="majorHAnsi" w:hAnsiTheme="majorHAnsi"/>
          <w:bCs/>
          <w:sz w:val="24"/>
          <w:szCs w:val="24"/>
        </w:rPr>
        <w:t xml:space="preserve">суддями </w:t>
      </w:r>
      <w:proofErr w:type="spellStart"/>
      <w:r>
        <w:rPr>
          <w:rFonts w:asciiTheme="majorHAnsi" w:hAnsiTheme="majorHAnsi"/>
          <w:sz w:val="24"/>
          <w:szCs w:val="24"/>
        </w:rPr>
        <w:t>Олендарем</w:t>
      </w:r>
      <w:proofErr w:type="spellEnd"/>
      <w:r>
        <w:rPr>
          <w:rFonts w:asciiTheme="majorHAnsi" w:hAnsiTheme="majorHAnsi"/>
          <w:sz w:val="24"/>
          <w:szCs w:val="24"/>
        </w:rPr>
        <w:t xml:space="preserve"> І.Я., і Хановою Р.Ф. (</w:t>
      </w:r>
      <w:r w:rsidRPr="00D9209C">
        <w:rPr>
          <w:rFonts w:asciiTheme="majorHAnsi" w:hAnsiTheme="majorHAnsi"/>
          <w:i/>
          <w:sz w:val="24"/>
          <w:szCs w:val="24"/>
        </w:rPr>
        <w:t>хоча ці судді і перебували в складі колегії, при прийнятті протилежного рішення</w:t>
      </w:r>
      <w:r>
        <w:rPr>
          <w:rFonts w:asciiTheme="majorHAnsi" w:hAnsiTheme="majorHAnsi"/>
          <w:sz w:val="24"/>
          <w:szCs w:val="24"/>
        </w:rPr>
        <w:t>).</w:t>
      </w:r>
    </w:p>
    <w:p w:rsidR="00A46880" w:rsidRPr="00B6434E" w:rsidRDefault="00D9209C" w:rsidP="008E6AC2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Тому, при оцінці </w:t>
      </w:r>
      <w:r w:rsidR="00CD5331">
        <w:rPr>
          <w:rFonts w:asciiTheme="majorHAnsi" w:hAnsiTheme="majorHAnsi"/>
          <w:sz w:val="24"/>
          <w:szCs w:val="24"/>
        </w:rPr>
        <w:t>рішень</w:t>
      </w:r>
      <w:r>
        <w:rPr>
          <w:rFonts w:asciiTheme="majorHAnsi" w:hAnsiTheme="majorHAnsi"/>
          <w:sz w:val="24"/>
          <w:szCs w:val="24"/>
        </w:rPr>
        <w:t xml:space="preserve"> Верховного Суду </w:t>
      </w:r>
      <w:r w:rsidR="00CD5331">
        <w:rPr>
          <w:rFonts w:asciiTheme="majorHAnsi" w:hAnsiTheme="majorHAnsi"/>
          <w:sz w:val="24"/>
          <w:szCs w:val="24"/>
        </w:rPr>
        <w:t xml:space="preserve">для розуміння </w:t>
      </w:r>
      <w:r w:rsidR="00914BAF">
        <w:rPr>
          <w:rFonts w:asciiTheme="majorHAnsi" w:hAnsiTheme="majorHAnsi"/>
          <w:sz w:val="24"/>
          <w:szCs w:val="24"/>
        </w:rPr>
        <w:t xml:space="preserve">позиції варто виходити із того, що </w:t>
      </w:r>
      <w:r w:rsidR="00914BAF" w:rsidRPr="00914BAF">
        <w:rPr>
          <w:rFonts w:asciiTheme="majorHAnsi" w:hAnsiTheme="majorHAnsi"/>
          <w:sz w:val="24"/>
          <w:szCs w:val="24"/>
          <w:u w:val="single"/>
        </w:rPr>
        <w:t>такі рішення поки прийняті лише 2 головуючими суддями</w:t>
      </w:r>
      <w:r w:rsidR="00914BAF">
        <w:rPr>
          <w:rFonts w:asciiTheme="majorHAnsi" w:hAnsiTheme="majorHAnsi"/>
          <w:sz w:val="24"/>
          <w:szCs w:val="24"/>
        </w:rPr>
        <w:t xml:space="preserve"> Хановою Р.Ф. (3 рішення щодо негативних наслідків вироків та протоколів) та </w:t>
      </w:r>
      <w:proofErr w:type="spellStart"/>
      <w:r w:rsidR="00914BAF">
        <w:rPr>
          <w:rFonts w:asciiTheme="majorHAnsi" w:hAnsiTheme="majorHAnsi"/>
          <w:sz w:val="24"/>
          <w:szCs w:val="24"/>
        </w:rPr>
        <w:t>Олендарем</w:t>
      </w:r>
      <w:proofErr w:type="spellEnd"/>
      <w:r w:rsidR="00914BAF">
        <w:rPr>
          <w:rFonts w:asciiTheme="majorHAnsi" w:hAnsiTheme="majorHAnsi"/>
          <w:sz w:val="24"/>
          <w:szCs w:val="24"/>
        </w:rPr>
        <w:t xml:space="preserve"> І.Я. (1 щодо необхідності безпосереднього з’ясування інформації з протоколу допиту, із направленням на нових розгляд)</w:t>
      </w:r>
      <w:r w:rsidR="00977AC9">
        <w:rPr>
          <w:rFonts w:asciiTheme="majorHAnsi" w:hAnsiTheme="majorHAnsi"/>
          <w:sz w:val="24"/>
          <w:szCs w:val="24"/>
        </w:rPr>
        <w:t>, а ще 7 суддів поки власної позиції (як головуючі)</w:t>
      </w:r>
      <w:r w:rsidR="00AF5142">
        <w:rPr>
          <w:rFonts w:asciiTheme="majorHAnsi" w:hAnsiTheme="majorHAnsi"/>
          <w:sz w:val="24"/>
          <w:szCs w:val="24"/>
        </w:rPr>
        <w:t xml:space="preserve"> не висловили</w:t>
      </w:r>
      <w:r w:rsidR="00AF5142">
        <w:rPr>
          <w:rStyle w:val="FootnoteReference"/>
          <w:rFonts w:asciiTheme="majorHAnsi" w:hAnsiTheme="majorHAnsi"/>
          <w:sz w:val="24"/>
          <w:szCs w:val="24"/>
        </w:rPr>
        <w:footnoteReference w:id="14"/>
      </w:r>
      <w:r w:rsidR="00AF5142">
        <w:rPr>
          <w:rFonts w:asciiTheme="majorHAnsi" w:hAnsiTheme="majorHAnsi"/>
          <w:sz w:val="24"/>
          <w:szCs w:val="24"/>
        </w:rPr>
        <w:t>.</w:t>
      </w:r>
    </w:p>
    <w:p w:rsidR="004469F2" w:rsidRPr="0071540B" w:rsidRDefault="004469F2" w:rsidP="00D316B1">
      <w:pPr>
        <w:jc w:val="both"/>
        <w:rPr>
          <w:rFonts w:asciiTheme="majorHAnsi" w:hAnsiTheme="majorHAnsi"/>
          <w:iCs/>
          <w:sz w:val="24"/>
          <w:szCs w:val="24"/>
        </w:rPr>
      </w:pPr>
    </w:p>
    <w:p w:rsidR="00C817B0" w:rsidRPr="0071540B" w:rsidRDefault="008A03A7" w:rsidP="00D316B1">
      <w:pPr>
        <w:jc w:val="both"/>
        <w:rPr>
          <w:rFonts w:asciiTheme="majorHAnsi" w:hAnsiTheme="majorHAnsi"/>
          <w:b/>
          <w:iCs/>
          <w:sz w:val="24"/>
          <w:szCs w:val="24"/>
        </w:rPr>
      </w:pPr>
      <w:r w:rsidRPr="0071540B">
        <w:rPr>
          <w:rFonts w:asciiTheme="majorHAnsi" w:hAnsiTheme="majorHAnsi"/>
          <w:b/>
          <w:iCs/>
          <w:sz w:val="24"/>
          <w:szCs w:val="24"/>
        </w:rPr>
        <w:t>Ймовірні суто формал</w:t>
      </w:r>
      <w:r w:rsidR="002A4F40" w:rsidRPr="0071540B">
        <w:rPr>
          <w:rFonts w:asciiTheme="majorHAnsi" w:hAnsiTheme="majorHAnsi"/>
          <w:b/>
          <w:iCs/>
          <w:sz w:val="24"/>
          <w:szCs w:val="24"/>
        </w:rPr>
        <w:t>ьні причини успадкування «старої» позиції</w:t>
      </w:r>
    </w:p>
    <w:p w:rsidR="00DC764F" w:rsidRDefault="00E268A3" w:rsidP="00DC76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Оновлений Верховний суд певним чином </w:t>
      </w:r>
      <w:r w:rsidR="00DC764F" w:rsidRPr="00DC764F">
        <w:rPr>
          <w:rFonts w:asciiTheme="majorHAnsi" w:hAnsiTheme="majorHAnsi"/>
          <w:sz w:val="24"/>
          <w:szCs w:val="24"/>
        </w:rPr>
        <w:t xml:space="preserve">«зв'язаний» правовими позиціями </w:t>
      </w:r>
      <w:r>
        <w:rPr>
          <w:rFonts w:asciiTheme="majorHAnsi" w:hAnsiTheme="majorHAnsi"/>
          <w:sz w:val="24"/>
          <w:szCs w:val="24"/>
        </w:rPr>
        <w:t>«старого» Верховного суду України. І така «зв’язаність»</w:t>
      </w:r>
      <w:r w:rsidR="005B5993">
        <w:rPr>
          <w:rFonts w:asciiTheme="majorHAnsi" w:hAnsiTheme="majorHAnsi"/>
          <w:sz w:val="24"/>
          <w:szCs w:val="24"/>
        </w:rPr>
        <w:t xml:space="preserve"> може бути обумовлена суто положеннями </w:t>
      </w:r>
      <w:r w:rsidR="00004FE1">
        <w:rPr>
          <w:rFonts w:asciiTheme="majorHAnsi" w:hAnsiTheme="majorHAnsi"/>
          <w:sz w:val="24"/>
          <w:szCs w:val="24"/>
        </w:rPr>
        <w:t xml:space="preserve">ст. 346-347 та </w:t>
      </w:r>
      <w:r w:rsidR="005B5993">
        <w:rPr>
          <w:rFonts w:asciiTheme="majorHAnsi" w:hAnsiTheme="majorHAnsi"/>
          <w:sz w:val="24"/>
          <w:szCs w:val="24"/>
        </w:rPr>
        <w:t>п.п. 8 п. 1</w:t>
      </w:r>
      <w:r w:rsidR="000C6A94">
        <w:rPr>
          <w:rFonts w:asciiTheme="majorHAnsi" w:hAnsiTheme="majorHAnsi"/>
          <w:sz w:val="24"/>
          <w:szCs w:val="24"/>
        </w:rPr>
        <w:t xml:space="preserve"> розділу</w:t>
      </w:r>
      <w:r w:rsidR="005B5993">
        <w:rPr>
          <w:rFonts w:asciiTheme="majorHAnsi" w:hAnsiTheme="majorHAnsi"/>
          <w:sz w:val="24"/>
          <w:szCs w:val="24"/>
        </w:rPr>
        <w:t xml:space="preserve"> </w:t>
      </w:r>
      <w:r w:rsidR="005B5993" w:rsidRPr="00DC764F">
        <w:rPr>
          <w:rFonts w:asciiTheme="majorHAnsi" w:hAnsiTheme="majorHAnsi"/>
          <w:sz w:val="24"/>
          <w:szCs w:val="24"/>
        </w:rPr>
        <w:t>VIII «Перехідні положен</w:t>
      </w:r>
      <w:r w:rsidR="007346E8">
        <w:rPr>
          <w:rFonts w:asciiTheme="majorHAnsi" w:hAnsiTheme="majorHAnsi"/>
          <w:sz w:val="24"/>
          <w:szCs w:val="24"/>
        </w:rPr>
        <w:t>ня» КАСУ щодо</w:t>
      </w:r>
      <w:r w:rsidR="005B5993">
        <w:rPr>
          <w:rFonts w:asciiTheme="majorHAnsi" w:hAnsiTheme="majorHAnsi"/>
          <w:sz w:val="24"/>
          <w:szCs w:val="24"/>
        </w:rPr>
        <w:t xml:space="preserve"> </w:t>
      </w:r>
      <w:r w:rsidR="005B5993" w:rsidRPr="00AD7A1E">
        <w:rPr>
          <w:rFonts w:asciiTheme="majorHAnsi" w:hAnsiTheme="majorHAnsi"/>
          <w:sz w:val="24"/>
          <w:szCs w:val="24"/>
          <w:u w:val="single"/>
        </w:rPr>
        <w:t>врахування висновків</w:t>
      </w:r>
      <w:r w:rsidR="007346E8">
        <w:rPr>
          <w:rFonts w:asciiTheme="majorHAnsi" w:hAnsiTheme="majorHAnsi"/>
          <w:sz w:val="24"/>
          <w:szCs w:val="24"/>
          <w:u w:val="single"/>
        </w:rPr>
        <w:t>, які містяться</w:t>
      </w:r>
      <w:r w:rsidR="005B5993" w:rsidRPr="00AD7A1E">
        <w:rPr>
          <w:rFonts w:asciiTheme="majorHAnsi" w:hAnsiTheme="majorHAnsi"/>
          <w:sz w:val="24"/>
          <w:szCs w:val="24"/>
          <w:u w:val="single"/>
        </w:rPr>
        <w:t xml:space="preserve"> у раніше ухваленому рішенні Верховного Суду України</w:t>
      </w:r>
      <w:r w:rsidR="005B5993">
        <w:rPr>
          <w:rFonts w:asciiTheme="majorHAnsi" w:hAnsiTheme="majorHAnsi"/>
          <w:sz w:val="24"/>
          <w:szCs w:val="24"/>
        </w:rPr>
        <w:t>.</w:t>
      </w:r>
    </w:p>
    <w:p w:rsidR="005B5993" w:rsidRDefault="007E37B0" w:rsidP="00DC764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Однак, питання до того, чи можна вважати такий висновок наявним з огляду на те, що </w:t>
      </w:r>
      <w:r w:rsidR="002C3CFF">
        <w:rPr>
          <w:rFonts w:asciiTheme="majorHAnsi" w:hAnsiTheme="majorHAnsi"/>
          <w:sz w:val="24"/>
          <w:szCs w:val="24"/>
        </w:rPr>
        <w:t>позицію</w:t>
      </w:r>
      <w:r w:rsidR="009D3104">
        <w:rPr>
          <w:rFonts w:asciiTheme="majorHAnsi" w:hAnsiTheme="majorHAnsi"/>
          <w:sz w:val="24"/>
          <w:szCs w:val="24"/>
        </w:rPr>
        <w:t xml:space="preserve"> у раніше ухвалених рішеннях </w:t>
      </w:r>
      <w:r w:rsidR="002C3CFF">
        <w:rPr>
          <w:rFonts w:asciiTheme="majorHAnsi" w:hAnsiTheme="majorHAnsi"/>
          <w:sz w:val="24"/>
          <w:szCs w:val="24"/>
        </w:rPr>
        <w:t>Верховного Суду України не можна назвати однозначною (принаймні, з огляду на рішення від 11.04.2017 року у справі 826/18925/14</w:t>
      </w:r>
      <w:r w:rsidR="002C3CFF">
        <w:rPr>
          <w:rStyle w:val="FootnoteReference"/>
          <w:rFonts w:asciiTheme="majorHAnsi" w:hAnsiTheme="majorHAnsi"/>
          <w:sz w:val="24"/>
          <w:szCs w:val="24"/>
        </w:rPr>
        <w:footnoteReference w:id="15"/>
      </w:r>
      <w:r w:rsidR="002C3CFF">
        <w:rPr>
          <w:rFonts w:asciiTheme="majorHAnsi" w:hAnsiTheme="majorHAnsi"/>
          <w:sz w:val="24"/>
          <w:szCs w:val="24"/>
        </w:rPr>
        <w:t>).</w:t>
      </w:r>
    </w:p>
    <w:p w:rsidR="002C3CFF" w:rsidRDefault="002C3CFF" w:rsidP="00DC764F">
      <w:pPr>
        <w:jc w:val="both"/>
        <w:rPr>
          <w:rFonts w:asciiTheme="majorHAnsi" w:hAnsiTheme="majorHAnsi"/>
          <w:sz w:val="24"/>
          <w:szCs w:val="24"/>
        </w:rPr>
      </w:pPr>
    </w:p>
    <w:p w:rsidR="009D3104" w:rsidRPr="00023A69" w:rsidRDefault="00AD7A1E" w:rsidP="00DC764F">
      <w:pPr>
        <w:jc w:val="both"/>
        <w:rPr>
          <w:rFonts w:asciiTheme="majorHAnsi" w:hAnsiTheme="majorHAnsi"/>
          <w:b/>
          <w:sz w:val="24"/>
          <w:szCs w:val="24"/>
        </w:rPr>
      </w:pPr>
      <w:r w:rsidRPr="00AD7A1E">
        <w:rPr>
          <w:rFonts w:asciiTheme="majorHAnsi" w:hAnsiTheme="majorHAnsi"/>
          <w:b/>
          <w:sz w:val="24"/>
          <w:szCs w:val="24"/>
        </w:rPr>
        <w:t>Можливі варіанти для перегляду практики</w:t>
      </w:r>
    </w:p>
    <w:p w:rsidR="00004FE1" w:rsidRDefault="005767A1" w:rsidP="00611C1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Передача справи на розгляд Великої Палати Верховного Суду </w:t>
      </w:r>
      <w:r w:rsidR="00F761B5">
        <w:rPr>
          <w:rFonts w:asciiTheme="majorHAnsi" w:hAnsiTheme="majorHAnsi"/>
          <w:sz w:val="24"/>
          <w:szCs w:val="24"/>
        </w:rPr>
        <w:t xml:space="preserve">здійснюється Касаційним </w:t>
      </w:r>
      <w:r w:rsidRPr="00023A69">
        <w:rPr>
          <w:rFonts w:asciiTheme="majorHAnsi" w:hAnsiTheme="majorHAnsi"/>
          <w:sz w:val="24"/>
          <w:szCs w:val="24"/>
        </w:rPr>
        <w:t xml:space="preserve">судом за власною ініціативою або </w:t>
      </w:r>
      <w:r>
        <w:rPr>
          <w:rFonts w:asciiTheme="majorHAnsi" w:hAnsiTheme="majorHAnsi"/>
          <w:sz w:val="24"/>
          <w:szCs w:val="24"/>
        </w:rPr>
        <w:t xml:space="preserve">за клопотанням учасника справи на підставі положень ст. 346-347 КАСУ, за умови згоди </w:t>
      </w:r>
      <w:r w:rsidR="00BE0309">
        <w:rPr>
          <w:rFonts w:asciiTheme="majorHAnsi" w:hAnsiTheme="majorHAnsi"/>
          <w:sz w:val="24"/>
          <w:szCs w:val="24"/>
        </w:rPr>
        <w:t xml:space="preserve">більшості </w:t>
      </w:r>
      <w:r w:rsidR="00BE0309" w:rsidRPr="00023A69">
        <w:rPr>
          <w:rFonts w:asciiTheme="majorHAnsi" w:hAnsiTheme="majorHAnsi"/>
          <w:sz w:val="24"/>
          <w:szCs w:val="24"/>
        </w:rPr>
        <w:t>від ск</w:t>
      </w:r>
      <w:r w:rsidR="00BE0309">
        <w:rPr>
          <w:rFonts w:asciiTheme="majorHAnsi" w:hAnsiTheme="majorHAnsi"/>
          <w:sz w:val="24"/>
          <w:szCs w:val="24"/>
        </w:rPr>
        <w:t>ладу суду, що розглядає справу.</w:t>
      </w:r>
      <w:r w:rsidR="009B45EE">
        <w:rPr>
          <w:rFonts w:asciiTheme="majorHAnsi" w:hAnsiTheme="majorHAnsi"/>
          <w:sz w:val="24"/>
          <w:szCs w:val="24"/>
        </w:rPr>
        <w:t xml:space="preserve"> </w:t>
      </w:r>
      <w:r w:rsidR="00BE0309">
        <w:rPr>
          <w:rFonts w:asciiTheme="majorHAnsi" w:hAnsiTheme="majorHAnsi"/>
          <w:sz w:val="24"/>
          <w:szCs w:val="24"/>
        </w:rPr>
        <w:t xml:space="preserve">В якості підстави для </w:t>
      </w:r>
      <w:r w:rsidR="009B45EE">
        <w:rPr>
          <w:rFonts w:asciiTheme="majorHAnsi" w:hAnsiTheme="majorHAnsi"/>
          <w:sz w:val="24"/>
          <w:szCs w:val="24"/>
        </w:rPr>
        <w:t>передачі справи виступає відповідна ухвала.</w:t>
      </w:r>
      <w:r w:rsidR="00611C19">
        <w:rPr>
          <w:rFonts w:asciiTheme="majorHAnsi" w:hAnsiTheme="majorHAnsi"/>
          <w:sz w:val="24"/>
          <w:szCs w:val="24"/>
        </w:rPr>
        <w:t xml:space="preserve"> Однак, рі</w:t>
      </w:r>
      <w:r w:rsidR="0007173F">
        <w:rPr>
          <w:rFonts w:asciiTheme="majorHAnsi" w:hAnsiTheme="majorHAnsi"/>
          <w:sz w:val="24"/>
          <w:szCs w:val="24"/>
        </w:rPr>
        <w:t>шення здійснювати перегляд чи ні приймає Велика Палата Верховного Суду (ч. 6 ст. 347 КАСУ).</w:t>
      </w:r>
    </w:p>
    <w:p w:rsidR="00C9388C" w:rsidRPr="00B77ACC" w:rsidRDefault="005122D1" w:rsidP="00B77A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ініціації відступу від позиції раніше ухвалених рішень Верховного Суду та її перегляду у Великій Палаті </w:t>
      </w:r>
      <w:r w:rsidR="000C243B">
        <w:rPr>
          <w:rFonts w:asciiTheme="majorHAnsi" w:hAnsiTheme="majorHAnsi"/>
          <w:sz w:val="24"/>
          <w:szCs w:val="24"/>
        </w:rPr>
        <w:t>є</w:t>
      </w:r>
      <w:r w:rsidR="00B77ACC">
        <w:rPr>
          <w:rFonts w:asciiTheme="majorHAnsi" w:hAnsiTheme="majorHAnsi"/>
          <w:sz w:val="24"/>
          <w:szCs w:val="24"/>
        </w:rPr>
        <w:t>, зокрема,</w:t>
      </w:r>
      <w:r w:rsidR="000C243B">
        <w:rPr>
          <w:rFonts w:asciiTheme="majorHAnsi" w:hAnsiTheme="majorHAnsi"/>
          <w:sz w:val="24"/>
          <w:szCs w:val="24"/>
        </w:rPr>
        <w:t xml:space="preserve"> таке правове </w:t>
      </w:r>
      <w:r w:rsidR="00BD6CAB">
        <w:rPr>
          <w:rFonts w:asciiTheme="majorHAnsi" w:hAnsiTheme="majorHAnsi"/>
          <w:sz w:val="24"/>
          <w:szCs w:val="24"/>
        </w:rPr>
        <w:t>підґрунтя</w:t>
      </w:r>
      <w:r w:rsidR="000C243B">
        <w:rPr>
          <w:rFonts w:asciiTheme="majorHAnsi" w:hAnsiTheme="majorHAnsi"/>
          <w:sz w:val="24"/>
          <w:szCs w:val="24"/>
        </w:rPr>
        <w:t>:</w:t>
      </w:r>
    </w:p>
    <w:p w:rsidR="00AE31F4" w:rsidRDefault="00B77ACC" w:rsidP="001216FB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216FB">
        <w:rPr>
          <w:rFonts w:asciiTheme="majorHAnsi" w:hAnsiTheme="majorHAnsi"/>
          <w:sz w:val="24"/>
          <w:szCs w:val="24"/>
          <w:u w:val="single"/>
        </w:rPr>
        <w:t xml:space="preserve">Вироки та протоколи щодо директорів постачальників за 205 КК України можуть оцінюватись тільки у комплексі із вироком </w:t>
      </w:r>
      <w:r w:rsidR="009879FF" w:rsidRPr="001216FB">
        <w:rPr>
          <w:rFonts w:asciiTheme="majorHAnsi" w:hAnsiTheme="majorHAnsi"/>
          <w:sz w:val="24"/>
          <w:szCs w:val="24"/>
          <w:u w:val="single"/>
        </w:rPr>
        <w:t>щодо притягнення до відповідальності</w:t>
      </w:r>
      <w:r w:rsidRPr="001216FB">
        <w:rPr>
          <w:rFonts w:asciiTheme="majorHAnsi" w:hAnsiTheme="majorHAnsi"/>
          <w:sz w:val="24"/>
          <w:szCs w:val="24"/>
          <w:u w:val="single"/>
        </w:rPr>
        <w:t xml:space="preserve"> посадової особи платника податків-покупця</w:t>
      </w:r>
      <w:r w:rsidRPr="009627AE">
        <w:rPr>
          <w:rFonts w:asciiTheme="majorHAnsi" w:hAnsiTheme="majorHAnsi"/>
          <w:sz w:val="24"/>
          <w:szCs w:val="24"/>
        </w:rPr>
        <w:t xml:space="preserve"> (зокрема, за ст. </w:t>
      </w:r>
      <w:r w:rsidRPr="009627AE">
        <w:rPr>
          <w:rFonts w:asciiTheme="majorHAnsi" w:hAnsiTheme="majorHAnsi" w:cs="Arial"/>
          <w:sz w:val="24"/>
          <w:szCs w:val="24"/>
        </w:rPr>
        <w:t>366 КК України</w:t>
      </w:r>
      <w:r w:rsidRPr="009627AE">
        <w:rPr>
          <w:rFonts w:asciiTheme="majorHAnsi" w:hAnsiTheme="majorHAnsi"/>
          <w:sz w:val="24"/>
          <w:szCs w:val="24"/>
        </w:rPr>
        <w:t>)</w:t>
      </w:r>
      <w:r w:rsidR="009879FF" w:rsidRPr="009627AE">
        <w:rPr>
          <w:rFonts w:asciiTheme="majorHAnsi" w:hAnsiTheme="majorHAnsi"/>
          <w:sz w:val="24"/>
          <w:szCs w:val="24"/>
        </w:rPr>
        <w:t xml:space="preserve">, </w:t>
      </w:r>
      <w:r w:rsidR="009627AE" w:rsidRPr="009627AE">
        <w:rPr>
          <w:rFonts w:asciiTheme="majorHAnsi" w:hAnsiTheme="majorHAnsi"/>
          <w:sz w:val="24"/>
          <w:szCs w:val="24"/>
        </w:rPr>
        <w:t xml:space="preserve">з огляду на принцип </w:t>
      </w:r>
      <w:r w:rsidR="009627AE">
        <w:rPr>
          <w:rFonts w:asciiTheme="majorHAnsi" w:hAnsiTheme="majorHAnsi"/>
          <w:sz w:val="24"/>
          <w:szCs w:val="24"/>
        </w:rPr>
        <w:t>індивідуальної відповідальност</w:t>
      </w:r>
      <w:r w:rsidR="008432D0">
        <w:rPr>
          <w:rFonts w:asciiTheme="majorHAnsi" w:hAnsiTheme="majorHAnsi"/>
          <w:sz w:val="24"/>
          <w:szCs w:val="24"/>
        </w:rPr>
        <w:t xml:space="preserve">і. Інакше, відсутнє будь-яке пояснення перерахуванню грошей з боку покупця, крім того, що платник податку </w:t>
      </w:r>
      <w:r w:rsidR="00B72A8E">
        <w:rPr>
          <w:rFonts w:asciiTheme="majorHAnsi" w:hAnsiTheme="majorHAnsi"/>
          <w:sz w:val="24"/>
          <w:szCs w:val="24"/>
        </w:rPr>
        <w:t xml:space="preserve">взагалі </w:t>
      </w:r>
      <w:r w:rsidR="008432D0">
        <w:rPr>
          <w:rFonts w:asciiTheme="majorHAnsi" w:hAnsiTheme="majorHAnsi"/>
          <w:sz w:val="24"/>
          <w:szCs w:val="24"/>
        </w:rPr>
        <w:t xml:space="preserve">не контролює внутрішні процеси щодо отримання оплачених товарів/послуг </w:t>
      </w:r>
      <w:r w:rsidR="001216FB">
        <w:rPr>
          <w:rFonts w:asciiTheme="majorHAnsi" w:hAnsiTheme="majorHAnsi"/>
          <w:sz w:val="24"/>
          <w:szCs w:val="24"/>
        </w:rPr>
        <w:t xml:space="preserve">(але з огляду на те, що на боці покупців </w:t>
      </w:r>
      <w:r w:rsidR="00B72A8E">
        <w:rPr>
          <w:rFonts w:asciiTheme="majorHAnsi" w:hAnsiTheme="majorHAnsi"/>
          <w:sz w:val="24"/>
          <w:szCs w:val="24"/>
        </w:rPr>
        <w:t xml:space="preserve">є </w:t>
      </w:r>
      <w:r w:rsidR="001216FB">
        <w:rPr>
          <w:rFonts w:asciiTheme="majorHAnsi" w:hAnsiTheme="majorHAnsi"/>
          <w:sz w:val="24"/>
          <w:szCs w:val="24"/>
        </w:rPr>
        <w:t xml:space="preserve">великі </w:t>
      </w:r>
      <w:r w:rsidR="001216FB">
        <w:rPr>
          <w:rFonts w:asciiTheme="majorHAnsi" w:hAnsiTheme="majorHAnsi"/>
          <w:sz w:val="24"/>
          <w:szCs w:val="24"/>
        </w:rPr>
        <w:lastRenderedPageBreak/>
        <w:t>корпорації із чітко встановленими процедурами прийняття/відван</w:t>
      </w:r>
      <w:r w:rsidR="00B72A8E">
        <w:rPr>
          <w:rFonts w:asciiTheme="majorHAnsi" w:hAnsiTheme="majorHAnsi"/>
          <w:sz w:val="24"/>
          <w:szCs w:val="24"/>
        </w:rPr>
        <w:t>таження товару/послуги, навряд чи таке пояснення</w:t>
      </w:r>
      <w:r w:rsidR="001216FB">
        <w:rPr>
          <w:rFonts w:asciiTheme="majorHAnsi" w:hAnsiTheme="majorHAnsi"/>
          <w:sz w:val="24"/>
          <w:szCs w:val="24"/>
        </w:rPr>
        <w:t xml:space="preserve"> видається логічним)</w:t>
      </w:r>
      <w:r w:rsidR="008432D0">
        <w:rPr>
          <w:rFonts w:asciiTheme="majorHAnsi" w:hAnsiTheme="majorHAnsi"/>
          <w:sz w:val="24"/>
          <w:szCs w:val="24"/>
        </w:rPr>
        <w:t>.</w:t>
      </w:r>
    </w:p>
    <w:p w:rsidR="001216FB" w:rsidRPr="001216FB" w:rsidRDefault="001216FB" w:rsidP="001216FB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B77ACC" w:rsidRDefault="00B77ACC" w:rsidP="00B77AC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216FB">
        <w:rPr>
          <w:rFonts w:asciiTheme="majorHAnsi" w:hAnsiTheme="majorHAnsi"/>
          <w:sz w:val="24"/>
          <w:szCs w:val="24"/>
          <w:u w:val="single"/>
        </w:rPr>
        <w:t xml:space="preserve">Вироки та протоколи щодо директорів постачальників саме за 205 КК </w:t>
      </w:r>
      <w:r w:rsidR="00A53A57" w:rsidRPr="001216FB">
        <w:rPr>
          <w:rFonts w:asciiTheme="majorHAnsi" w:hAnsiTheme="majorHAnsi"/>
          <w:sz w:val="24"/>
          <w:szCs w:val="24"/>
          <w:u w:val="single"/>
        </w:rPr>
        <w:t xml:space="preserve">України </w:t>
      </w:r>
      <w:r w:rsidRPr="001216FB">
        <w:rPr>
          <w:rFonts w:asciiTheme="majorHAnsi" w:hAnsiTheme="majorHAnsi"/>
          <w:sz w:val="24"/>
          <w:szCs w:val="24"/>
          <w:u w:val="single"/>
        </w:rPr>
        <w:t>охоплюють лише момент створення/перереєстрації і не охоплюють подальшої діяльності</w:t>
      </w:r>
      <w:r>
        <w:rPr>
          <w:rFonts w:asciiTheme="majorHAnsi" w:hAnsiTheme="majorHAnsi"/>
          <w:sz w:val="24"/>
          <w:szCs w:val="24"/>
        </w:rPr>
        <w:t xml:space="preserve"> і є обов’язковими лише щодо деяких обставин (відомості про особу та про діяння)</w:t>
      </w:r>
      <w:r w:rsidRPr="00C9388C">
        <w:rPr>
          <w:rFonts w:asciiTheme="majorHAnsi" w:hAnsiTheme="majorHAnsi"/>
          <w:sz w:val="24"/>
          <w:szCs w:val="24"/>
        </w:rPr>
        <w:t>, в тому числі і господарських операцій.</w:t>
      </w:r>
      <w:r>
        <w:rPr>
          <w:rFonts w:asciiTheme="majorHAnsi" w:hAnsiTheme="majorHAnsi"/>
          <w:sz w:val="24"/>
          <w:szCs w:val="24"/>
        </w:rPr>
        <w:t xml:space="preserve"> Тому, такі документи у матеріалах справи можуть свідчити лише про необхідність ретельної уваги до документального підтвердження щодо господарських операцій з таким постачальником. Тобто, вирок та/або протоколи </w:t>
      </w:r>
      <w:r w:rsidRPr="00C9388C">
        <w:rPr>
          <w:rFonts w:asciiTheme="majorHAnsi" w:hAnsiTheme="majorHAnsi"/>
          <w:sz w:val="24"/>
          <w:szCs w:val="24"/>
        </w:rPr>
        <w:t>щодо директорів постачальників саме за 205 КК</w:t>
      </w:r>
      <w:r>
        <w:rPr>
          <w:rFonts w:asciiTheme="majorHAnsi" w:hAnsiTheme="majorHAnsi"/>
          <w:sz w:val="24"/>
          <w:szCs w:val="24"/>
        </w:rPr>
        <w:t xml:space="preserve"> </w:t>
      </w:r>
      <w:r w:rsidR="00A53A57" w:rsidRPr="00A53A57">
        <w:rPr>
          <w:rFonts w:asciiTheme="majorHAnsi" w:hAnsiTheme="majorHAnsi"/>
          <w:sz w:val="24"/>
          <w:szCs w:val="24"/>
        </w:rPr>
        <w:t>України</w:t>
      </w:r>
      <w:r w:rsidR="00A53A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мають оцінюватися </w:t>
      </w:r>
      <w:r w:rsidRPr="001216FB">
        <w:rPr>
          <w:rFonts w:asciiTheme="majorHAnsi" w:hAnsiTheme="majorHAnsi"/>
          <w:sz w:val="24"/>
          <w:szCs w:val="24"/>
          <w:u w:val="single"/>
        </w:rPr>
        <w:t>у комплексі із іншими доказами, і наперед встановленої сили не мають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5122D1" w:rsidRPr="00105BFF" w:rsidRDefault="005122D1" w:rsidP="005122D1">
      <w:pPr>
        <w:ind w:firstLine="709"/>
        <w:jc w:val="both"/>
        <w:rPr>
          <w:rFonts w:asciiTheme="majorHAnsi" w:hAnsiTheme="majorHAnsi" w:cs="Arial"/>
        </w:rPr>
      </w:pPr>
    </w:p>
    <w:sectPr w:rsidR="005122D1" w:rsidRPr="00105B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32" w:rsidRDefault="00804232" w:rsidP="004A6C29">
      <w:pPr>
        <w:spacing w:after="0" w:line="240" w:lineRule="auto"/>
      </w:pPr>
      <w:r>
        <w:separator/>
      </w:r>
    </w:p>
  </w:endnote>
  <w:endnote w:type="continuationSeparator" w:id="0">
    <w:p w:rsidR="00804232" w:rsidRDefault="00804232" w:rsidP="004A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32" w:rsidRDefault="00804232" w:rsidP="004A6C29">
      <w:pPr>
        <w:spacing w:after="0" w:line="240" w:lineRule="auto"/>
      </w:pPr>
      <w:r>
        <w:separator/>
      </w:r>
    </w:p>
  </w:footnote>
  <w:footnote w:type="continuationSeparator" w:id="0">
    <w:p w:rsidR="00804232" w:rsidRDefault="00804232" w:rsidP="004A6C29">
      <w:pPr>
        <w:spacing w:after="0" w:line="240" w:lineRule="auto"/>
      </w:pPr>
      <w:r>
        <w:continuationSeparator/>
      </w:r>
    </w:p>
  </w:footnote>
  <w:footnote w:id="1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1" w:history="1">
        <w:r w:rsidRPr="00D9209C">
          <w:rPr>
            <w:rStyle w:val="Hyperlink"/>
            <w:rFonts w:asciiTheme="majorHAnsi" w:hAnsiTheme="majorHAnsi"/>
            <w:sz w:val="16"/>
          </w:rPr>
          <w:t>http://reyestr.court.gov.ua/Review/69161032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2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2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http://www.reyestr.court.gov.ua/Review/67721341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3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3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http://www.reyestr.court.gov.ua/Review/65537637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4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4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http://www.reyestr.court.gov.ua/Review/55476548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5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5" w:history="1">
        <w:r w:rsidRPr="00D9209C">
          <w:rPr>
            <w:rStyle w:val="Hyperlink"/>
            <w:rFonts w:asciiTheme="majorHAnsi" w:hAnsiTheme="majorHAnsi"/>
            <w:sz w:val="16"/>
          </w:rPr>
          <w:t>http://reyestr.court.gov.ua/Review/52418672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6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6" w:history="1">
        <w:r w:rsidRPr="00D9209C">
          <w:rPr>
            <w:rStyle w:val="Hyperlink"/>
            <w:rFonts w:asciiTheme="majorHAnsi" w:hAnsiTheme="majorHAnsi"/>
            <w:sz w:val="16"/>
          </w:rPr>
          <w:t>http://reyestr.court.gov.ua/Review/54004960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7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  <w:lang w:val="ru-RU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</w:t>
      </w:r>
      <w:r w:rsidRPr="00D9209C">
        <w:rPr>
          <w:rFonts w:asciiTheme="majorHAnsi" w:hAnsiTheme="majorHAnsi"/>
          <w:sz w:val="16"/>
          <w:lang w:val="ru-RU"/>
        </w:rPr>
        <w:t xml:space="preserve">В ЄДРСР за </w:t>
      </w:r>
      <w:proofErr w:type="spellStart"/>
      <w:r w:rsidRPr="00D9209C">
        <w:rPr>
          <w:rFonts w:asciiTheme="majorHAnsi" w:hAnsiTheme="majorHAnsi"/>
          <w:sz w:val="16"/>
          <w:lang w:val="ru-RU"/>
        </w:rPr>
        <w:t>посиланням</w:t>
      </w:r>
      <w:proofErr w:type="spellEnd"/>
      <w:r w:rsidRPr="00D9209C">
        <w:rPr>
          <w:rFonts w:asciiTheme="majorHAnsi" w:hAnsiTheme="majorHAnsi"/>
          <w:sz w:val="16"/>
          <w:lang w:val="ru-RU"/>
        </w:rPr>
        <w:t xml:space="preserve">: </w:t>
      </w:r>
      <w:hyperlink r:id="rId7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http://www.reyestr.court.gov.ua/Review/54688653</w:t>
        </w:r>
      </w:hyperlink>
      <w:r w:rsidRPr="00D9209C">
        <w:rPr>
          <w:rFonts w:asciiTheme="majorHAnsi" w:hAnsiTheme="majorHAnsi"/>
          <w:sz w:val="16"/>
          <w:lang w:val="ru-RU"/>
        </w:rPr>
        <w:t xml:space="preserve"> </w:t>
      </w:r>
    </w:p>
  </w:footnote>
  <w:footnote w:id="8">
    <w:p w:rsidR="00574668" w:rsidRPr="00D9209C" w:rsidRDefault="00574668" w:rsidP="00574668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8" w:history="1">
        <w:r w:rsidRPr="00D9209C">
          <w:rPr>
            <w:rStyle w:val="Hyperlink"/>
            <w:rFonts w:asciiTheme="majorHAnsi" w:hAnsiTheme="majorHAnsi"/>
            <w:sz w:val="16"/>
          </w:rPr>
          <w:t>http://reyestr.court.gov.ua/Review/54688725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9">
    <w:p w:rsidR="00566D49" w:rsidRPr="00D9209C" w:rsidRDefault="00566D49" w:rsidP="00566D49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9" w:history="1">
        <w:r w:rsidRPr="00D9209C">
          <w:rPr>
            <w:rStyle w:val="Hyperlink"/>
            <w:rFonts w:asciiTheme="majorHAnsi" w:hAnsiTheme="majorHAnsi"/>
            <w:sz w:val="16"/>
          </w:rPr>
          <w:t>http://reyestr.court.gov.ua/Review/66119015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10">
    <w:p w:rsidR="00260AE4" w:rsidRPr="00D9209C" w:rsidRDefault="00260AE4" w:rsidP="00260AE4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10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http://www.reyestr.court.gov.ua/Review/71766569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11">
    <w:p w:rsidR="00260AE4" w:rsidRPr="00D9209C" w:rsidRDefault="00260AE4" w:rsidP="00260AE4">
      <w:pPr>
        <w:pStyle w:val="FootnoteText"/>
        <w:rPr>
          <w:rFonts w:asciiTheme="majorHAnsi" w:hAnsiTheme="majorHAnsi"/>
          <w:sz w:val="16"/>
        </w:rPr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11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http://www.reyestr.court.gov.ua/Review/71766589#</w:t>
        </w:r>
      </w:hyperlink>
      <w:r w:rsidRPr="00D9209C">
        <w:rPr>
          <w:rFonts w:asciiTheme="majorHAnsi" w:hAnsiTheme="majorHAnsi"/>
          <w:sz w:val="16"/>
        </w:rPr>
        <w:t xml:space="preserve"> </w:t>
      </w:r>
    </w:p>
  </w:footnote>
  <w:footnote w:id="12">
    <w:p w:rsidR="00260AE4" w:rsidRDefault="00260AE4" w:rsidP="00260AE4">
      <w:pPr>
        <w:pStyle w:val="FootnoteText"/>
      </w:pPr>
      <w:r w:rsidRPr="00D9209C">
        <w:rPr>
          <w:rStyle w:val="FootnoteReference"/>
          <w:rFonts w:asciiTheme="majorHAnsi" w:hAnsiTheme="majorHAnsi"/>
          <w:sz w:val="16"/>
        </w:rPr>
        <w:footnoteRef/>
      </w:r>
      <w:r w:rsidRPr="00D9209C">
        <w:rPr>
          <w:rFonts w:asciiTheme="majorHAnsi" w:hAnsiTheme="majorHAnsi"/>
          <w:sz w:val="16"/>
        </w:rPr>
        <w:t xml:space="preserve"> В ЄДРСР за посиланням: </w:t>
      </w:r>
      <w:hyperlink r:id="rId12" w:history="1">
        <w:r w:rsidRPr="00D9209C">
          <w:rPr>
            <w:rStyle w:val="Hyperlink"/>
            <w:rFonts w:asciiTheme="majorHAnsi" w:hAnsiTheme="majorHAnsi"/>
            <w:sz w:val="16"/>
          </w:rPr>
          <w:t>http://www.reyestr.court.gov.ua/Review/71630425</w:t>
        </w:r>
      </w:hyperlink>
      <w:r w:rsidRPr="00D9209C">
        <w:rPr>
          <w:sz w:val="16"/>
        </w:rPr>
        <w:t xml:space="preserve"> </w:t>
      </w:r>
    </w:p>
  </w:footnote>
  <w:footnote w:id="13">
    <w:p w:rsidR="008E6AC2" w:rsidRPr="001216FB" w:rsidRDefault="008E6AC2" w:rsidP="008E6AC2">
      <w:pPr>
        <w:pStyle w:val="FootnoteText"/>
        <w:rPr>
          <w:rFonts w:asciiTheme="majorHAnsi" w:hAnsiTheme="majorHAnsi"/>
          <w:sz w:val="16"/>
        </w:rPr>
      </w:pPr>
      <w:r w:rsidRPr="001216FB">
        <w:rPr>
          <w:rStyle w:val="FootnoteReference"/>
          <w:rFonts w:asciiTheme="majorHAnsi" w:hAnsiTheme="majorHAnsi"/>
          <w:sz w:val="16"/>
        </w:rPr>
        <w:footnoteRef/>
      </w:r>
      <w:r w:rsidRPr="001216FB">
        <w:rPr>
          <w:rFonts w:asciiTheme="majorHAnsi" w:hAnsiTheme="majorHAnsi"/>
          <w:sz w:val="16"/>
        </w:rPr>
        <w:t xml:space="preserve"> В ЄДРСР за посиланням: </w:t>
      </w:r>
      <w:hyperlink r:id="rId13" w:history="1">
        <w:r w:rsidRPr="001216FB">
          <w:rPr>
            <w:rStyle w:val="Hyperlink"/>
            <w:rFonts w:asciiTheme="majorHAnsi" w:hAnsiTheme="majorHAnsi"/>
            <w:sz w:val="16"/>
          </w:rPr>
          <w:t>http://www.reyestr.court.gov.ua/Review/71911749</w:t>
        </w:r>
      </w:hyperlink>
      <w:r w:rsidRPr="001216FB">
        <w:rPr>
          <w:rFonts w:asciiTheme="majorHAnsi" w:hAnsiTheme="majorHAnsi"/>
          <w:sz w:val="16"/>
        </w:rPr>
        <w:t xml:space="preserve"> </w:t>
      </w:r>
    </w:p>
  </w:footnote>
  <w:footnote w:id="14">
    <w:p w:rsidR="00AF5142" w:rsidRPr="001216FB" w:rsidRDefault="00AF5142">
      <w:pPr>
        <w:pStyle w:val="FootnoteText"/>
        <w:rPr>
          <w:rFonts w:asciiTheme="majorHAnsi" w:hAnsiTheme="majorHAnsi"/>
          <w:sz w:val="16"/>
        </w:rPr>
      </w:pPr>
      <w:r w:rsidRPr="001216FB">
        <w:rPr>
          <w:rStyle w:val="FootnoteReference"/>
          <w:rFonts w:asciiTheme="majorHAnsi" w:hAnsiTheme="majorHAnsi"/>
          <w:sz w:val="16"/>
        </w:rPr>
        <w:footnoteRef/>
      </w:r>
      <w:r w:rsidRPr="001216FB">
        <w:rPr>
          <w:rFonts w:asciiTheme="majorHAnsi" w:hAnsiTheme="majorHAnsi"/>
          <w:sz w:val="16"/>
        </w:rPr>
        <w:t xml:space="preserve"> </w:t>
      </w:r>
      <w:r w:rsidR="00B6434E" w:rsidRPr="001216FB">
        <w:rPr>
          <w:rFonts w:asciiTheme="majorHAnsi" w:hAnsiTheme="majorHAnsi"/>
          <w:sz w:val="16"/>
        </w:rPr>
        <w:t xml:space="preserve">Людмила </w:t>
      </w:r>
      <w:proofErr w:type="spellStart"/>
      <w:r w:rsidR="00B6434E" w:rsidRPr="001216FB">
        <w:rPr>
          <w:rFonts w:asciiTheme="majorHAnsi" w:hAnsiTheme="majorHAnsi"/>
          <w:sz w:val="16"/>
        </w:rPr>
        <w:t>Бившева</w:t>
      </w:r>
      <w:proofErr w:type="spellEnd"/>
      <w:r w:rsidR="00B6434E" w:rsidRPr="001216FB">
        <w:rPr>
          <w:rFonts w:asciiTheme="majorHAnsi" w:hAnsiTheme="majorHAnsi"/>
          <w:sz w:val="16"/>
        </w:rPr>
        <w:t xml:space="preserve">, Ірина Васильєва, Ірина Гончарова, Світлана Пасічник, Тетяна </w:t>
      </w:r>
      <w:proofErr w:type="spellStart"/>
      <w:r w:rsidR="00B6434E" w:rsidRPr="001216FB">
        <w:rPr>
          <w:rFonts w:asciiTheme="majorHAnsi" w:hAnsiTheme="majorHAnsi"/>
          <w:sz w:val="16"/>
        </w:rPr>
        <w:t>Шипуліна</w:t>
      </w:r>
      <w:proofErr w:type="spellEnd"/>
      <w:r w:rsidR="00B6434E" w:rsidRPr="001216FB">
        <w:rPr>
          <w:rFonts w:asciiTheme="majorHAnsi" w:hAnsiTheme="majorHAnsi"/>
          <w:sz w:val="16"/>
        </w:rPr>
        <w:t xml:space="preserve">, В'ячеслав </w:t>
      </w:r>
      <w:proofErr w:type="spellStart"/>
      <w:r w:rsidR="00B6434E" w:rsidRPr="001216FB">
        <w:rPr>
          <w:rFonts w:asciiTheme="majorHAnsi" w:hAnsiTheme="majorHAnsi"/>
          <w:sz w:val="16"/>
        </w:rPr>
        <w:t>Хохуляк</w:t>
      </w:r>
      <w:proofErr w:type="spellEnd"/>
      <w:r w:rsidR="00B6434E" w:rsidRPr="001216FB">
        <w:rPr>
          <w:rFonts w:asciiTheme="majorHAnsi" w:hAnsiTheme="majorHAnsi"/>
          <w:sz w:val="16"/>
        </w:rPr>
        <w:t>, Валентина Юрченко.</w:t>
      </w:r>
    </w:p>
  </w:footnote>
  <w:footnote w:id="15">
    <w:p w:rsidR="002C3CFF" w:rsidRPr="00D9209C" w:rsidRDefault="002C3CFF" w:rsidP="002C3CFF">
      <w:pPr>
        <w:pStyle w:val="FootnoteText"/>
        <w:rPr>
          <w:rFonts w:asciiTheme="majorHAnsi" w:hAnsiTheme="majorHAnsi"/>
          <w:sz w:val="16"/>
        </w:rPr>
      </w:pPr>
      <w:r w:rsidRPr="001216FB">
        <w:rPr>
          <w:rStyle w:val="FootnoteReference"/>
          <w:rFonts w:asciiTheme="majorHAnsi" w:hAnsiTheme="majorHAnsi"/>
          <w:sz w:val="16"/>
        </w:rPr>
        <w:footnoteRef/>
      </w:r>
      <w:r w:rsidRPr="001216FB">
        <w:rPr>
          <w:rFonts w:asciiTheme="majorHAnsi" w:hAnsiTheme="majorHAnsi"/>
          <w:sz w:val="16"/>
        </w:rPr>
        <w:t xml:space="preserve"> В ЄДРСР за посиланням: </w:t>
      </w:r>
      <w:hyperlink r:id="rId14" w:history="1">
        <w:r w:rsidRPr="001216FB">
          <w:rPr>
            <w:rStyle w:val="Hyperlink"/>
            <w:rFonts w:asciiTheme="majorHAnsi" w:hAnsiTheme="majorHAnsi"/>
            <w:sz w:val="16"/>
          </w:rPr>
          <w:t>http://reyestr.court.gov.ua/Review/66119015</w:t>
        </w:r>
      </w:hyperlink>
      <w:r w:rsidRPr="001216FB">
        <w:rPr>
          <w:rFonts w:asciiTheme="majorHAnsi" w:hAnsiTheme="majorHAnsi"/>
          <w:sz w:val="1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617F"/>
    <w:multiLevelType w:val="hybridMultilevel"/>
    <w:tmpl w:val="A4D4086A"/>
    <w:lvl w:ilvl="0" w:tplc="509AA1B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325B"/>
    <w:multiLevelType w:val="hybridMultilevel"/>
    <w:tmpl w:val="F4B8D8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A791E"/>
    <w:multiLevelType w:val="hybridMultilevel"/>
    <w:tmpl w:val="F8B4B83A"/>
    <w:lvl w:ilvl="0" w:tplc="F98E40C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29"/>
    <w:rsid w:val="00000C31"/>
    <w:rsid w:val="000023B5"/>
    <w:rsid w:val="00002E70"/>
    <w:rsid w:val="00004FE1"/>
    <w:rsid w:val="00011FD5"/>
    <w:rsid w:val="00023A69"/>
    <w:rsid w:val="00027F67"/>
    <w:rsid w:val="00036EBE"/>
    <w:rsid w:val="000535DD"/>
    <w:rsid w:val="0007173F"/>
    <w:rsid w:val="00082C72"/>
    <w:rsid w:val="0008663F"/>
    <w:rsid w:val="00086E9D"/>
    <w:rsid w:val="000951DA"/>
    <w:rsid w:val="000A6F65"/>
    <w:rsid w:val="000C243B"/>
    <w:rsid w:val="000C2C24"/>
    <w:rsid w:val="000C38D6"/>
    <w:rsid w:val="000C6A94"/>
    <w:rsid w:val="000D19D4"/>
    <w:rsid w:val="000D36E7"/>
    <w:rsid w:val="000D44D7"/>
    <w:rsid w:val="000D79E0"/>
    <w:rsid w:val="000E3292"/>
    <w:rsid w:val="000E486D"/>
    <w:rsid w:val="000F6397"/>
    <w:rsid w:val="000F75EC"/>
    <w:rsid w:val="00100471"/>
    <w:rsid w:val="00107EDB"/>
    <w:rsid w:val="00112E49"/>
    <w:rsid w:val="0011715B"/>
    <w:rsid w:val="001216FB"/>
    <w:rsid w:val="00126372"/>
    <w:rsid w:val="001279ED"/>
    <w:rsid w:val="00130BA8"/>
    <w:rsid w:val="0013122B"/>
    <w:rsid w:val="0014712D"/>
    <w:rsid w:val="00157861"/>
    <w:rsid w:val="00163E1C"/>
    <w:rsid w:val="00177052"/>
    <w:rsid w:val="00180B75"/>
    <w:rsid w:val="00185E81"/>
    <w:rsid w:val="00186F79"/>
    <w:rsid w:val="00187171"/>
    <w:rsid w:val="001877A0"/>
    <w:rsid w:val="00187AD1"/>
    <w:rsid w:val="00191774"/>
    <w:rsid w:val="001A6094"/>
    <w:rsid w:val="001A681D"/>
    <w:rsid w:val="001A6DF4"/>
    <w:rsid w:val="001B6982"/>
    <w:rsid w:val="001C07FD"/>
    <w:rsid w:val="001D0DCB"/>
    <w:rsid w:val="001E5C16"/>
    <w:rsid w:val="001F5055"/>
    <w:rsid w:val="001F51E6"/>
    <w:rsid w:val="001F52DF"/>
    <w:rsid w:val="002019CA"/>
    <w:rsid w:val="00210667"/>
    <w:rsid w:val="00216775"/>
    <w:rsid w:val="002238EA"/>
    <w:rsid w:val="002329CC"/>
    <w:rsid w:val="002371FB"/>
    <w:rsid w:val="0024412D"/>
    <w:rsid w:val="00260AE4"/>
    <w:rsid w:val="00262560"/>
    <w:rsid w:val="002914FA"/>
    <w:rsid w:val="002917B9"/>
    <w:rsid w:val="002A4F40"/>
    <w:rsid w:val="002B3CC8"/>
    <w:rsid w:val="002B5793"/>
    <w:rsid w:val="002C0702"/>
    <w:rsid w:val="002C3391"/>
    <w:rsid w:val="002C3CFF"/>
    <w:rsid w:val="002E360E"/>
    <w:rsid w:val="002E5E42"/>
    <w:rsid w:val="002F4DDA"/>
    <w:rsid w:val="0030441C"/>
    <w:rsid w:val="003077E5"/>
    <w:rsid w:val="003135CC"/>
    <w:rsid w:val="00314280"/>
    <w:rsid w:val="00324626"/>
    <w:rsid w:val="00327D82"/>
    <w:rsid w:val="00330A5D"/>
    <w:rsid w:val="0033759F"/>
    <w:rsid w:val="003548A8"/>
    <w:rsid w:val="00360605"/>
    <w:rsid w:val="00377AA0"/>
    <w:rsid w:val="00383278"/>
    <w:rsid w:val="003836D2"/>
    <w:rsid w:val="00385730"/>
    <w:rsid w:val="003A41DC"/>
    <w:rsid w:val="003A5251"/>
    <w:rsid w:val="003A52E2"/>
    <w:rsid w:val="003A7337"/>
    <w:rsid w:val="003B1BB7"/>
    <w:rsid w:val="003B4C3A"/>
    <w:rsid w:val="003D390F"/>
    <w:rsid w:val="003E416F"/>
    <w:rsid w:val="003F324A"/>
    <w:rsid w:val="003F43B1"/>
    <w:rsid w:val="004038B8"/>
    <w:rsid w:val="00405FF9"/>
    <w:rsid w:val="00410382"/>
    <w:rsid w:val="00415918"/>
    <w:rsid w:val="00416B06"/>
    <w:rsid w:val="00421834"/>
    <w:rsid w:val="00423072"/>
    <w:rsid w:val="0042396E"/>
    <w:rsid w:val="00432B97"/>
    <w:rsid w:val="00443C68"/>
    <w:rsid w:val="004469F2"/>
    <w:rsid w:val="00451A6C"/>
    <w:rsid w:val="004A6C29"/>
    <w:rsid w:val="004B151D"/>
    <w:rsid w:val="004C2D5C"/>
    <w:rsid w:val="004D0335"/>
    <w:rsid w:val="004D04B6"/>
    <w:rsid w:val="004D5DC8"/>
    <w:rsid w:val="004F0428"/>
    <w:rsid w:val="005122D1"/>
    <w:rsid w:val="005259C2"/>
    <w:rsid w:val="00527350"/>
    <w:rsid w:val="00527D6E"/>
    <w:rsid w:val="00552080"/>
    <w:rsid w:val="00552F02"/>
    <w:rsid w:val="00563ADE"/>
    <w:rsid w:val="00566D49"/>
    <w:rsid w:val="00567F54"/>
    <w:rsid w:val="005743F5"/>
    <w:rsid w:val="00574668"/>
    <w:rsid w:val="00574833"/>
    <w:rsid w:val="005767A1"/>
    <w:rsid w:val="005775D1"/>
    <w:rsid w:val="005A03D2"/>
    <w:rsid w:val="005B4C88"/>
    <w:rsid w:val="005B5993"/>
    <w:rsid w:val="005C2F13"/>
    <w:rsid w:val="005C4784"/>
    <w:rsid w:val="005F208D"/>
    <w:rsid w:val="005F6C17"/>
    <w:rsid w:val="00602C74"/>
    <w:rsid w:val="0060684A"/>
    <w:rsid w:val="00611C19"/>
    <w:rsid w:val="00617A24"/>
    <w:rsid w:val="00622961"/>
    <w:rsid w:val="0062606A"/>
    <w:rsid w:val="00630B6C"/>
    <w:rsid w:val="00631C92"/>
    <w:rsid w:val="0063447D"/>
    <w:rsid w:val="00634E17"/>
    <w:rsid w:val="0063724A"/>
    <w:rsid w:val="006405FC"/>
    <w:rsid w:val="00641213"/>
    <w:rsid w:val="00643127"/>
    <w:rsid w:val="00654BB6"/>
    <w:rsid w:val="00680B37"/>
    <w:rsid w:val="006914F9"/>
    <w:rsid w:val="006972BB"/>
    <w:rsid w:val="00697819"/>
    <w:rsid w:val="006A3D42"/>
    <w:rsid w:val="006B4929"/>
    <w:rsid w:val="006D6EF3"/>
    <w:rsid w:val="006E4651"/>
    <w:rsid w:val="006E62BD"/>
    <w:rsid w:val="0070193B"/>
    <w:rsid w:val="0071540B"/>
    <w:rsid w:val="00720E71"/>
    <w:rsid w:val="007346E8"/>
    <w:rsid w:val="0074136F"/>
    <w:rsid w:val="00745FBA"/>
    <w:rsid w:val="00751C91"/>
    <w:rsid w:val="00757821"/>
    <w:rsid w:val="00771402"/>
    <w:rsid w:val="00775352"/>
    <w:rsid w:val="007868CC"/>
    <w:rsid w:val="007A33E4"/>
    <w:rsid w:val="007A4240"/>
    <w:rsid w:val="007A4DBF"/>
    <w:rsid w:val="007E37B0"/>
    <w:rsid w:val="007E6227"/>
    <w:rsid w:val="007F668A"/>
    <w:rsid w:val="007F6E5F"/>
    <w:rsid w:val="007F7DDE"/>
    <w:rsid w:val="008028AB"/>
    <w:rsid w:val="00804232"/>
    <w:rsid w:val="008043F1"/>
    <w:rsid w:val="00812744"/>
    <w:rsid w:val="00824884"/>
    <w:rsid w:val="00833E2A"/>
    <w:rsid w:val="00841018"/>
    <w:rsid w:val="00842149"/>
    <w:rsid w:val="008432D0"/>
    <w:rsid w:val="00845D93"/>
    <w:rsid w:val="008461A8"/>
    <w:rsid w:val="00846B5C"/>
    <w:rsid w:val="00863AC5"/>
    <w:rsid w:val="008675B9"/>
    <w:rsid w:val="008707DE"/>
    <w:rsid w:val="00876405"/>
    <w:rsid w:val="00890F45"/>
    <w:rsid w:val="00894AC5"/>
    <w:rsid w:val="0089528D"/>
    <w:rsid w:val="008961AE"/>
    <w:rsid w:val="008A03A7"/>
    <w:rsid w:val="008B0C49"/>
    <w:rsid w:val="008C05D2"/>
    <w:rsid w:val="008C4822"/>
    <w:rsid w:val="008C5F42"/>
    <w:rsid w:val="008D1B2B"/>
    <w:rsid w:val="008D696A"/>
    <w:rsid w:val="008D7612"/>
    <w:rsid w:val="008E6AC2"/>
    <w:rsid w:val="008F789D"/>
    <w:rsid w:val="00914BAF"/>
    <w:rsid w:val="009267F1"/>
    <w:rsid w:val="00926B4B"/>
    <w:rsid w:val="009322B4"/>
    <w:rsid w:val="009448D2"/>
    <w:rsid w:val="009535A1"/>
    <w:rsid w:val="00961BF5"/>
    <w:rsid w:val="009627AE"/>
    <w:rsid w:val="00977AC9"/>
    <w:rsid w:val="00981000"/>
    <w:rsid w:val="00984AAA"/>
    <w:rsid w:val="009879FF"/>
    <w:rsid w:val="009932BA"/>
    <w:rsid w:val="009946A1"/>
    <w:rsid w:val="009958EA"/>
    <w:rsid w:val="00996A24"/>
    <w:rsid w:val="009A7AF0"/>
    <w:rsid w:val="009A7D55"/>
    <w:rsid w:val="009B3A30"/>
    <w:rsid w:val="009B45EE"/>
    <w:rsid w:val="009B4C6E"/>
    <w:rsid w:val="009B51EF"/>
    <w:rsid w:val="009C5D5C"/>
    <w:rsid w:val="009D3104"/>
    <w:rsid w:val="009D5215"/>
    <w:rsid w:val="009D6258"/>
    <w:rsid w:val="009E44A1"/>
    <w:rsid w:val="009F4567"/>
    <w:rsid w:val="009F6C46"/>
    <w:rsid w:val="00A00829"/>
    <w:rsid w:val="00A04E23"/>
    <w:rsid w:val="00A150D5"/>
    <w:rsid w:val="00A150E7"/>
    <w:rsid w:val="00A16521"/>
    <w:rsid w:val="00A222D3"/>
    <w:rsid w:val="00A26EA8"/>
    <w:rsid w:val="00A32D7F"/>
    <w:rsid w:val="00A44220"/>
    <w:rsid w:val="00A466CC"/>
    <w:rsid w:val="00A46880"/>
    <w:rsid w:val="00A53A57"/>
    <w:rsid w:val="00A63294"/>
    <w:rsid w:val="00A65DF4"/>
    <w:rsid w:val="00A81DA8"/>
    <w:rsid w:val="00A8782D"/>
    <w:rsid w:val="00A90299"/>
    <w:rsid w:val="00A9117D"/>
    <w:rsid w:val="00A95931"/>
    <w:rsid w:val="00AA0646"/>
    <w:rsid w:val="00AA12C6"/>
    <w:rsid w:val="00AB0306"/>
    <w:rsid w:val="00AC0360"/>
    <w:rsid w:val="00AC485A"/>
    <w:rsid w:val="00AC4EFE"/>
    <w:rsid w:val="00AD59E9"/>
    <w:rsid w:val="00AD7A0E"/>
    <w:rsid w:val="00AD7A1E"/>
    <w:rsid w:val="00AE19AA"/>
    <w:rsid w:val="00AE31F4"/>
    <w:rsid w:val="00AF2851"/>
    <w:rsid w:val="00AF5142"/>
    <w:rsid w:val="00AF58B2"/>
    <w:rsid w:val="00B13FE4"/>
    <w:rsid w:val="00B23465"/>
    <w:rsid w:val="00B237BC"/>
    <w:rsid w:val="00B35BD3"/>
    <w:rsid w:val="00B53FF9"/>
    <w:rsid w:val="00B6434E"/>
    <w:rsid w:val="00B72A8E"/>
    <w:rsid w:val="00B773F0"/>
    <w:rsid w:val="00B77ACC"/>
    <w:rsid w:val="00B814C2"/>
    <w:rsid w:val="00B844B6"/>
    <w:rsid w:val="00B910D8"/>
    <w:rsid w:val="00B977E2"/>
    <w:rsid w:val="00BA25D2"/>
    <w:rsid w:val="00BB19FB"/>
    <w:rsid w:val="00BB4B10"/>
    <w:rsid w:val="00BB6D43"/>
    <w:rsid w:val="00BC4804"/>
    <w:rsid w:val="00BC656D"/>
    <w:rsid w:val="00BD49F2"/>
    <w:rsid w:val="00BD6CAB"/>
    <w:rsid w:val="00BE0309"/>
    <w:rsid w:val="00BE5093"/>
    <w:rsid w:val="00BF488D"/>
    <w:rsid w:val="00C01FF0"/>
    <w:rsid w:val="00C0719E"/>
    <w:rsid w:val="00C24C70"/>
    <w:rsid w:val="00C250DF"/>
    <w:rsid w:val="00C32274"/>
    <w:rsid w:val="00C33417"/>
    <w:rsid w:val="00C36B28"/>
    <w:rsid w:val="00C5554E"/>
    <w:rsid w:val="00C61DE7"/>
    <w:rsid w:val="00C63FE6"/>
    <w:rsid w:val="00C65DCF"/>
    <w:rsid w:val="00C817B0"/>
    <w:rsid w:val="00C9388C"/>
    <w:rsid w:val="00C96799"/>
    <w:rsid w:val="00CA11A3"/>
    <w:rsid w:val="00CA43F7"/>
    <w:rsid w:val="00CA75DE"/>
    <w:rsid w:val="00CB5A44"/>
    <w:rsid w:val="00CC69C9"/>
    <w:rsid w:val="00CC7608"/>
    <w:rsid w:val="00CD112D"/>
    <w:rsid w:val="00CD5331"/>
    <w:rsid w:val="00CE0F6D"/>
    <w:rsid w:val="00CE24DB"/>
    <w:rsid w:val="00CF250C"/>
    <w:rsid w:val="00CF7BF2"/>
    <w:rsid w:val="00D01145"/>
    <w:rsid w:val="00D11AC5"/>
    <w:rsid w:val="00D17F3F"/>
    <w:rsid w:val="00D20D04"/>
    <w:rsid w:val="00D2168E"/>
    <w:rsid w:val="00D316B1"/>
    <w:rsid w:val="00D34794"/>
    <w:rsid w:val="00D34DCA"/>
    <w:rsid w:val="00D47C09"/>
    <w:rsid w:val="00D53A61"/>
    <w:rsid w:val="00D627EB"/>
    <w:rsid w:val="00D729EE"/>
    <w:rsid w:val="00D9209C"/>
    <w:rsid w:val="00DA0569"/>
    <w:rsid w:val="00DA6D5B"/>
    <w:rsid w:val="00DC29F9"/>
    <w:rsid w:val="00DC764F"/>
    <w:rsid w:val="00DF11A2"/>
    <w:rsid w:val="00E2205E"/>
    <w:rsid w:val="00E268A3"/>
    <w:rsid w:val="00E3237C"/>
    <w:rsid w:val="00E32ADE"/>
    <w:rsid w:val="00E4656A"/>
    <w:rsid w:val="00E564F3"/>
    <w:rsid w:val="00E57331"/>
    <w:rsid w:val="00E62167"/>
    <w:rsid w:val="00E71134"/>
    <w:rsid w:val="00E72840"/>
    <w:rsid w:val="00E85C67"/>
    <w:rsid w:val="00EA535F"/>
    <w:rsid w:val="00EB2403"/>
    <w:rsid w:val="00EB4097"/>
    <w:rsid w:val="00EB4417"/>
    <w:rsid w:val="00EB4F8E"/>
    <w:rsid w:val="00EC6A48"/>
    <w:rsid w:val="00ED765E"/>
    <w:rsid w:val="00EF0EAB"/>
    <w:rsid w:val="00F056BB"/>
    <w:rsid w:val="00F07671"/>
    <w:rsid w:val="00F200F0"/>
    <w:rsid w:val="00F30AF9"/>
    <w:rsid w:val="00F4129C"/>
    <w:rsid w:val="00F41689"/>
    <w:rsid w:val="00F43779"/>
    <w:rsid w:val="00F4614A"/>
    <w:rsid w:val="00F6601E"/>
    <w:rsid w:val="00F71BA7"/>
    <w:rsid w:val="00F761B5"/>
    <w:rsid w:val="00F93297"/>
    <w:rsid w:val="00FC5574"/>
    <w:rsid w:val="00FD0B50"/>
    <w:rsid w:val="00FD5A71"/>
    <w:rsid w:val="00FE5147"/>
    <w:rsid w:val="00FE5BF3"/>
    <w:rsid w:val="00FF05DD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AE2E"/>
  <w15:docId w15:val="{18ABEB2C-DA30-45DA-94B3-C32DA65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929"/>
    <w:pPr>
      <w:spacing w:after="160" w:line="252" w:lineRule="auto"/>
    </w:pPr>
    <w:rPr>
      <w:rFonts w:ascii="Calibri" w:hAnsi="Calibri" w:cs="Calibri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C29"/>
    <w:rPr>
      <w:rFonts w:ascii="Calibri" w:hAnsi="Calibri" w:cs="Calibri"/>
      <w:sz w:val="20"/>
      <w:szCs w:val="20"/>
      <w:lang w:eastAsia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4A6C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237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D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D43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CommentReference">
    <w:name w:val="annotation reference"/>
    <w:basedOn w:val="DefaultParagraphFont"/>
    <w:uiPriority w:val="99"/>
    <w:semiHidden/>
    <w:unhideWhenUsed/>
    <w:rsid w:val="00AC0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360"/>
    <w:rPr>
      <w:rFonts w:ascii="Calibri" w:hAnsi="Calibri" w:cs="Calibri"/>
      <w:sz w:val="20"/>
      <w:szCs w:val="20"/>
      <w:lang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360"/>
    <w:rPr>
      <w:rFonts w:ascii="Calibri" w:hAnsi="Calibri" w:cs="Calibri"/>
      <w:b/>
      <w:bCs/>
      <w:sz w:val="20"/>
      <w:szCs w:val="20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60"/>
    <w:rPr>
      <w:rFonts w:ascii="Tahoma" w:hAnsi="Tahoma" w:cs="Tahoma"/>
      <w:sz w:val="16"/>
      <w:szCs w:val="16"/>
      <w:lang w:eastAsia="uk-UA"/>
    </w:rPr>
  </w:style>
  <w:style w:type="paragraph" w:styleId="NormalWeb">
    <w:name w:val="Normal (Web)"/>
    <w:basedOn w:val="Normal"/>
    <w:uiPriority w:val="99"/>
    <w:unhideWhenUsed/>
    <w:rsid w:val="00842149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69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165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eyestr.court.gov.ua/Review/54688725" TargetMode="External"/><Relationship Id="rId13" Type="http://schemas.openxmlformats.org/officeDocument/2006/relationships/hyperlink" Target="http://www.reyestr.court.gov.ua/Review/71911749" TargetMode="External"/><Relationship Id="rId3" Type="http://schemas.openxmlformats.org/officeDocument/2006/relationships/hyperlink" Target="http://www.reyestr.court.gov.ua/Review/65537637" TargetMode="External"/><Relationship Id="rId7" Type="http://schemas.openxmlformats.org/officeDocument/2006/relationships/hyperlink" Target="http://www.reyestr.court.gov.ua/Review/54688653" TargetMode="External"/><Relationship Id="rId12" Type="http://schemas.openxmlformats.org/officeDocument/2006/relationships/hyperlink" Target="http://www.reyestr.court.gov.ua/Review/71630425" TargetMode="External"/><Relationship Id="rId2" Type="http://schemas.openxmlformats.org/officeDocument/2006/relationships/hyperlink" Target="http://www.reyestr.court.gov.ua/Review/67721341" TargetMode="External"/><Relationship Id="rId1" Type="http://schemas.openxmlformats.org/officeDocument/2006/relationships/hyperlink" Target="http://reyestr.court.gov.ua/Review/69161032" TargetMode="External"/><Relationship Id="rId6" Type="http://schemas.openxmlformats.org/officeDocument/2006/relationships/hyperlink" Target="http://reyestr.court.gov.ua/Review/54004960" TargetMode="External"/><Relationship Id="rId11" Type="http://schemas.openxmlformats.org/officeDocument/2006/relationships/hyperlink" Target="http://www.reyestr.court.gov.ua/Review/71766589" TargetMode="External"/><Relationship Id="rId5" Type="http://schemas.openxmlformats.org/officeDocument/2006/relationships/hyperlink" Target="http://reyestr.court.gov.ua/Review/52418672" TargetMode="External"/><Relationship Id="rId10" Type="http://schemas.openxmlformats.org/officeDocument/2006/relationships/hyperlink" Target="http://www.reyestr.court.gov.ua/Review/71766569" TargetMode="External"/><Relationship Id="rId4" Type="http://schemas.openxmlformats.org/officeDocument/2006/relationships/hyperlink" Target="http://www.reyestr.court.gov.ua/Review/55476548" TargetMode="External"/><Relationship Id="rId9" Type="http://schemas.openxmlformats.org/officeDocument/2006/relationships/hyperlink" Target="http://reyestr.court.gov.ua/Review/66119015" TargetMode="External"/><Relationship Id="rId14" Type="http://schemas.openxmlformats.org/officeDocument/2006/relationships/hyperlink" Target="http://reyestr.court.gov.ua/Review/66119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B82D5-67EB-4057-B9E7-0EF5B61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Kozlenko</dc:creator>
  <cp:lastModifiedBy>Mariia Goncharenko</cp:lastModifiedBy>
  <cp:revision>2</cp:revision>
  <cp:lastPrinted>2018-02-06T13:18:00Z</cp:lastPrinted>
  <dcterms:created xsi:type="dcterms:W3CDTF">2018-02-08T11:48:00Z</dcterms:created>
  <dcterms:modified xsi:type="dcterms:W3CDTF">2018-02-08T11:48:00Z</dcterms:modified>
</cp:coreProperties>
</file>