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ED3C" w14:textId="77777777" w:rsidR="006D1AF0" w:rsidRPr="004D3694" w:rsidRDefault="006D1AF0" w:rsidP="006D1AF0">
      <w:pPr>
        <w:spacing w:line="276" w:lineRule="auto"/>
        <w:ind w:firstLine="720"/>
        <w:jc w:val="center"/>
        <w:rPr>
          <w:rStyle w:val="Strong"/>
          <w:bCs w:val="0"/>
          <w:lang w:val="uk-UA"/>
        </w:rPr>
      </w:pPr>
      <w:r w:rsidRPr="004D3694">
        <w:rPr>
          <w:rStyle w:val="Strong"/>
          <w:bCs w:val="0"/>
          <w:lang w:val="uk-UA"/>
        </w:rPr>
        <w:t>Аналіз регуляторного впливу</w:t>
      </w:r>
    </w:p>
    <w:p w14:paraId="301FF8BB" w14:textId="77777777" w:rsidR="006D1AF0" w:rsidRPr="004D3694" w:rsidRDefault="006D1AF0" w:rsidP="006D1AF0">
      <w:pPr>
        <w:spacing w:line="276" w:lineRule="auto"/>
        <w:ind w:firstLine="720"/>
        <w:jc w:val="center"/>
        <w:rPr>
          <w:b/>
          <w:lang w:val="uk-UA"/>
        </w:rPr>
      </w:pPr>
      <w:r w:rsidRPr="004D3694">
        <w:rPr>
          <w:b/>
          <w:lang w:val="uk-UA"/>
        </w:rPr>
        <w:t>д</w:t>
      </w:r>
      <w:r w:rsidRPr="004D3694">
        <w:rPr>
          <w:b/>
        </w:rPr>
        <w:t>о проекту наказу М</w:t>
      </w:r>
      <w:proofErr w:type="spellStart"/>
      <w:r w:rsidRPr="004D3694">
        <w:rPr>
          <w:b/>
          <w:lang w:val="uk-UA"/>
        </w:rPr>
        <w:t>іністерства</w:t>
      </w:r>
      <w:proofErr w:type="spellEnd"/>
      <w:r w:rsidRPr="004D3694">
        <w:rPr>
          <w:b/>
          <w:lang w:val="uk-UA"/>
        </w:rPr>
        <w:t xml:space="preserve"> аграрної політики та продовольства України «Про внесення змін до Порядку проведення повторної фітосанітарної (арбітражної) експертизи»</w:t>
      </w:r>
    </w:p>
    <w:p w14:paraId="5595E0EB" w14:textId="77777777" w:rsidR="006D1AF0" w:rsidRPr="004D3694" w:rsidRDefault="006D1AF0" w:rsidP="006D1AF0">
      <w:pPr>
        <w:spacing w:line="276" w:lineRule="auto"/>
        <w:rPr>
          <w:b/>
        </w:rPr>
      </w:pPr>
    </w:p>
    <w:p w14:paraId="71E2800B" w14:textId="77777777" w:rsidR="006D1AF0" w:rsidRPr="004D3694" w:rsidRDefault="006D1AF0" w:rsidP="006D1AF0">
      <w:pPr>
        <w:tabs>
          <w:tab w:val="left" w:pos="426"/>
        </w:tabs>
        <w:spacing w:after="120"/>
        <w:jc w:val="both"/>
        <w:rPr>
          <w:rStyle w:val="Strong"/>
          <w:bCs w:val="0"/>
          <w:lang w:val="uk-UA"/>
        </w:rPr>
      </w:pPr>
      <w:r w:rsidRPr="004D3694">
        <w:rPr>
          <w:rStyle w:val="Strong"/>
          <w:bCs w:val="0"/>
          <w:lang w:val="uk-UA"/>
        </w:rPr>
        <w:t>І.</w:t>
      </w:r>
      <w:r w:rsidRPr="004D3694">
        <w:rPr>
          <w:rStyle w:val="Strong"/>
          <w:bCs w:val="0"/>
          <w:lang w:val="uk-UA"/>
        </w:rPr>
        <w:tab/>
        <w:t>Визначення проблеми, яку передбачається розв’язати шляхом державного регулювання</w:t>
      </w:r>
    </w:p>
    <w:p w14:paraId="19571CAF" w14:textId="77777777" w:rsidR="006D1AF0" w:rsidRPr="004D3694" w:rsidRDefault="00D76D2B" w:rsidP="00096763">
      <w:pPr>
        <w:tabs>
          <w:tab w:val="left" w:pos="426"/>
        </w:tabs>
        <w:spacing w:before="120" w:after="120" w:line="276" w:lineRule="auto"/>
        <w:ind w:firstLine="426"/>
        <w:jc w:val="both"/>
        <w:rPr>
          <w:lang w:val="uk-UA"/>
        </w:rPr>
      </w:pPr>
      <w:r w:rsidRPr="004D3694">
        <w:rPr>
          <w:lang w:val="uk-UA"/>
        </w:rPr>
        <w:t xml:space="preserve">Проект наказу Мінагрополітики України </w:t>
      </w:r>
      <w:r w:rsidRPr="004D3694">
        <w:rPr>
          <w:bCs/>
          <w:lang w:val="uk-UA"/>
        </w:rPr>
        <w:t>«</w:t>
      </w:r>
      <w:r w:rsidRPr="004D3694">
        <w:rPr>
          <w:lang w:val="uk-UA"/>
        </w:rPr>
        <w:t>Про внесення змін до Порядку проведення повторної фітосанітарної (арбітражної) експертизи»</w:t>
      </w:r>
      <w:r w:rsidR="004535B4" w:rsidRPr="004D3694">
        <w:rPr>
          <w:lang w:val="uk-UA"/>
        </w:rPr>
        <w:t xml:space="preserve"> (далі – проект Н</w:t>
      </w:r>
      <w:r w:rsidR="00E010B7" w:rsidRPr="004D3694">
        <w:rPr>
          <w:lang w:val="uk-UA"/>
        </w:rPr>
        <w:t>аказу)</w:t>
      </w:r>
      <w:r w:rsidRPr="004D3694">
        <w:rPr>
          <w:lang w:val="uk-UA"/>
        </w:rPr>
        <w:t xml:space="preserve"> підготовлено </w:t>
      </w:r>
      <w:r w:rsidR="00861FE0" w:rsidRPr="004D3694">
        <w:rPr>
          <w:lang w:val="uk-UA"/>
        </w:rPr>
        <w:t xml:space="preserve">Державною службою України з питань безпечності харчових продуктів та захисту споживачів </w:t>
      </w:r>
      <w:r w:rsidR="00861FE0" w:rsidRPr="004D3694">
        <w:rPr>
          <w:shd w:val="clear" w:color="auto" w:fill="FFFFFF"/>
          <w:lang w:val="uk-UA"/>
        </w:rPr>
        <w:t xml:space="preserve">на виконання пункту </w:t>
      </w:r>
      <w:r w:rsidR="0013106C" w:rsidRPr="004D3694">
        <w:rPr>
          <w:lang w:val="uk-UA"/>
        </w:rPr>
        <w:t xml:space="preserve">на виконання </w:t>
      </w:r>
      <w:r w:rsidR="0044170A" w:rsidRPr="004D3694">
        <w:rPr>
          <w:lang w:val="uk-UA"/>
        </w:rPr>
        <w:t xml:space="preserve">статті </w:t>
      </w:r>
      <w:r w:rsidRPr="004D3694">
        <w:rPr>
          <w:lang w:val="uk-UA"/>
        </w:rPr>
        <w:t>13 Закону України «Про карантин рослин»</w:t>
      </w:r>
      <w:r w:rsidR="00861FE0" w:rsidRPr="004D3694">
        <w:rPr>
          <w:lang w:val="uk-UA"/>
        </w:rPr>
        <w:t>.</w:t>
      </w:r>
    </w:p>
    <w:p w14:paraId="3DF434A0" w14:textId="77777777" w:rsidR="005415E4" w:rsidRPr="004D3694" w:rsidRDefault="005415E4" w:rsidP="005415E4">
      <w:pPr>
        <w:tabs>
          <w:tab w:val="left" w:pos="426"/>
        </w:tabs>
        <w:spacing w:before="120" w:after="120" w:line="276" w:lineRule="auto"/>
        <w:ind w:firstLine="426"/>
        <w:jc w:val="both"/>
        <w:rPr>
          <w:lang w:val="uk-UA"/>
        </w:rPr>
      </w:pPr>
      <w:r w:rsidRPr="004D3694">
        <w:rPr>
          <w:rStyle w:val="Strong"/>
          <w:b w:val="0"/>
          <w:bCs w:val="0"/>
          <w:lang w:val="uk-UA"/>
        </w:rPr>
        <w:t xml:space="preserve">Наразі експорт сільськогосподарської продукції рослинного походження складає основу в забезпеченні економічного зростання України. Так, </w:t>
      </w:r>
      <w:r w:rsidRPr="004D3694">
        <w:rPr>
          <w:lang w:val="uk-UA"/>
        </w:rPr>
        <w:t>зерно є однією з основних статей валютних надходжень в економіку України. Тільки за останніх 5 років сукупна експортна виручка від реалізації зернових склала понад 32,4 млрд. дол. США з позитивним сальдо зовнішньої торгівлі на рівні 31,2 млрд. дол. США. Наразі Україна входить до трійки найбільших експортерів зерна у світі.</w:t>
      </w:r>
    </w:p>
    <w:p w14:paraId="5C93A9CD" w14:textId="77777777" w:rsidR="002E3333" w:rsidRPr="004D3694" w:rsidRDefault="002E3333" w:rsidP="00096763">
      <w:pPr>
        <w:pStyle w:val="NormalWeb"/>
        <w:spacing w:before="120" w:beforeAutospacing="0" w:after="120" w:afterAutospacing="0" w:line="276" w:lineRule="auto"/>
        <w:ind w:firstLine="425"/>
        <w:jc w:val="both"/>
        <w:rPr>
          <w:lang w:eastAsia="ru-RU"/>
        </w:rPr>
      </w:pPr>
      <w:r w:rsidRPr="004D3694">
        <w:t xml:space="preserve">Фітосанітарна експертиза є складовою частиною державного контролю в Україні. </w:t>
      </w:r>
      <w:r w:rsidRPr="004D3694">
        <w:rPr>
          <w:lang w:eastAsia="ru-RU"/>
        </w:rPr>
        <w:t>Фітосанітарний контроль здійснюється як у межах держави, так і на державному кордоні, тому розрізняють контроль внутрішній і зовнішній, як і карантин рослин. Фітосанітарному контролю підлягають усі під-карантинні матеріали і об'єкти, що перетинають державний кордон України та межі особливих карантинних зон.</w:t>
      </w:r>
    </w:p>
    <w:p w14:paraId="27E608D9" w14:textId="77777777" w:rsidR="002E3333" w:rsidRPr="004D3694" w:rsidRDefault="002E3333" w:rsidP="00096763">
      <w:pPr>
        <w:pStyle w:val="NormalWeb"/>
        <w:spacing w:before="120" w:beforeAutospacing="0" w:after="120" w:afterAutospacing="0" w:line="276" w:lineRule="auto"/>
        <w:ind w:firstLine="425"/>
        <w:jc w:val="both"/>
        <w:rPr>
          <w:lang w:eastAsia="ru-RU"/>
        </w:rPr>
      </w:pPr>
      <w:r w:rsidRPr="004D3694">
        <w:rPr>
          <w:lang w:eastAsia="ru-RU"/>
        </w:rPr>
        <w:t>Фітосанітарний контроль товарів рослинного походження полягає у застосуванні системи заходів, спрямованих на охорону території України від проникнення з-за кордону карантинних та інших небезпечних шкідників, хвороб рослин і бур'янів, що можуть завдавати значних збитків господарству України. Контроль поширюється на всі під-карантинні матеріали та об'єкти, транспортні засоби, що надходять в Україну. Під-карантинними матеріалами є харчові продукти, продовольчі й непродовольчі товари.</w:t>
      </w:r>
    </w:p>
    <w:p w14:paraId="3EEE2B79" w14:textId="77777777" w:rsidR="008D4A65" w:rsidRPr="004D3694" w:rsidRDefault="005415E4" w:rsidP="00096763">
      <w:pPr>
        <w:tabs>
          <w:tab w:val="left" w:pos="426"/>
        </w:tabs>
        <w:spacing w:before="120" w:after="120" w:line="276" w:lineRule="auto"/>
        <w:ind w:firstLine="426"/>
        <w:jc w:val="both"/>
        <w:rPr>
          <w:lang w:val="uk-UA"/>
        </w:rPr>
      </w:pPr>
      <w:r w:rsidRPr="004D3694">
        <w:rPr>
          <w:rStyle w:val="Strong"/>
          <w:b w:val="0"/>
          <w:bCs w:val="0"/>
          <w:lang w:val="uk-UA"/>
        </w:rPr>
        <w:t>Варто зазначити, що впродовж 2016 року</w:t>
      </w:r>
      <w:r w:rsidR="008D4A65" w:rsidRPr="004D3694">
        <w:rPr>
          <w:lang w:val="uk-UA"/>
        </w:rPr>
        <w:t xml:space="preserve"> державними фітосанітарними інспекторами при експорті здійснено огляд: більше ніж 53,5 млн. тонн; майже 8 млн. одиниць; 27,1 млн. штук; 7,7 млн. куб. м. та 6,5 млн. </w:t>
      </w:r>
      <w:proofErr w:type="spellStart"/>
      <w:r w:rsidR="008D4A65" w:rsidRPr="004D3694">
        <w:rPr>
          <w:lang w:val="uk-UA"/>
        </w:rPr>
        <w:t>кв.м</w:t>
      </w:r>
      <w:proofErr w:type="spellEnd"/>
      <w:r w:rsidR="008D4A65" w:rsidRPr="004D3694">
        <w:rPr>
          <w:lang w:val="uk-UA"/>
        </w:rPr>
        <w:t>. об’єктів ре</w:t>
      </w:r>
      <w:r w:rsidR="00D75022" w:rsidRPr="004D3694">
        <w:rPr>
          <w:lang w:val="uk-UA"/>
        </w:rPr>
        <w:t>гулювання. При цьому видано 342</w:t>
      </w:r>
      <w:r w:rsidR="008D4A65" w:rsidRPr="004D3694">
        <w:rPr>
          <w:lang w:val="uk-UA"/>
        </w:rPr>
        <w:t>216 комплектів фітосанітарних сертифікатів.</w:t>
      </w:r>
    </w:p>
    <w:p w14:paraId="5206951A" w14:textId="77777777" w:rsidR="008D4A65" w:rsidRPr="004D3694" w:rsidRDefault="008D4A65" w:rsidP="00096763">
      <w:pPr>
        <w:autoSpaceDE w:val="0"/>
        <w:autoSpaceDN w:val="0"/>
        <w:adjustRightInd w:val="0"/>
        <w:spacing w:before="120" w:after="120" w:line="276" w:lineRule="auto"/>
        <w:ind w:firstLine="426"/>
        <w:jc w:val="both"/>
        <w:rPr>
          <w:lang w:val="uk-UA"/>
        </w:rPr>
      </w:pPr>
      <w:r w:rsidRPr="004D3694">
        <w:rPr>
          <w:lang w:val="uk-UA"/>
        </w:rPr>
        <w:t>За 2016 рік при перевезеннях в межах України здійснено огляд: більше ніж 2,0 млн. тонн; майже 2,7 млн. одиниць; 48,9 млн. штук; 2,7 млн. м. куб об’єктів регулювання. При цьому видано 131 468 комплектів карантинних сертифікатів.</w:t>
      </w:r>
    </w:p>
    <w:p w14:paraId="6192DF9C" w14:textId="77777777" w:rsidR="008D4A65" w:rsidRPr="004D3694" w:rsidRDefault="008D4A65" w:rsidP="00096763">
      <w:pPr>
        <w:autoSpaceDE w:val="0"/>
        <w:autoSpaceDN w:val="0"/>
        <w:adjustRightInd w:val="0"/>
        <w:spacing w:before="120" w:after="120" w:line="276" w:lineRule="auto"/>
        <w:ind w:firstLine="425"/>
        <w:jc w:val="both"/>
        <w:rPr>
          <w:lang w:val="uk-UA"/>
        </w:rPr>
      </w:pPr>
      <w:r w:rsidRPr="004D3694">
        <w:rPr>
          <w:lang w:val="uk-UA"/>
        </w:rPr>
        <w:t>Крім цього, впродовж 2016 року на виконання Протоколів фітосанітарних вимог щодо експорту кукурудзи, сої та ячменю з України до Китайської Народної Республіки державними фітосанітарними інспекторами було обстежено більше ніж 322 тис. га місць вирощування кукурудзи, більше ніж 58 тис. га місць вирощування ячменю та майже 76 тис. га місць вирощування сої з яких планується експорт зазначеної продукції до КНР.</w:t>
      </w:r>
    </w:p>
    <w:p w14:paraId="5A99435B" w14:textId="77777777" w:rsidR="003F2130" w:rsidRPr="004D3694" w:rsidRDefault="003F2130" w:rsidP="00096763">
      <w:pPr>
        <w:tabs>
          <w:tab w:val="left" w:pos="426"/>
        </w:tabs>
        <w:spacing w:before="120" w:after="120" w:line="276" w:lineRule="auto"/>
        <w:ind w:firstLine="426"/>
        <w:jc w:val="both"/>
        <w:rPr>
          <w:rStyle w:val="Strong"/>
          <w:b w:val="0"/>
          <w:bCs w:val="0"/>
          <w:lang w:val="uk-UA"/>
        </w:rPr>
      </w:pPr>
      <w:r w:rsidRPr="004D3694">
        <w:rPr>
          <w:rStyle w:val="Strong"/>
          <w:b w:val="0"/>
          <w:bCs w:val="0"/>
          <w:lang w:val="uk-UA"/>
        </w:rPr>
        <w:t xml:space="preserve">При цьому у 2016 році </w:t>
      </w:r>
      <w:r w:rsidR="00526093" w:rsidRPr="004D3694">
        <w:rPr>
          <w:rStyle w:val="Strong"/>
          <w:b w:val="0"/>
          <w:bCs w:val="0"/>
          <w:lang w:val="uk-UA"/>
        </w:rPr>
        <w:t>уповноваженими лабораторіями Держпродспоживслужби проведено 41 повторна фітосанітарна (арбітражна) експертиза, серед яких 10 випадків оскарження результатів фітосанітарної експертизи при імпорті та 31 випадок при експорті підконтрольних об’єктів регулювань.</w:t>
      </w:r>
    </w:p>
    <w:p w14:paraId="44B9D22D" w14:textId="77777777" w:rsidR="008D4A65" w:rsidRPr="004D3694" w:rsidRDefault="008D4A65" w:rsidP="00096763">
      <w:pPr>
        <w:tabs>
          <w:tab w:val="left" w:pos="426"/>
        </w:tabs>
        <w:spacing w:before="120" w:after="120" w:line="276" w:lineRule="auto"/>
        <w:ind w:firstLine="426"/>
        <w:jc w:val="both"/>
        <w:rPr>
          <w:rStyle w:val="Strong"/>
          <w:b w:val="0"/>
          <w:bCs w:val="0"/>
          <w:lang w:val="uk-UA"/>
        </w:rPr>
      </w:pPr>
      <w:r w:rsidRPr="004D3694">
        <w:rPr>
          <w:rStyle w:val="Strong"/>
          <w:b w:val="0"/>
          <w:bCs w:val="0"/>
          <w:lang w:val="uk-UA"/>
        </w:rPr>
        <w:lastRenderedPageBreak/>
        <w:t xml:space="preserve">Відповідно до чинного нормативно-правового поля існуюча процедура оскарження результатів фітосанітарної експертизи не </w:t>
      </w:r>
      <w:r w:rsidR="00B7545F" w:rsidRPr="004D3694">
        <w:rPr>
          <w:rStyle w:val="Strong"/>
          <w:b w:val="0"/>
          <w:bCs w:val="0"/>
          <w:lang w:val="uk-UA"/>
        </w:rPr>
        <w:t>враховує можливість проведення випробувань арбітражних зразків та/або зразків-документів, що б</w:t>
      </w:r>
      <w:r w:rsidR="00144342" w:rsidRPr="004D3694">
        <w:rPr>
          <w:rStyle w:val="Strong"/>
          <w:b w:val="0"/>
          <w:bCs w:val="0"/>
          <w:lang w:val="uk-UA"/>
        </w:rPr>
        <w:t xml:space="preserve">ули відібрані під час проведення </w:t>
      </w:r>
      <w:r w:rsidR="005415E4" w:rsidRPr="004D3694">
        <w:rPr>
          <w:rStyle w:val="Strong"/>
          <w:b w:val="0"/>
          <w:bCs w:val="0"/>
          <w:lang w:val="uk-UA"/>
        </w:rPr>
        <w:t xml:space="preserve">первинного </w:t>
      </w:r>
      <w:r w:rsidR="00144342" w:rsidRPr="004D3694">
        <w:rPr>
          <w:rStyle w:val="Strong"/>
          <w:b w:val="0"/>
          <w:bCs w:val="0"/>
          <w:lang w:val="uk-UA"/>
        </w:rPr>
        <w:t>огляду об’єкту регулювання. Така ситуація призводить до додаткових фінансових витрат з боку суб’єкту господарювання пов’язаних з витратами на утримання підконтрольних об’єктів</w:t>
      </w:r>
      <w:r w:rsidR="00B74F26" w:rsidRPr="004D3694">
        <w:rPr>
          <w:rStyle w:val="Strong"/>
          <w:b w:val="0"/>
          <w:bCs w:val="0"/>
          <w:lang w:val="uk-UA"/>
        </w:rPr>
        <w:t xml:space="preserve"> регулювань</w:t>
      </w:r>
      <w:r w:rsidR="005415E4" w:rsidRPr="004D3694">
        <w:rPr>
          <w:rStyle w:val="Strong"/>
          <w:b w:val="0"/>
          <w:bCs w:val="0"/>
          <w:lang w:val="uk-UA"/>
        </w:rPr>
        <w:t xml:space="preserve"> на час проведення арбітражних випробувань</w:t>
      </w:r>
      <w:r w:rsidR="000709FE" w:rsidRPr="004D3694">
        <w:rPr>
          <w:rStyle w:val="Strong"/>
          <w:b w:val="0"/>
          <w:bCs w:val="0"/>
          <w:lang w:val="uk-UA"/>
        </w:rPr>
        <w:t>.</w:t>
      </w:r>
    </w:p>
    <w:p w14:paraId="27C0D334" w14:textId="77777777" w:rsidR="002E3333" w:rsidRPr="004D3694" w:rsidRDefault="00E010B7" w:rsidP="00096763">
      <w:pPr>
        <w:tabs>
          <w:tab w:val="left" w:pos="426"/>
        </w:tabs>
        <w:spacing w:before="120" w:after="120" w:line="276" w:lineRule="auto"/>
        <w:ind w:firstLine="426"/>
        <w:jc w:val="both"/>
        <w:rPr>
          <w:rStyle w:val="Strong"/>
          <w:b w:val="0"/>
          <w:bCs w:val="0"/>
          <w:lang w:val="uk-UA"/>
        </w:rPr>
      </w:pPr>
      <w:r w:rsidRPr="004D3694">
        <w:rPr>
          <w:rStyle w:val="Strong"/>
          <w:b w:val="0"/>
          <w:bCs w:val="0"/>
          <w:lang w:val="uk-UA"/>
        </w:rPr>
        <w:t xml:space="preserve">Очікується, що </w:t>
      </w:r>
      <w:r w:rsidR="004535B4" w:rsidRPr="004D3694">
        <w:rPr>
          <w:rStyle w:val="Strong"/>
          <w:b w:val="0"/>
          <w:bCs w:val="0"/>
          <w:lang w:val="uk-UA"/>
        </w:rPr>
        <w:t>прийняття зазначеного проекту Н</w:t>
      </w:r>
      <w:r w:rsidRPr="004D3694">
        <w:rPr>
          <w:rStyle w:val="Strong"/>
          <w:b w:val="0"/>
          <w:bCs w:val="0"/>
          <w:lang w:val="uk-UA"/>
        </w:rPr>
        <w:t>аказу дозволить</w:t>
      </w:r>
      <w:r w:rsidR="002E3333" w:rsidRPr="004D3694">
        <w:rPr>
          <w:rStyle w:val="Strong"/>
          <w:b w:val="0"/>
          <w:bCs w:val="0"/>
          <w:lang w:val="uk-UA"/>
        </w:rPr>
        <w:t>:</w:t>
      </w:r>
    </w:p>
    <w:p w14:paraId="2B7336FA" w14:textId="77777777" w:rsidR="00312261" w:rsidRPr="004D3694" w:rsidRDefault="005051E4" w:rsidP="00096763">
      <w:pPr>
        <w:tabs>
          <w:tab w:val="left" w:pos="426"/>
        </w:tabs>
        <w:spacing w:before="120" w:after="120" w:line="276" w:lineRule="auto"/>
        <w:ind w:firstLine="426"/>
        <w:jc w:val="both"/>
        <w:rPr>
          <w:rStyle w:val="Strong"/>
          <w:b w:val="0"/>
          <w:bCs w:val="0"/>
          <w:lang w:val="uk-UA"/>
        </w:rPr>
      </w:pPr>
      <w:r w:rsidRPr="004D3694">
        <w:rPr>
          <w:rStyle w:val="Strong"/>
          <w:b w:val="0"/>
          <w:bCs w:val="0"/>
          <w:lang w:val="uk-UA"/>
        </w:rPr>
        <w:t xml:space="preserve">дати </w:t>
      </w:r>
      <w:r w:rsidR="007536C6" w:rsidRPr="004D3694">
        <w:rPr>
          <w:rStyle w:val="Strong"/>
          <w:b w:val="0"/>
          <w:bCs w:val="0"/>
          <w:lang w:val="uk-UA"/>
        </w:rPr>
        <w:t xml:space="preserve">суб’єкту господарювання альтернативний механізм </w:t>
      </w:r>
      <w:r w:rsidR="00C44751" w:rsidRPr="004D3694">
        <w:rPr>
          <w:rStyle w:val="Strong"/>
          <w:b w:val="0"/>
          <w:bCs w:val="0"/>
          <w:lang w:val="uk-UA"/>
        </w:rPr>
        <w:t>проведення повторної фітосанітарної (арбітражної) експертизи</w:t>
      </w:r>
      <w:r w:rsidR="00E35A91" w:rsidRPr="004D3694">
        <w:rPr>
          <w:rStyle w:val="Strong"/>
          <w:b w:val="0"/>
          <w:bCs w:val="0"/>
          <w:lang w:val="uk-UA"/>
        </w:rPr>
        <w:t>, що полягає у можливості відбору зразку-документу або другого (арбітражного) зразку під час огляду об’єктів регулювання відповідно до чинного порядку</w:t>
      </w:r>
      <w:r w:rsidR="00312261" w:rsidRPr="004D3694">
        <w:rPr>
          <w:rStyle w:val="Strong"/>
          <w:b w:val="0"/>
          <w:bCs w:val="0"/>
          <w:lang w:val="uk-UA"/>
        </w:rPr>
        <w:t>;</w:t>
      </w:r>
    </w:p>
    <w:p w14:paraId="7E10DA6D" w14:textId="77777777" w:rsidR="002E3333" w:rsidRPr="004D3694" w:rsidRDefault="002E3333" w:rsidP="00096763">
      <w:pPr>
        <w:tabs>
          <w:tab w:val="left" w:pos="426"/>
        </w:tabs>
        <w:spacing w:before="120" w:after="120" w:line="276" w:lineRule="auto"/>
        <w:ind w:firstLine="426"/>
        <w:jc w:val="both"/>
        <w:rPr>
          <w:bCs/>
          <w:lang w:val="uk-UA"/>
        </w:rPr>
      </w:pPr>
      <w:r w:rsidRPr="004D3694">
        <w:rPr>
          <w:rStyle w:val="Strong"/>
          <w:b w:val="0"/>
          <w:bCs w:val="0"/>
          <w:lang w:val="uk-UA"/>
        </w:rPr>
        <w:t>мінімізувати витрати і ризики</w:t>
      </w:r>
      <w:r w:rsidRPr="004D3694">
        <w:rPr>
          <w:bCs/>
          <w:lang w:val="uk-UA"/>
        </w:rPr>
        <w:t xml:space="preserve"> суб’єктів господарювання;</w:t>
      </w:r>
    </w:p>
    <w:p w14:paraId="67987DFB" w14:textId="77777777" w:rsidR="002E3333" w:rsidRPr="004D3694" w:rsidRDefault="002E3333" w:rsidP="00096763">
      <w:pPr>
        <w:tabs>
          <w:tab w:val="left" w:pos="426"/>
        </w:tabs>
        <w:spacing w:before="120" w:after="120" w:line="276" w:lineRule="auto"/>
        <w:ind w:firstLine="426"/>
        <w:jc w:val="both"/>
        <w:rPr>
          <w:lang w:val="uk-UA"/>
        </w:rPr>
      </w:pPr>
      <w:r w:rsidRPr="004D3694">
        <w:rPr>
          <w:lang w:val="uk-UA"/>
        </w:rPr>
        <w:t>підвищити гнучкість та ефективність системи фітосанітарного контролю в умовах зростаючих обсягів виробництва та експорту продукції рослинного походження.</w:t>
      </w:r>
    </w:p>
    <w:p w14:paraId="60260616" w14:textId="77777777" w:rsidR="00244895" w:rsidRPr="004D3694" w:rsidRDefault="00244895"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426"/>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t>Основні групи (підгрупи), на які проблема справляє вплив</w:t>
      </w:r>
    </w:p>
    <w:p w14:paraId="2DC45628" w14:textId="77777777" w:rsidR="00244895" w:rsidRPr="004D3694" w:rsidRDefault="00244895" w:rsidP="00244895">
      <w:pPr>
        <w:ind w:firstLine="709"/>
        <w:jc w:val="both"/>
        <w:rPr>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1276"/>
        <w:gridCol w:w="1197"/>
      </w:tblGrid>
      <w:tr w:rsidR="004D3694" w:rsidRPr="004D3694" w14:paraId="25F18708" w14:textId="77777777" w:rsidTr="00FF4304">
        <w:trPr>
          <w:trHeight w:val="413"/>
        </w:trPr>
        <w:tc>
          <w:tcPr>
            <w:tcW w:w="7196" w:type="dxa"/>
            <w:shd w:val="clear" w:color="auto" w:fill="auto"/>
          </w:tcPr>
          <w:p w14:paraId="602A000A" w14:textId="77777777" w:rsidR="00244895" w:rsidRPr="004D3694" w:rsidRDefault="00244895" w:rsidP="00FF4304">
            <w:pPr>
              <w:jc w:val="center"/>
              <w:rPr>
                <w:b/>
                <w:lang w:val="uk-UA"/>
              </w:rPr>
            </w:pPr>
            <w:r w:rsidRPr="004D3694">
              <w:rPr>
                <w:b/>
                <w:lang w:val="uk-UA"/>
              </w:rPr>
              <w:t>Групи (підгрупи)</w:t>
            </w:r>
          </w:p>
        </w:tc>
        <w:tc>
          <w:tcPr>
            <w:tcW w:w="1276" w:type="dxa"/>
            <w:shd w:val="clear" w:color="auto" w:fill="auto"/>
          </w:tcPr>
          <w:p w14:paraId="465072B9" w14:textId="77777777" w:rsidR="00244895" w:rsidRPr="004D3694" w:rsidRDefault="00244895" w:rsidP="00FF4304">
            <w:pPr>
              <w:jc w:val="center"/>
              <w:rPr>
                <w:b/>
                <w:lang w:val="uk-UA"/>
              </w:rPr>
            </w:pPr>
            <w:r w:rsidRPr="004D3694">
              <w:rPr>
                <w:b/>
                <w:lang w:val="uk-UA"/>
              </w:rPr>
              <w:t>Так</w:t>
            </w:r>
          </w:p>
        </w:tc>
        <w:tc>
          <w:tcPr>
            <w:tcW w:w="1197" w:type="dxa"/>
            <w:shd w:val="clear" w:color="auto" w:fill="auto"/>
          </w:tcPr>
          <w:p w14:paraId="174DFD0D" w14:textId="77777777" w:rsidR="00244895" w:rsidRPr="004D3694" w:rsidRDefault="00244895" w:rsidP="00FF4304">
            <w:pPr>
              <w:jc w:val="center"/>
              <w:rPr>
                <w:b/>
                <w:lang w:val="uk-UA"/>
              </w:rPr>
            </w:pPr>
            <w:r w:rsidRPr="004D3694">
              <w:rPr>
                <w:b/>
                <w:lang w:val="uk-UA"/>
              </w:rPr>
              <w:t>Ні</w:t>
            </w:r>
          </w:p>
        </w:tc>
      </w:tr>
      <w:tr w:rsidR="004D3694" w:rsidRPr="004D3694" w14:paraId="408C091D" w14:textId="77777777" w:rsidTr="00FF4304">
        <w:trPr>
          <w:trHeight w:val="393"/>
        </w:trPr>
        <w:tc>
          <w:tcPr>
            <w:tcW w:w="7196" w:type="dxa"/>
            <w:shd w:val="clear" w:color="auto" w:fill="auto"/>
          </w:tcPr>
          <w:p w14:paraId="3DD6174C" w14:textId="77777777" w:rsidR="00244895" w:rsidRPr="004D3694" w:rsidRDefault="00244895" w:rsidP="00FF4304">
            <w:pPr>
              <w:jc w:val="both"/>
              <w:rPr>
                <w:lang w:val="uk-UA"/>
              </w:rPr>
            </w:pPr>
            <w:r w:rsidRPr="004D3694">
              <w:rPr>
                <w:lang w:val="uk-UA"/>
              </w:rPr>
              <w:t>Громадяни</w:t>
            </w:r>
          </w:p>
        </w:tc>
        <w:tc>
          <w:tcPr>
            <w:tcW w:w="1276" w:type="dxa"/>
            <w:shd w:val="clear" w:color="auto" w:fill="auto"/>
          </w:tcPr>
          <w:p w14:paraId="59488CD5" w14:textId="77777777" w:rsidR="00244895" w:rsidRPr="004D3694" w:rsidRDefault="00244895" w:rsidP="00FF4304">
            <w:pPr>
              <w:jc w:val="center"/>
              <w:rPr>
                <w:lang w:val="uk-UA"/>
              </w:rPr>
            </w:pPr>
          </w:p>
        </w:tc>
        <w:tc>
          <w:tcPr>
            <w:tcW w:w="1197" w:type="dxa"/>
            <w:shd w:val="clear" w:color="auto" w:fill="auto"/>
          </w:tcPr>
          <w:p w14:paraId="4F4FB97E" w14:textId="77777777" w:rsidR="00244895" w:rsidRPr="004D3694" w:rsidRDefault="00D63942" w:rsidP="00FF4304">
            <w:pPr>
              <w:jc w:val="center"/>
              <w:rPr>
                <w:lang w:val="uk-UA"/>
              </w:rPr>
            </w:pPr>
            <w:r w:rsidRPr="004D3694">
              <w:rPr>
                <w:lang w:val="uk-UA"/>
              </w:rPr>
              <w:t>+</w:t>
            </w:r>
          </w:p>
        </w:tc>
      </w:tr>
      <w:tr w:rsidR="004D3694" w:rsidRPr="004D3694" w14:paraId="31F60389" w14:textId="77777777" w:rsidTr="00FF4304">
        <w:trPr>
          <w:trHeight w:val="411"/>
        </w:trPr>
        <w:tc>
          <w:tcPr>
            <w:tcW w:w="7196" w:type="dxa"/>
            <w:shd w:val="clear" w:color="auto" w:fill="auto"/>
          </w:tcPr>
          <w:p w14:paraId="57467E6B" w14:textId="77777777" w:rsidR="00244895" w:rsidRPr="004D3694" w:rsidRDefault="00244895" w:rsidP="00FF4304">
            <w:pPr>
              <w:jc w:val="both"/>
              <w:rPr>
                <w:lang w:val="uk-UA"/>
              </w:rPr>
            </w:pPr>
            <w:r w:rsidRPr="004D3694">
              <w:rPr>
                <w:lang w:val="uk-UA"/>
              </w:rPr>
              <w:t>Держава</w:t>
            </w:r>
          </w:p>
        </w:tc>
        <w:tc>
          <w:tcPr>
            <w:tcW w:w="1276" w:type="dxa"/>
            <w:shd w:val="clear" w:color="auto" w:fill="auto"/>
          </w:tcPr>
          <w:p w14:paraId="466CA364" w14:textId="77777777" w:rsidR="00244895" w:rsidRPr="004D3694" w:rsidRDefault="00244895" w:rsidP="00FF4304">
            <w:pPr>
              <w:jc w:val="center"/>
              <w:rPr>
                <w:lang w:val="uk-UA"/>
              </w:rPr>
            </w:pPr>
            <w:r w:rsidRPr="004D3694">
              <w:rPr>
                <w:lang w:val="uk-UA"/>
              </w:rPr>
              <w:t>+</w:t>
            </w:r>
          </w:p>
        </w:tc>
        <w:tc>
          <w:tcPr>
            <w:tcW w:w="1197" w:type="dxa"/>
            <w:shd w:val="clear" w:color="auto" w:fill="auto"/>
          </w:tcPr>
          <w:p w14:paraId="50C508F8" w14:textId="77777777" w:rsidR="00244895" w:rsidRPr="004D3694" w:rsidRDefault="00244895" w:rsidP="00FF4304">
            <w:pPr>
              <w:jc w:val="center"/>
              <w:rPr>
                <w:lang w:val="uk-UA"/>
              </w:rPr>
            </w:pPr>
          </w:p>
        </w:tc>
      </w:tr>
      <w:tr w:rsidR="004D3694" w:rsidRPr="004D3694" w14:paraId="6150170E" w14:textId="77777777" w:rsidTr="00FF4304">
        <w:trPr>
          <w:trHeight w:val="411"/>
        </w:trPr>
        <w:tc>
          <w:tcPr>
            <w:tcW w:w="7196" w:type="dxa"/>
            <w:shd w:val="clear" w:color="auto" w:fill="auto"/>
          </w:tcPr>
          <w:p w14:paraId="45F278C2" w14:textId="77777777" w:rsidR="00244895" w:rsidRPr="004D3694" w:rsidRDefault="00244895" w:rsidP="00FF4304">
            <w:pPr>
              <w:jc w:val="both"/>
              <w:rPr>
                <w:lang w:val="en-US"/>
              </w:rPr>
            </w:pPr>
            <w:r w:rsidRPr="004D3694">
              <w:rPr>
                <w:lang w:val="uk-UA"/>
              </w:rPr>
              <w:t>Суб’єкти господарювання</w:t>
            </w:r>
            <w:r w:rsidRPr="004D3694">
              <w:rPr>
                <w:lang w:val="en-US"/>
              </w:rPr>
              <w:t>,</w:t>
            </w:r>
          </w:p>
        </w:tc>
        <w:tc>
          <w:tcPr>
            <w:tcW w:w="1276" w:type="dxa"/>
            <w:shd w:val="clear" w:color="auto" w:fill="auto"/>
          </w:tcPr>
          <w:p w14:paraId="020F8A17" w14:textId="77777777" w:rsidR="00244895" w:rsidRPr="004D3694" w:rsidRDefault="00244895" w:rsidP="00FF4304">
            <w:pPr>
              <w:jc w:val="center"/>
              <w:rPr>
                <w:lang w:val="uk-UA"/>
              </w:rPr>
            </w:pPr>
            <w:r w:rsidRPr="004D3694">
              <w:rPr>
                <w:lang w:val="uk-UA"/>
              </w:rPr>
              <w:t>+</w:t>
            </w:r>
          </w:p>
        </w:tc>
        <w:tc>
          <w:tcPr>
            <w:tcW w:w="1197" w:type="dxa"/>
            <w:shd w:val="clear" w:color="auto" w:fill="auto"/>
          </w:tcPr>
          <w:p w14:paraId="29313F24" w14:textId="77777777" w:rsidR="00244895" w:rsidRPr="004D3694" w:rsidRDefault="00244895" w:rsidP="00FF4304">
            <w:pPr>
              <w:jc w:val="center"/>
              <w:rPr>
                <w:lang w:val="uk-UA"/>
              </w:rPr>
            </w:pPr>
          </w:p>
        </w:tc>
      </w:tr>
      <w:tr w:rsidR="004D3694" w:rsidRPr="004D3694" w14:paraId="3EAFBE4C" w14:textId="77777777" w:rsidTr="00FF4304">
        <w:trPr>
          <w:trHeight w:val="411"/>
        </w:trPr>
        <w:tc>
          <w:tcPr>
            <w:tcW w:w="7196" w:type="dxa"/>
            <w:shd w:val="clear" w:color="auto" w:fill="auto"/>
          </w:tcPr>
          <w:p w14:paraId="58914FCC" w14:textId="77777777" w:rsidR="00244895" w:rsidRPr="004D3694" w:rsidRDefault="00244895" w:rsidP="00FF4304">
            <w:pPr>
              <w:jc w:val="both"/>
              <w:rPr>
                <w:lang w:val="uk-UA"/>
              </w:rPr>
            </w:pPr>
            <w:r w:rsidRPr="004D3694">
              <w:rPr>
                <w:lang w:val="uk-UA"/>
              </w:rPr>
              <w:t xml:space="preserve">у </w:t>
            </w:r>
            <w:proofErr w:type="spellStart"/>
            <w:r w:rsidRPr="004D3694">
              <w:rPr>
                <w:lang w:val="uk-UA"/>
              </w:rPr>
              <w:t>т.ч</w:t>
            </w:r>
            <w:proofErr w:type="spellEnd"/>
            <w:r w:rsidRPr="004D3694">
              <w:rPr>
                <w:lang w:val="uk-UA"/>
              </w:rPr>
              <w:t>. суб’єкти малого підприємництва</w:t>
            </w:r>
          </w:p>
        </w:tc>
        <w:tc>
          <w:tcPr>
            <w:tcW w:w="1276" w:type="dxa"/>
            <w:shd w:val="clear" w:color="auto" w:fill="auto"/>
          </w:tcPr>
          <w:p w14:paraId="59AF2B89" w14:textId="77777777" w:rsidR="00244895" w:rsidRPr="004D3694" w:rsidRDefault="00244895" w:rsidP="00FF4304">
            <w:pPr>
              <w:jc w:val="center"/>
              <w:rPr>
                <w:lang w:val="uk-UA"/>
              </w:rPr>
            </w:pPr>
            <w:r w:rsidRPr="004D3694">
              <w:rPr>
                <w:lang w:val="uk-UA"/>
              </w:rPr>
              <w:t>+</w:t>
            </w:r>
          </w:p>
        </w:tc>
        <w:tc>
          <w:tcPr>
            <w:tcW w:w="1197" w:type="dxa"/>
            <w:shd w:val="clear" w:color="auto" w:fill="auto"/>
          </w:tcPr>
          <w:p w14:paraId="30260C39" w14:textId="77777777" w:rsidR="00244895" w:rsidRPr="004D3694" w:rsidRDefault="00244895" w:rsidP="00FF4304">
            <w:pPr>
              <w:jc w:val="center"/>
              <w:rPr>
                <w:lang w:val="uk-UA"/>
              </w:rPr>
            </w:pPr>
          </w:p>
        </w:tc>
      </w:tr>
    </w:tbl>
    <w:p w14:paraId="77245068" w14:textId="77777777" w:rsidR="006D1AF0" w:rsidRPr="004D3694" w:rsidRDefault="006D1AF0" w:rsidP="0044170A">
      <w:pPr>
        <w:tabs>
          <w:tab w:val="left" w:pos="709"/>
        </w:tabs>
        <w:spacing w:before="120" w:after="120" w:line="276" w:lineRule="auto"/>
        <w:jc w:val="both"/>
        <w:rPr>
          <w:lang w:val="uk-UA"/>
        </w:rPr>
      </w:pPr>
      <w:r w:rsidRPr="004D3694">
        <w:rPr>
          <w:rStyle w:val="Strong"/>
          <w:bCs w:val="0"/>
          <w:lang w:val="uk-UA"/>
        </w:rPr>
        <w:t>ІІ.</w:t>
      </w:r>
      <w:r w:rsidRPr="004D3694">
        <w:rPr>
          <w:rStyle w:val="Strong"/>
          <w:bCs w:val="0"/>
          <w:lang w:val="uk-UA"/>
        </w:rPr>
        <w:tab/>
        <w:t>Цілі державного регулювання</w:t>
      </w:r>
    </w:p>
    <w:p w14:paraId="472DAE13" w14:textId="77777777" w:rsidR="00312261" w:rsidRPr="004D3694" w:rsidRDefault="009F60A9" w:rsidP="00096763">
      <w:pPr>
        <w:tabs>
          <w:tab w:val="left" w:pos="709"/>
        </w:tabs>
        <w:spacing w:after="120" w:line="276" w:lineRule="auto"/>
        <w:ind w:firstLine="426"/>
        <w:jc w:val="both"/>
        <w:rPr>
          <w:rStyle w:val="Strong"/>
          <w:b w:val="0"/>
          <w:bCs w:val="0"/>
          <w:lang w:val="uk-UA"/>
        </w:rPr>
      </w:pPr>
      <w:r w:rsidRPr="004D3694">
        <w:rPr>
          <w:rStyle w:val="Strong"/>
          <w:b w:val="0"/>
          <w:bCs w:val="0"/>
          <w:lang w:val="uk-UA"/>
        </w:rPr>
        <w:t>Цілями державного регулювання є</w:t>
      </w:r>
      <w:r w:rsidR="00897886" w:rsidRPr="004D3694">
        <w:rPr>
          <w:rStyle w:val="Strong"/>
          <w:b w:val="0"/>
          <w:bCs w:val="0"/>
          <w:lang w:val="uk-UA"/>
        </w:rPr>
        <w:t xml:space="preserve"> </w:t>
      </w:r>
      <w:r w:rsidRPr="004D3694">
        <w:rPr>
          <w:rStyle w:val="Strong"/>
          <w:b w:val="0"/>
          <w:bCs w:val="0"/>
          <w:lang w:val="uk-UA"/>
        </w:rPr>
        <w:t>надання</w:t>
      </w:r>
      <w:r w:rsidR="00897886" w:rsidRPr="004D3694">
        <w:rPr>
          <w:rStyle w:val="Strong"/>
          <w:b w:val="0"/>
          <w:bCs w:val="0"/>
          <w:lang w:val="uk-UA"/>
        </w:rPr>
        <w:t xml:space="preserve"> суб’єкту господарювання </w:t>
      </w:r>
      <w:r w:rsidRPr="004D3694">
        <w:rPr>
          <w:rStyle w:val="Strong"/>
          <w:b w:val="0"/>
          <w:bCs w:val="0"/>
          <w:lang w:val="uk-UA"/>
        </w:rPr>
        <w:t>альтернативного</w:t>
      </w:r>
      <w:r w:rsidR="00897886" w:rsidRPr="004D3694">
        <w:rPr>
          <w:rStyle w:val="Strong"/>
          <w:b w:val="0"/>
          <w:bCs w:val="0"/>
          <w:lang w:val="uk-UA"/>
        </w:rPr>
        <w:t xml:space="preserve"> механізм</w:t>
      </w:r>
      <w:r w:rsidRPr="004D3694">
        <w:rPr>
          <w:rStyle w:val="Strong"/>
          <w:b w:val="0"/>
          <w:bCs w:val="0"/>
          <w:lang w:val="uk-UA"/>
        </w:rPr>
        <w:t>у</w:t>
      </w:r>
      <w:r w:rsidR="00897886" w:rsidRPr="004D3694">
        <w:rPr>
          <w:rStyle w:val="Strong"/>
          <w:b w:val="0"/>
          <w:bCs w:val="0"/>
          <w:lang w:val="uk-UA"/>
        </w:rPr>
        <w:t xml:space="preserve"> проведення повторної фітосанітарної (арбітражної) експертизи, щ</w:t>
      </w:r>
      <w:r w:rsidRPr="004D3694">
        <w:rPr>
          <w:rStyle w:val="Strong"/>
          <w:b w:val="0"/>
          <w:bCs w:val="0"/>
          <w:lang w:val="uk-UA"/>
        </w:rPr>
        <w:t xml:space="preserve">о </w:t>
      </w:r>
      <w:r w:rsidR="00312261" w:rsidRPr="004D3694">
        <w:rPr>
          <w:rStyle w:val="Strong"/>
          <w:b w:val="0"/>
          <w:bCs w:val="0"/>
          <w:lang w:val="uk-UA"/>
        </w:rPr>
        <w:t xml:space="preserve">дозволить мінімізувати ризики і витрати суб’єктів господарювання та </w:t>
      </w:r>
      <w:r w:rsidR="00312261" w:rsidRPr="004D3694">
        <w:rPr>
          <w:lang w:val="uk-UA"/>
        </w:rPr>
        <w:t>підвищить гнучкість та ефективність системи фітосанітарного контролю</w:t>
      </w:r>
      <w:r w:rsidR="00096763" w:rsidRPr="004D3694">
        <w:rPr>
          <w:lang w:val="uk-UA"/>
        </w:rPr>
        <w:t>.</w:t>
      </w:r>
    </w:p>
    <w:p w14:paraId="3E7BF854" w14:textId="77777777" w:rsidR="006D1AF0" w:rsidRPr="004D3694" w:rsidRDefault="006D1AF0" w:rsidP="00A27B38">
      <w:pPr>
        <w:tabs>
          <w:tab w:val="left" w:pos="709"/>
        </w:tabs>
        <w:spacing w:before="120" w:after="120"/>
        <w:jc w:val="both"/>
        <w:rPr>
          <w:rStyle w:val="Strong"/>
          <w:bCs w:val="0"/>
          <w:lang w:val="uk-UA"/>
        </w:rPr>
      </w:pPr>
      <w:r w:rsidRPr="004D3694">
        <w:rPr>
          <w:rStyle w:val="Strong"/>
          <w:bCs w:val="0"/>
          <w:lang w:val="uk-UA"/>
        </w:rPr>
        <w:t>ІІІ.</w:t>
      </w:r>
      <w:r w:rsidRPr="004D3694">
        <w:rPr>
          <w:rStyle w:val="Strong"/>
          <w:bCs w:val="0"/>
          <w:lang w:val="uk-UA"/>
        </w:rPr>
        <w:tab/>
        <w:t>Визначення та оцінка альтернативних способів досягнення встановлених цілей</w:t>
      </w:r>
    </w:p>
    <w:p w14:paraId="34F277CC" w14:textId="77777777" w:rsidR="00C47E2F" w:rsidRPr="004D3694" w:rsidRDefault="00C47E2F" w:rsidP="00A27B38">
      <w:pPr>
        <w:pStyle w:val="1"/>
        <w:numPr>
          <w:ilvl w:val="0"/>
          <w:numId w:val="1"/>
        </w:numPr>
        <w:tabs>
          <w:tab w:val="left" w:pos="426"/>
        </w:tabs>
        <w:spacing w:before="120" w:after="120"/>
        <w:ind w:left="0" w:right="448" w:firstLine="0"/>
        <w:contextualSpacing/>
        <w:jc w:val="both"/>
        <w:rPr>
          <w:b/>
          <w:color w:val="auto"/>
          <w:sz w:val="24"/>
          <w:szCs w:val="24"/>
          <w:lang w:val="uk-UA"/>
        </w:rPr>
      </w:pPr>
      <w:r w:rsidRPr="004D3694">
        <w:rPr>
          <w:b/>
          <w:color w:val="auto"/>
          <w:sz w:val="24"/>
          <w:szCs w:val="24"/>
          <w:lang w:val="uk-UA"/>
        </w:rPr>
        <w:t>Визначення альтернативних способів</w:t>
      </w:r>
    </w:p>
    <w:p w14:paraId="54EA994F" w14:textId="77777777" w:rsidR="006D1AF0" w:rsidRPr="004D3694" w:rsidRDefault="00B62F1D" w:rsidP="00096763">
      <w:pPr>
        <w:spacing w:after="120" w:line="276" w:lineRule="auto"/>
        <w:ind w:firstLine="426"/>
        <w:jc w:val="both"/>
        <w:rPr>
          <w:lang w:val="uk-UA"/>
        </w:rPr>
      </w:pPr>
      <w:r w:rsidRPr="004D3694">
        <w:rPr>
          <w:lang w:val="uk-UA"/>
        </w:rPr>
        <w:t>Як альтернативу до запропонованого регулювання можна розглянути так званий «</w:t>
      </w:r>
      <w:proofErr w:type="spellStart"/>
      <w:r w:rsidRPr="004D3694">
        <w:rPr>
          <w:lang w:val="uk-UA"/>
        </w:rPr>
        <w:t>status</w:t>
      </w:r>
      <w:proofErr w:type="spellEnd"/>
      <w:r w:rsidRPr="004D3694">
        <w:rPr>
          <w:lang w:val="uk-UA"/>
        </w:rPr>
        <w:t xml:space="preserve"> </w:t>
      </w:r>
      <w:proofErr w:type="spellStart"/>
      <w:r w:rsidRPr="004D3694">
        <w:rPr>
          <w:lang w:val="uk-UA"/>
        </w:rPr>
        <w:t>quo</w:t>
      </w:r>
      <w:proofErr w:type="spellEnd"/>
      <w:r w:rsidRPr="004D3694">
        <w:rPr>
          <w:lang w:val="uk-UA"/>
        </w:rPr>
        <w:t>», тобто збереження чинног</w:t>
      </w:r>
      <w:r w:rsidR="00E461F7" w:rsidRPr="004D3694">
        <w:rPr>
          <w:lang w:val="uk-UA"/>
        </w:rPr>
        <w:t>о</w:t>
      </w:r>
      <w:r w:rsidR="00663856" w:rsidRPr="004D3694">
        <w:rPr>
          <w:lang w:val="uk-UA"/>
        </w:rPr>
        <w:t xml:space="preserve"> регулювання зазначених питань. Іншою альтернативою може стати внесення змін до Закону України «Про карантин рослин».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4D3694" w:rsidRPr="004D3694" w14:paraId="77385171" w14:textId="77777777" w:rsidTr="00310AA1">
        <w:trPr>
          <w:trHeight w:val="263"/>
        </w:trPr>
        <w:tc>
          <w:tcPr>
            <w:tcW w:w="2802" w:type="dxa"/>
            <w:shd w:val="clear" w:color="auto" w:fill="auto"/>
            <w:vAlign w:val="center"/>
          </w:tcPr>
          <w:p w14:paraId="4708617D" w14:textId="77777777" w:rsidR="001B3748" w:rsidRPr="004D3694" w:rsidRDefault="001B3748" w:rsidP="00FF4304">
            <w:pPr>
              <w:spacing w:after="120"/>
              <w:ind w:firstLine="249"/>
              <w:jc w:val="center"/>
              <w:rPr>
                <w:b/>
                <w:lang w:val="uk-UA"/>
              </w:rPr>
            </w:pPr>
            <w:r w:rsidRPr="004D3694">
              <w:rPr>
                <w:b/>
                <w:lang w:val="uk-UA"/>
              </w:rPr>
              <w:t>Вид альтернативи</w:t>
            </w:r>
          </w:p>
        </w:tc>
        <w:tc>
          <w:tcPr>
            <w:tcW w:w="6945" w:type="dxa"/>
            <w:shd w:val="clear" w:color="auto" w:fill="auto"/>
            <w:vAlign w:val="center"/>
          </w:tcPr>
          <w:p w14:paraId="2790C091" w14:textId="77777777" w:rsidR="001B3748" w:rsidRPr="004D3694" w:rsidRDefault="001B3748" w:rsidP="00FF4304">
            <w:pPr>
              <w:spacing w:after="120"/>
              <w:ind w:firstLine="249"/>
              <w:jc w:val="center"/>
              <w:rPr>
                <w:b/>
                <w:lang w:val="uk-UA"/>
              </w:rPr>
            </w:pPr>
            <w:r w:rsidRPr="004D3694">
              <w:rPr>
                <w:b/>
                <w:lang w:val="uk-UA"/>
              </w:rPr>
              <w:t>Опис альтернативи</w:t>
            </w:r>
          </w:p>
        </w:tc>
      </w:tr>
      <w:tr w:rsidR="004D3694" w:rsidRPr="004D3694" w14:paraId="7DE409BB" w14:textId="77777777" w:rsidTr="00310AA1">
        <w:trPr>
          <w:trHeight w:val="520"/>
        </w:trPr>
        <w:tc>
          <w:tcPr>
            <w:tcW w:w="2802" w:type="dxa"/>
            <w:shd w:val="clear" w:color="auto" w:fill="auto"/>
            <w:vAlign w:val="center"/>
          </w:tcPr>
          <w:p w14:paraId="469942ED" w14:textId="77777777" w:rsidR="001B3748" w:rsidRPr="004D3694" w:rsidRDefault="001B3748" w:rsidP="00FF4304">
            <w:pPr>
              <w:rPr>
                <w:lang w:val="uk-UA"/>
              </w:rPr>
            </w:pPr>
            <w:r w:rsidRPr="004D3694">
              <w:rPr>
                <w:lang w:val="uk-UA"/>
              </w:rPr>
              <w:t>Альтернатива 1</w:t>
            </w:r>
          </w:p>
        </w:tc>
        <w:tc>
          <w:tcPr>
            <w:tcW w:w="6945" w:type="dxa"/>
            <w:shd w:val="clear" w:color="auto" w:fill="auto"/>
            <w:vAlign w:val="center"/>
          </w:tcPr>
          <w:p w14:paraId="00A96714" w14:textId="77777777" w:rsidR="001B3748" w:rsidRPr="004D3694" w:rsidRDefault="001B3748" w:rsidP="00FF4304">
            <w:pPr>
              <w:jc w:val="both"/>
              <w:rPr>
                <w:lang w:val="uk-UA"/>
              </w:rPr>
            </w:pPr>
            <w:r w:rsidRPr="004D3694">
              <w:rPr>
                <w:lang w:val="uk-UA"/>
              </w:rPr>
              <w:t>Збереження чинного регулювання зазначених питань «</w:t>
            </w:r>
            <w:r w:rsidRPr="004D3694">
              <w:rPr>
                <w:lang w:val="en-US"/>
              </w:rPr>
              <w:t>status</w:t>
            </w:r>
            <w:r w:rsidRPr="004D3694">
              <w:t xml:space="preserve"> </w:t>
            </w:r>
            <w:r w:rsidRPr="004D3694">
              <w:rPr>
                <w:lang w:val="en-US"/>
              </w:rPr>
              <w:t>quo</w:t>
            </w:r>
            <w:r w:rsidRPr="004D3694">
              <w:rPr>
                <w:lang w:val="uk-UA"/>
              </w:rPr>
              <w:t>»</w:t>
            </w:r>
          </w:p>
        </w:tc>
      </w:tr>
      <w:tr w:rsidR="004D3694" w:rsidRPr="004D3694" w14:paraId="7F9E2620" w14:textId="77777777" w:rsidTr="00310AA1">
        <w:trPr>
          <w:trHeight w:val="514"/>
        </w:trPr>
        <w:tc>
          <w:tcPr>
            <w:tcW w:w="2802" w:type="dxa"/>
            <w:shd w:val="clear" w:color="auto" w:fill="auto"/>
            <w:vAlign w:val="center"/>
          </w:tcPr>
          <w:p w14:paraId="3056563A" w14:textId="77777777" w:rsidR="001B3748" w:rsidRPr="004D3694" w:rsidRDefault="00916A53" w:rsidP="00FF4304">
            <w:pPr>
              <w:jc w:val="both"/>
              <w:rPr>
                <w:lang w:val="uk-UA"/>
              </w:rPr>
            </w:pPr>
            <w:r w:rsidRPr="004D3694">
              <w:rPr>
                <w:lang w:val="uk-UA"/>
              </w:rPr>
              <w:t>Альтернатива 2</w:t>
            </w:r>
          </w:p>
        </w:tc>
        <w:tc>
          <w:tcPr>
            <w:tcW w:w="6945" w:type="dxa"/>
            <w:shd w:val="clear" w:color="auto" w:fill="auto"/>
            <w:vAlign w:val="center"/>
          </w:tcPr>
          <w:p w14:paraId="7B36C7DB" w14:textId="77777777" w:rsidR="001B3748" w:rsidRPr="004D3694" w:rsidRDefault="005D5F16" w:rsidP="00680B3D">
            <w:pPr>
              <w:jc w:val="both"/>
              <w:rPr>
                <w:lang w:val="uk-UA"/>
              </w:rPr>
            </w:pPr>
            <w:r w:rsidRPr="004D3694">
              <w:rPr>
                <w:lang w:val="uk-UA"/>
              </w:rPr>
              <w:t>Внесення змін до Закону України «</w:t>
            </w:r>
            <w:r w:rsidR="009A5A70" w:rsidRPr="004D3694">
              <w:rPr>
                <w:lang w:val="uk-UA"/>
              </w:rPr>
              <w:t xml:space="preserve">Про карантин рослин» </w:t>
            </w:r>
            <w:r w:rsidR="00360680" w:rsidRPr="004D3694">
              <w:rPr>
                <w:lang w:val="uk-UA"/>
              </w:rPr>
              <w:t xml:space="preserve">з метою </w:t>
            </w:r>
            <w:r w:rsidR="00784246" w:rsidRPr="004D3694">
              <w:rPr>
                <w:lang w:val="uk-UA"/>
              </w:rPr>
              <w:t xml:space="preserve">усунення регулювання у частині </w:t>
            </w:r>
            <w:r w:rsidR="00360680" w:rsidRPr="004D3694">
              <w:rPr>
                <w:lang w:val="uk-UA"/>
              </w:rPr>
              <w:t>проведення повторної (арбітражної) експертизи</w:t>
            </w:r>
            <w:r w:rsidR="00784246" w:rsidRPr="004D3694">
              <w:rPr>
                <w:lang w:val="uk-UA"/>
              </w:rPr>
              <w:t>.</w:t>
            </w:r>
            <w:r w:rsidR="00DF155D" w:rsidRPr="004D3694">
              <w:rPr>
                <w:lang w:val="uk-UA"/>
              </w:rPr>
              <w:t xml:space="preserve"> Можливість проведення повторної (арбітражної) експертизи в </w:t>
            </w:r>
            <w:r w:rsidR="008C7246" w:rsidRPr="004D3694">
              <w:rPr>
                <w:lang w:val="uk-UA"/>
              </w:rPr>
              <w:t>лабораторії, що не має статусу уповноваженої.</w:t>
            </w:r>
          </w:p>
        </w:tc>
      </w:tr>
      <w:tr w:rsidR="004D3694" w:rsidRPr="004D3694" w14:paraId="4FBB2CB3" w14:textId="77777777" w:rsidTr="00310AA1">
        <w:trPr>
          <w:trHeight w:val="514"/>
        </w:trPr>
        <w:tc>
          <w:tcPr>
            <w:tcW w:w="2802" w:type="dxa"/>
            <w:shd w:val="clear" w:color="auto" w:fill="auto"/>
            <w:vAlign w:val="center"/>
          </w:tcPr>
          <w:p w14:paraId="71298658" w14:textId="77777777" w:rsidR="00916A53" w:rsidRPr="004D3694" w:rsidRDefault="00916A53" w:rsidP="00602192">
            <w:pPr>
              <w:jc w:val="both"/>
              <w:rPr>
                <w:lang w:val="uk-UA"/>
              </w:rPr>
            </w:pPr>
            <w:r w:rsidRPr="004D3694">
              <w:rPr>
                <w:lang w:val="uk-UA"/>
              </w:rPr>
              <w:t>Альтернатива 3</w:t>
            </w:r>
          </w:p>
        </w:tc>
        <w:tc>
          <w:tcPr>
            <w:tcW w:w="6945" w:type="dxa"/>
            <w:shd w:val="clear" w:color="auto" w:fill="auto"/>
            <w:vAlign w:val="center"/>
          </w:tcPr>
          <w:p w14:paraId="6113CD63" w14:textId="77777777" w:rsidR="00916A53" w:rsidRPr="004D3694" w:rsidRDefault="00916A53" w:rsidP="00602192">
            <w:pPr>
              <w:jc w:val="both"/>
              <w:rPr>
                <w:lang w:val="uk-UA"/>
              </w:rPr>
            </w:pPr>
            <w:r w:rsidRPr="004D3694">
              <w:rPr>
                <w:lang w:val="uk-UA"/>
              </w:rPr>
              <w:t>Прийняття пропонованого проекту Наказу</w:t>
            </w:r>
          </w:p>
        </w:tc>
      </w:tr>
    </w:tbl>
    <w:p w14:paraId="5AAEB1C8" w14:textId="77777777" w:rsidR="00A334B7" w:rsidRPr="004D3694" w:rsidRDefault="00A334B7" w:rsidP="00A334B7">
      <w:pPr>
        <w:pStyle w:val="1"/>
        <w:tabs>
          <w:tab w:val="left" w:pos="426"/>
        </w:tabs>
        <w:spacing w:before="120" w:after="120"/>
        <w:ind w:right="448"/>
        <w:contextualSpacing/>
        <w:jc w:val="both"/>
        <w:rPr>
          <w:b/>
          <w:color w:val="auto"/>
          <w:sz w:val="24"/>
          <w:szCs w:val="24"/>
          <w:lang w:val="uk-UA"/>
        </w:rPr>
      </w:pPr>
      <w:r w:rsidRPr="004D3694">
        <w:rPr>
          <w:b/>
          <w:color w:val="auto"/>
          <w:sz w:val="24"/>
          <w:szCs w:val="24"/>
          <w:lang w:val="uk-UA"/>
        </w:rPr>
        <w:t>2.</w:t>
      </w:r>
      <w:r w:rsidRPr="004D3694">
        <w:rPr>
          <w:b/>
          <w:color w:val="auto"/>
          <w:sz w:val="24"/>
          <w:szCs w:val="24"/>
          <w:lang w:val="uk-UA"/>
        </w:rPr>
        <w:tab/>
        <w:t>Оцінка вибраних альтернативних способів досягнення цілей</w:t>
      </w:r>
    </w:p>
    <w:p w14:paraId="7AE72EED" w14:textId="77777777" w:rsidR="00A334B7" w:rsidRPr="004D3694" w:rsidRDefault="00A334B7" w:rsidP="00A334B7">
      <w:pPr>
        <w:spacing w:before="120" w:after="120" w:line="276" w:lineRule="auto"/>
        <w:rPr>
          <w:i/>
          <w:lang w:val="uk-UA"/>
        </w:rPr>
      </w:pPr>
      <w:r w:rsidRPr="004D3694">
        <w:rPr>
          <w:b/>
          <w:i/>
          <w:lang w:val="uk-UA"/>
        </w:rPr>
        <w:lastRenderedPageBreak/>
        <w:t>Оцінка впливу на сферу інтересів держави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4D3694" w:rsidRPr="004D3694" w14:paraId="617E6C65" w14:textId="77777777" w:rsidTr="0088729C">
        <w:trPr>
          <w:trHeight w:val="539"/>
        </w:trPr>
        <w:tc>
          <w:tcPr>
            <w:tcW w:w="2093" w:type="dxa"/>
            <w:shd w:val="clear" w:color="auto" w:fill="auto"/>
            <w:vAlign w:val="center"/>
          </w:tcPr>
          <w:p w14:paraId="1200422C" w14:textId="77777777" w:rsidR="00A631F2" w:rsidRPr="004D3694" w:rsidRDefault="00A631F2" w:rsidP="00FF4304">
            <w:pPr>
              <w:spacing w:line="276" w:lineRule="auto"/>
              <w:jc w:val="center"/>
              <w:rPr>
                <w:lang w:val="uk-UA"/>
              </w:rPr>
            </w:pPr>
            <w:r w:rsidRPr="004D3694">
              <w:rPr>
                <w:lang w:val="uk-UA"/>
              </w:rPr>
              <w:t>Вид альтернативи</w:t>
            </w:r>
          </w:p>
        </w:tc>
        <w:tc>
          <w:tcPr>
            <w:tcW w:w="3402" w:type="dxa"/>
            <w:shd w:val="clear" w:color="auto" w:fill="auto"/>
            <w:vAlign w:val="center"/>
          </w:tcPr>
          <w:p w14:paraId="2EF74011" w14:textId="77777777" w:rsidR="00A631F2" w:rsidRPr="004D3694" w:rsidRDefault="00A631F2" w:rsidP="00FF4304">
            <w:pPr>
              <w:spacing w:line="276" w:lineRule="auto"/>
              <w:jc w:val="center"/>
              <w:rPr>
                <w:lang w:val="uk-UA"/>
              </w:rPr>
            </w:pPr>
            <w:r w:rsidRPr="004D3694">
              <w:rPr>
                <w:lang w:val="uk-UA"/>
              </w:rPr>
              <w:t>Вигоди</w:t>
            </w:r>
          </w:p>
        </w:tc>
        <w:tc>
          <w:tcPr>
            <w:tcW w:w="4252" w:type="dxa"/>
            <w:shd w:val="clear" w:color="auto" w:fill="auto"/>
            <w:vAlign w:val="center"/>
          </w:tcPr>
          <w:p w14:paraId="5E619AD9" w14:textId="77777777" w:rsidR="00A631F2" w:rsidRPr="004D3694" w:rsidRDefault="00A631F2" w:rsidP="00FF4304">
            <w:pPr>
              <w:spacing w:line="276" w:lineRule="auto"/>
              <w:jc w:val="center"/>
              <w:rPr>
                <w:lang w:val="uk-UA"/>
              </w:rPr>
            </w:pPr>
            <w:r w:rsidRPr="004D3694">
              <w:rPr>
                <w:lang w:val="uk-UA"/>
              </w:rPr>
              <w:t>Витрати</w:t>
            </w:r>
          </w:p>
        </w:tc>
      </w:tr>
      <w:tr w:rsidR="004D3694" w:rsidRPr="004D3694" w14:paraId="300E6231" w14:textId="77777777" w:rsidTr="0088729C">
        <w:trPr>
          <w:trHeight w:val="539"/>
        </w:trPr>
        <w:tc>
          <w:tcPr>
            <w:tcW w:w="2093" w:type="dxa"/>
            <w:shd w:val="clear" w:color="auto" w:fill="auto"/>
            <w:vAlign w:val="center"/>
          </w:tcPr>
          <w:p w14:paraId="4A11384E" w14:textId="77777777" w:rsidR="00A631F2" w:rsidRPr="004D3694" w:rsidRDefault="00A631F2" w:rsidP="00FF4304">
            <w:pPr>
              <w:jc w:val="both"/>
              <w:rPr>
                <w:lang w:val="uk-UA"/>
              </w:rPr>
            </w:pPr>
            <w:r w:rsidRPr="004D3694">
              <w:rPr>
                <w:lang w:val="uk-UA"/>
              </w:rPr>
              <w:t>Альтернатива 1</w:t>
            </w:r>
          </w:p>
        </w:tc>
        <w:tc>
          <w:tcPr>
            <w:tcW w:w="3402" w:type="dxa"/>
            <w:shd w:val="clear" w:color="auto" w:fill="auto"/>
            <w:vAlign w:val="center"/>
          </w:tcPr>
          <w:p w14:paraId="11A9EB78" w14:textId="77777777" w:rsidR="00A631F2" w:rsidRPr="004D3694" w:rsidRDefault="00A631F2" w:rsidP="00FF4304">
            <w:pPr>
              <w:pStyle w:val="rvps6"/>
              <w:spacing w:before="0" w:beforeAutospacing="0" w:after="0" w:afterAutospacing="0"/>
            </w:pPr>
            <w:r w:rsidRPr="004D3694">
              <w:t>Прямі вигоди відсутні</w:t>
            </w:r>
          </w:p>
        </w:tc>
        <w:tc>
          <w:tcPr>
            <w:tcW w:w="4252" w:type="dxa"/>
            <w:shd w:val="clear" w:color="auto" w:fill="auto"/>
            <w:vAlign w:val="center"/>
          </w:tcPr>
          <w:p w14:paraId="3EBB19FC" w14:textId="77777777" w:rsidR="00C96624" w:rsidRPr="004D3694" w:rsidRDefault="00A631F2" w:rsidP="00A24971">
            <w:pPr>
              <w:pStyle w:val="rvps6"/>
              <w:tabs>
                <w:tab w:val="left" w:pos="308"/>
              </w:tabs>
              <w:spacing w:before="0" w:beforeAutospacing="0" w:after="0" w:afterAutospacing="0"/>
              <w:jc w:val="both"/>
            </w:pPr>
            <w:r w:rsidRPr="004D3694">
              <w:t xml:space="preserve">Економічні втрати пов’язані із </w:t>
            </w:r>
            <w:r w:rsidR="00A24971" w:rsidRPr="004D3694">
              <w:t>перепонами у веденні</w:t>
            </w:r>
            <w:r w:rsidR="00C96624" w:rsidRPr="004D3694">
              <w:t xml:space="preserve"> ефективної міжнародної торгівлі.</w:t>
            </w:r>
          </w:p>
          <w:p w14:paraId="2AE0A5A6" w14:textId="77777777" w:rsidR="00A24971" w:rsidRPr="004D3694" w:rsidRDefault="00A24971" w:rsidP="00A24971">
            <w:pPr>
              <w:pStyle w:val="rvps6"/>
              <w:tabs>
                <w:tab w:val="left" w:pos="308"/>
              </w:tabs>
              <w:spacing w:before="0" w:beforeAutospacing="0" w:after="0" w:afterAutospacing="0"/>
              <w:jc w:val="both"/>
            </w:pPr>
            <w:r w:rsidRPr="004D3694">
              <w:t>Наявність корупційних ризиків з боку уповноважених осіб компетентного органу в сфері карантину рослин.</w:t>
            </w:r>
          </w:p>
          <w:p w14:paraId="073FA7A0" w14:textId="77777777" w:rsidR="00784246" w:rsidRPr="004D3694" w:rsidRDefault="00784246" w:rsidP="00A24971">
            <w:pPr>
              <w:pStyle w:val="rvps6"/>
              <w:tabs>
                <w:tab w:val="left" w:pos="308"/>
              </w:tabs>
              <w:spacing w:before="0" w:beforeAutospacing="0" w:after="0" w:afterAutospacing="0"/>
              <w:jc w:val="both"/>
            </w:pPr>
            <w:r w:rsidRPr="004D3694">
              <w:t>Зменшення кількості суб’єктів господарювання, що проводять діяльність у сфері обігу об’єктів регулювання.</w:t>
            </w:r>
          </w:p>
        </w:tc>
      </w:tr>
      <w:tr w:rsidR="004D3694" w:rsidRPr="004D3694" w14:paraId="374B6E32" w14:textId="77777777" w:rsidTr="0088729C">
        <w:trPr>
          <w:trHeight w:val="539"/>
        </w:trPr>
        <w:tc>
          <w:tcPr>
            <w:tcW w:w="2093" w:type="dxa"/>
            <w:shd w:val="clear" w:color="auto" w:fill="auto"/>
            <w:vAlign w:val="center"/>
          </w:tcPr>
          <w:p w14:paraId="32D9CD11" w14:textId="77777777" w:rsidR="00C96624" w:rsidRPr="004D3694" w:rsidRDefault="00C96624" w:rsidP="00FF4304">
            <w:pPr>
              <w:jc w:val="both"/>
              <w:rPr>
                <w:lang w:val="uk-UA"/>
              </w:rPr>
            </w:pPr>
            <w:r w:rsidRPr="004D3694">
              <w:rPr>
                <w:lang w:val="uk-UA"/>
              </w:rPr>
              <w:t>Альтернатива 2</w:t>
            </w:r>
          </w:p>
        </w:tc>
        <w:tc>
          <w:tcPr>
            <w:tcW w:w="3402" w:type="dxa"/>
            <w:shd w:val="clear" w:color="auto" w:fill="auto"/>
            <w:vAlign w:val="center"/>
          </w:tcPr>
          <w:p w14:paraId="689CC1CA" w14:textId="77777777" w:rsidR="00C96624" w:rsidRPr="004D3694" w:rsidRDefault="00D76970" w:rsidP="00D76970">
            <w:pPr>
              <w:pStyle w:val="rvps6"/>
              <w:spacing w:before="0" w:beforeAutospacing="0" w:after="0" w:afterAutospacing="0"/>
            </w:pPr>
            <w:r w:rsidRPr="004D3694">
              <w:t>П</w:t>
            </w:r>
            <w:r w:rsidR="00703B0E" w:rsidRPr="004D3694">
              <w:t>ов’язані з відсутністю</w:t>
            </w:r>
            <w:r w:rsidR="00E6545B" w:rsidRPr="004D3694">
              <w:t xml:space="preserve"> необхідності </w:t>
            </w:r>
            <w:r w:rsidRPr="004D3694">
              <w:t>у впровадженні</w:t>
            </w:r>
            <w:r w:rsidR="00703B0E" w:rsidRPr="004D3694">
              <w:t xml:space="preserve"> процедури </w:t>
            </w:r>
            <w:r w:rsidR="00E6545B" w:rsidRPr="004D3694">
              <w:t xml:space="preserve">регулювання </w:t>
            </w:r>
            <w:r w:rsidR="00703B0E" w:rsidRPr="004D3694">
              <w:t>повторної (арбітражної) експертизи</w:t>
            </w:r>
          </w:p>
        </w:tc>
        <w:tc>
          <w:tcPr>
            <w:tcW w:w="4252" w:type="dxa"/>
            <w:shd w:val="clear" w:color="auto" w:fill="auto"/>
            <w:vAlign w:val="center"/>
          </w:tcPr>
          <w:p w14:paraId="60C3608F" w14:textId="77777777" w:rsidR="007B764C" w:rsidRPr="004D3694" w:rsidRDefault="007B764C" w:rsidP="007B764C">
            <w:pPr>
              <w:pStyle w:val="1"/>
              <w:ind w:right="96"/>
              <w:jc w:val="both"/>
              <w:rPr>
                <w:color w:val="auto"/>
                <w:sz w:val="24"/>
                <w:szCs w:val="24"/>
                <w:lang w:val="uk-UA"/>
              </w:rPr>
            </w:pPr>
            <w:r w:rsidRPr="004D3694">
              <w:rPr>
                <w:color w:val="auto"/>
                <w:sz w:val="24"/>
                <w:szCs w:val="24"/>
                <w:lang w:val="uk-UA"/>
              </w:rPr>
              <w:t>Занесення та/або розповсюдження регульованих шкідливих організмів на території України, що призведе до ураження сприятливих культур рослин і як наслідок зниження/відсутність врожайності.</w:t>
            </w:r>
          </w:p>
          <w:p w14:paraId="425C49A8" w14:textId="77777777" w:rsidR="007B764C" w:rsidRPr="004D3694" w:rsidRDefault="007B764C" w:rsidP="007B764C">
            <w:pPr>
              <w:pStyle w:val="1"/>
              <w:ind w:right="96"/>
              <w:jc w:val="both"/>
              <w:rPr>
                <w:color w:val="auto"/>
                <w:sz w:val="24"/>
                <w:szCs w:val="24"/>
                <w:lang w:val="uk-UA"/>
              </w:rPr>
            </w:pPr>
            <w:r w:rsidRPr="004D3694">
              <w:rPr>
                <w:color w:val="auto"/>
                <w:sz w:val="24"/>
                <w:szCs w:val="24"/>
                <w:lang w:val="uk-UA"/>
              </w:rPr>
              <w:t>Наявність ризиків втрати державного контролю за дотриманням карантинного режиму і проведення заходів з карантину рослин при вирощуванні, заготівлі, вивезенні, ввезенні, транспортуванні, зберіганні, переробці, реалізації та використанні об’єктів карантинних заходів.</w:t>
            </w:r>
          </w:p>
          <w:p w14:paraId="69828799" w14:textId="77777777" w:rsidR="00DF155D" w:rsidRPr="004D3694" w:rsidRDefault="004A30E0" w:rsidP="00DF155D">
            <w:pPr>
              <w:pStyle w:val="1"/>
              <w:ind w:right="96"/>
              <w:jc w:val="both"/>
              <w:rPr>
                <w:color w:val="auto"/>
                <w:sz w:val="24"/>
                <w:szCs w:val="24"/>
                <w:lang w:val="uk-UA"/>
              </w:rPr>
            </w:pPr>
            <w:r w:rsidRPr="004D3694">
              <w:rPr>
                <w:color w:val="auto"/>
                <w:sz w:val="24"/>
                <w:szCs w:val="24"/>
                <w:lang w:val="uk-UA"/>
              </w:rPr>
              <w:t xml:space="preserve">Економічні витрати пов’язані із заборонами міжнародних партнерів, що </w:t>
            </w:r>
            <w:r w:rsidR="00EB6341" w:rsidRPr="004D3694">
              <w:rPr>
                <w:color w:val="auto"/>
                <w:sz w:val="24"/>
                <w:szCs w:val="24"/>
                <w:lang w:val="uk-UA"/>
              </w:rPr>
              <w:t>ґрунтуються</w:t>
            </w:r>
            <w:r w:rsidRPr="004D3694">
              <w:rPr>
                <w:color w:val="auto"/>
                <w:sz w:val="24"/>
                <w:szCs w:val="24"/>
                <w:lang w:val="uk-UA"/>
              </w:rPr>
              <w:t xml:space="preserve"> на наявності </w:t>
            </w:r>
            <w:r w:rsidR="00DF155D" w:rsidRPr="004D3694">
              <w:rPr>
                <w:color w:val="auto"/>
                <w:sz w:val="24"/>
                <w:szCs w:val="24"/>
                <w:lang w:val="uk-UA"/>
              </w:rPr>
              <w:t>регульованих шкідливих організмів</w:t>
            </w:r>
            <w:r w:rsidRPr="004D3694">
              <w:rPr>
                <w:color w:val="auto"/>
                <w:sz w:val="24"/>
                <w:szCs w:val="24"/>
                <w:lang w:val="uk-UA"/>
              </w:rPr>
              <w:t>.</w:t>
            </w:r>
          </w:p>
          <w:p w14:paraId="4F98E30E" w14:textId="77777777" w:rsidR="00F95816" w:rsidRPr="004D3694" w:rsidRDefault="00F95816" w:rsidP="00DF155D">
            <w:pPr>
              <w:pStyle w:val="1"/>
              <w:ind w:right="96"/>
              <w:jc w:val="both"/>
              <w:rPr>
                <w:color w:val="auto"/>
                <w:sz w:val="24"/>
                <w:szCs w:val="24"/>
                <w:lang w:val="uk-UA"/>
              </w:rPr>
            </w:pPr>
            <w:r w:rsidRPr="004D3694">
              <w:rPr>
                <w:color w:val="auto"/>
                <w:sz w:val="24"/>
                <w:szCs w:val="24"/>
                <w:lang w:val="uk-UA"/>
              </w:rPr>
              <w:t xml:space="preserve">Порушення міжнародних зобов’язань щодо належного контролю за об’єктами карантинних заходів з боку компетентного органу </w:t>
            </w:r>
          </w:p>
        </w:tc>
      </w:tr>
      <w:tr w:rsidR="004D3694" w:rsidRPr="004D3694" w14:paraId="2400B933" w14:textId="77777777" w:rsidTr="0088729C">
        <w:trPr>
          <w:trHeight w:val="539"/>
        </w:trPr>
        <w:tc>
          <w:tcPr>
            <w:tcW w:w="2093" w:type="dxa"/>
            <w:shd w:val="clear" w:color="auto" w:fill="auto"/>
            <w:vAlign w:val="center"/>
          </w:tcPr>
          <w:p w14:paraId="63CF5365" w14:textId="77777777" w:rsidR="00A631F2" w:rsidRPr="004D3694" w:rsidRDefault="008202D7" w:rsidP="00FF4304">
            <w:pPr>
              <w:pStyle w:val="1"/>
              <w:ind w:right="96"/>
              <w:jc w:val="both"/>
              <w:rPr>
                <w:color w:val="auto"/>
                <w:sz w:val="24"/>
                <w:szCs w:val="24"/>
                <w:lang w:val="uk-UA" w:eastAsia="ru-RU"/>
              </w:rPr>
            </w:pPr>
            <w:r w:rsidRPr="004D3694">
              <w:rPr>
                <w:color w:val="auto"/>
                <w:sz w:val="24"/>
                <w:szCs w:val="24"/>
                <w:lang w:val="uk-UA" w:eastAsia="ru-RU"/>
              </w:rPr>
              <w:t>Альтернатива 3</w:t>
            </w:r>
          </w:p>
        </w:tc>
        <w:tc>
          <w:tcPr>
            <w:tcW w:w="3402" w:type="dxa"/>
            <w:shd w:val="clear" w:color="auto" w:fill="auto"/>
            <w:vAlign w:val="center"/>
          </w:tcPr>
          <w:p w14:paraId="23BF44BA" w14:textId="77777777" w:rsidR="00A631F2" w:rsidRPr="004D3694" w:rsidRDefault="000501EF" w:rsidP="00FF4304">
            <w:pPr>
              <w:pStyle w:val="1"/>
              <w:ind w:right="96"/>
              <w:jc w:val="both"/>
              <w:rPr>
                <w:color w:val="auto"/>
                <w:sz w:val="24"/>
                <w:szCs w:val="24"/>
                <w:lang w:val="uk-UA" w:eastAsia="ru-RU"/>
              </w:rPr>
            </w:pPr>
            <w:r w:rsidRPr="004D3694">
              <w:rPr>
                <w:color w:val="auto"/>
                <w:sz w:val="24"/>
                <w:szCs w:val="24"/>
                <w:lang w:val="uk-UA" w:eastAsia="ru-RU"/>
              </w:rPr>
              <w:t>Підвищення авторитету компетентного органу в сфері карантину рослин.</w:t>
            </w:r>
          </w:p>
          <w:p w14:paraId="7BBC50C9" w14:textId="77777777" w:rsidR="000501EF" w:rsidRPr="004D3694" w:rsidRDefault="00693189" w:rsidP="007866DB">
            <w:pPr>
              <w:pStyle w:val="rvps6"/>
              <w:tabs>
                <w:tab w:val="left" w:pos="308"/>
              </w:tabs>
              <w:spacing w:before="0" w:beforeAutospacing="0" w:after="0" w:afterAutospacing="0"/>
              <w:jc w:val="both"/>
            </w:pPr>
            <w:r w:rsidRPr="004D3694">
              <w:t>Зниження корупційних ризиків з боку уповноважених осіб компетентного органу в сфері карантину рослин.</w:t>
            </w:r>
          </w:p>
          <w:p w14:paraId="02741839" w14:textId="77777777" w:rsidR="001409A6" w:rsidRPr="004D3694" w:rsidRDefault="001409A6" w:rsidP="007866DB">
            <w:pPr>
              <w:pStyle w:val="rvps6"/>
              <w:tabs>
                <w:tab w:val="left" w:pos="308"/>
              </w:tabs>
              <w:spacing w:before="0" w:beforeAutospacing="0" w:after="0" w:afterAutospacing="0"/>
              <w:jc w:val="both"/>
            </w:pPr>
            <w:r w:rsidRPr="004D3694">
              <w:t>Додаткові надходження до держбюджету за рахунок провадження міжнародної торгівлі.</w:t>
            </w:r>
          </w:p>
        </w:tc>
        <w:tc>
          <w:tcPr>
            <w:tcW w:w="4252" w:type="dxa"/>
            <w:shd w:val="clear" w:color="auto" w:fill="auto"/>
            <w:vAlign w:val="center"/>
          </w:tcPr>
          <w:p w14:paraId="3AD1F715" w14:textId="77777777" w:rsidR="00DF2720" w:rsidRPr="004D3694" w:rsidRDefault="00301D1D" w:rsidP="00301D1D">
            <w:pPr>
              <w:pStyle w:val="1"/>
              <w:ind w:right="96"/>
              <w:jc w:val="both"/>
              <w:rPr>
                <w:color w:val="auto"/>
                <w:sz w:val="24"/>
                <w:szCs w:val="24"/>
                <w:lang w:val="uk-UA"/>
              </w:rPr>
            </w:pPr>
            <w:r w:rsidRPr="004D3694">
              <w:rPr>
                <w:color w:val="auto"/>
                <w:sz w:val="24"/>
                <w:szCs w:val="24"/>
                <w:lang w:val="uk-UA"/>
              </w:rPr>
              <w:t>Витрати компетентного органу пов’язані із необхідністю навчання інспекторів новим нормам законодавства.</w:t>
            </w:r>
          </w:p>
        </w:tc>
        <w:bookmarkStart w:id="0" w:name="_GoBack"/>
        <w:bookmarkEnd w:id="0"/>
      </w:tr>
    </w:tbl>
    <w:p w14:paraId="4ACD9877" w14:textId="77777777" w:rsidR="00B16CA6" w:rsidRPr="004D3694" w:rsidRDefault="00B16CA6" w:rsidP="00B16CA6">
      <w:pPr>
        <w:spacing w:before="120" w:line="276" w:lineRule="auto"/>
        <w:rPr>
          <w:b/>
          <w:i/>
          <w:lang w:val="uk-UA"/>
        </w:rPr>
      </w:pPr>
      <w:r w:rsidRPr="004D3694">
        <w:rPr>
          <w:b/>
          <w:i/>
          <w:lang w:val="uk-UA"/>
        </w:rPr>
        <w:t>Оцінка впливу на сферу інтересів суб’єктів господарювання</w:t>
      </w:r>
    </w:p>
    <w:tbl>
      <w:tblPr>
        <w:tblStyle w:val="TableGrid"/>
        <w:tblW w:w="4945" w:type="pct"/>
        <w:tblLayout w:type="fixed"/>
        <w:tblLook w:val="04A0" w:firstRow="1" w:lastRow="0" w:firstColumn="1" w:lastColumn="0" w:noHBand="0" w:noVBand="1"/>
      </w:tblPr>
      <w:tblGrid>
        <w:gridCol w:w="2818"/>
        <w:gridCol w:w="1409"/>
        <w:gridCol w:w="1269"/>
        <w:gridCol w:w="1550"/>
        <w:gridCol w:w="1409"/>
        <w:gridCol w:w="1292"/>
      </w:tblGrid>
      <w:tr w:rsidR="004D3694" w:rsidRPr="004D3694" w14:paraId="747AB6FF" w14:textId="77777777" w:rsidTr="00EA532C">
        <w:tc>
          <w:tcPr>
            <w:tcW w:w="1445" w:type="pct"/>
            <w:vAlign w:val="center"/>
          </w:tcPr>
          <w:p w14:paraId="4C5EFD3F" w14:textId="77777777" w:rsidR="00B16CA6" w:rsidRPr="004D3694" w:rsidRDefault="00B16CA6" w:rsidP="00C74A5C">
            <w:pPr>
              <w:jc w:val="center"/>
              <w:rPr>
                <w:b/>
                <w:lang w:val="uk-UA"/>
              </w:rPr>
            </w:pPr>
            <w:r w:rsidRPr="004D3694">
              <w:rPr>
                <w:b/>
                <w:lang w:val="uk-UA"/>
              </w:rPr>
              <w:t>Показник</w:t>
            </w:r>
          </w:p>
        </w:tc>
        <w:tc>
          <w:tcPr>
            <w:tcW w:w="723" w:type="pct"/>
            <w:vAlign w:val="center"/>
          </w:tcPr>
          <w:p w14:paraId="732648ED" w14:textId="77777777" w:rsidR="00B16CA6" w:rsidRPr="004D3694" w:rsidRDefault="00B16CA6" w:rsidP="00C74A5C">
            <w:pPr>
              <w:jc w:val="center"/>
              <w:rPr>
                <w:b/>
                <w:lang w:val="uk-UA"/>
              </w:rPr>
            </w:pPr>
            <w:r w:rsidRPr="004D3694">
              <w:rPr>
                <w:b/>
                <w:lang w:val="uk-UA"/>
              </w:rPr>
              <w:t>Мікро</w:t>
            </w:r>
          </w:p>
        </w:tc>
        <w:tc>
          <w:tcPr>
            <w:tcW w:w="651" w:type="pct"/>
            <w:vAlign w:val="center"/>
          </w:tcPr>
          <w:p w14:paraId="1EC8B3A5" w14:textId="77777777" w:rsidR="00B16CA6" w:rsidRPr="004D3694" w:rsidRDefault="00B16CA6" w:rsidP="00C74A5C">
            <w:pPr>
              <w:jc w:val="center"/>
              <w:rPr>
                <w:b/>
                <w:lang w:val="uk-UA"/>
              </w:rPr>
            </w:pPr>
            <w:r w:rsidRPr="004D3694">
              <w:rPr>
                <w:b/>
                <w:lang w:val="uk-UA"/>
              </w:rPr>
              <w:t>Малі</w:t>
            </w:r>
          </w:p>
        </w:tc>
        <w:tc>
          <w:tcPr>
            <w:tcW w:w="795" w:type="pct"/>
          </w:tcPr>
          <w:p w14:paraId="14A08B0C" w14:textId="77777777" w:rsidR="00B16CA6" w:rsidRPr="004D3694" w:rsidRDefault="00B16CA6" w:rsidP="00C74A5C">
            <w:pPr>
              <w:jc w:val="center"/>
              <w:rPr>
                <w:b/>
                <w:lang w:val="uk-UA"/>
              </w:rPr>
            </w:pPr>
            <w:r w:rsidRPr="004D3694">
              <w:rPr>
                <w:b/>
                <w:lang w:val="uk-UA"/>
              </w:rPr>
              <w:t>Середні</w:t>
            </w:r>
          </w:p>
        </w:tc>
        <w:tc>
          <w:tcPr>
            <w:tcW w:w="723" w:type="pct"/>
            <w:vAlign w:val="center"/>
          </w:tcPr>
          <w:p w14:paraId="6E03177C" w14:textId="77777777" w:rsidR="00B16CA6" w:rsidRPr="004D3694" w:rsidRDefault="00B16CA6" w:rsidP="00C74A5C">
            <w:pPr>
              <w:jc w:val="center"/>
              <w:rPr>
                <w:b/>
                <w:lang w:val="uk-UA"/>
              </w:rPr>
            </w:pPr>
            <w:r w:rsidRPr="004D3694">
              <w:rPr>
                <w:b/>
                <w:lang w:val="uk-UA"/>
              </w:rPr>
              <w:t>Великі</w:t>
            </w:r>
          </w:p>
        </w:tc>
        <w:tc>
          <w:tcPr>
            <w:tcW w:w="664" w:type="pct"/>
            <w:vAlign w:val="center"/>
          </w:tcPr>
          <w:p w14:paraId="07A8DEDF" w14:textId="77777777" w:rsidR="00B16CA6" w:rsidRPr="004D3694" w:rsidRDefault="00B16CA6" w:rsidP="00C74A5C">
            <w:pPr>
              <w:jc w:val="center"/>
              <w:rPr>
                <w:b/>
                <w:lang w:val="uk-UA"/>
              </w:rPr>
            </w:pPr>
            <w:r w:rsidRPr="004D3694">
              <w:rPr>
                <w:b/>
                <w:lang w:val="uk-UA"/>
              </w:rPr>
              <w:t>Разом</w:t>
            </w:r>
          </w:p>
        </w:tc>
      </w:tr>
      <w:tr w:rsidR="004D3694" w:rsidRPr="004D3694" w14:paraId="5E846EB8" w14:textId="77777777" w:rsidTr="00EA532C">
        <w:trPr>
          <w:trHeight w:val="680"/>
        </w:trPr>
        <w:tc>
          <w:tcPr>
            <w:tcW w:w="1445" w:type="pct"/>
            <w:vAlign w:val="center"/>
          </w:tcPr>
          <w:p w14:paraId="22CB585D" w14:textId="77777777" w:rsidR="00B16CA6" w:rsidRPr="004D3694" w:rsidRDefault="00B16CA6" w:rsidP="00C74A5C">
            <w:pPr>
              <w:rPr>
                <w:i/>
                <w:lang w:val="uk-UA"/>
              </w:rPr>
            </w:pPr>
            <w:commentRangeStart w:id="1"/>
            <w:r w:rsidRPr="004D3694">
              <w:rPr>
                <w:lang w:val="uk-UA" w:eastAsia="en-US"/>
              </w:rPr>
              <w:t>Кількість суб’єктів господарювання, що підпадають під дію регулювання, одиниць</w:t>
            </w:r>
            <w:commentRangeEnd w:id="1"/>
            <w:r w:rsidR="00962D7F" w:rsidRPr="004D3694">
              <w:rPr>
                <w:rStyle w:val="CommentReference"/>
                <w:sz w:val="24"/>
                <w:szCs w:val="24"/>
              </w:rPr>
              <w:commentReference w:id="1"/>
            </w:r>
          </w:p>
        </w:tc>
        <w:tc>
          <w:tcPr>
            <w:tcW w:w="723" w:type="pct"/>
            <w:vAlign w:val="center"/>
          </w:tcPr>
          <w:p w14:paraId="6E09A7D9" w14:textId="77777777" w:rsidR="00B16CA6" w:rsidRPr="004D3694" w:rsidRDefault="00B16CA6" w:rsidP="00C74A5C">
            <w:pPr>
              <w:jc w:val="center"/>
              <w:rPr>
                <w:lang w:val="uk-UA"/>
              </w:rPr>
            </w:pPr>
          </w:p>
        </w:tc>
        <w:tc>
          <w:tcPr>
            <w:tcW w:w="651" w:type="pct"/>
            <w:vAlign w:val="center"/>
          </w:tcPr>
          <w:p w14:paraId="0379154A" w14:textId="77777777" w:rsidR="00B16CA6" w:rsidRPr="004D3694" w:rsidRDefault="00B16CA6" w:rsidP="00C74A5C">
            <w:pPr>
              <w:jc w:val="center"/>
              <w:rPr>
                <w:lang w:val="uk-UA"/>
              </w:rPr>
            </w:pPr>
          </w:p>
        </w:tc>
        <w:tc>
          <w:tcPr>
            <w:tcW w:w="795" w:type="pct"/>
            <w:vAlign w:val="center"/>
          </w:tcPr>
          <w:p w14:paraId="57326942" w14:textId="77777777" w:rsidR="00B16CA6" w:rsidRPr="004D3694" w:rsidRDefault="00B16CA6" w:rsidP="00C74A5C">
            <w:pPr>
              <w:jc w:val="center"/>
              <w:rPr>
                <w:lang w:val="uk-UA"/>
              </w:rPr>
            </w:pPr>
          </w:p>
        </w:tc>
        <w:tc>
          <w:tcPr>
            <w:tcW w:w="723" w:type="pct"/>
            <w:vAlign w:val="center"/>
          </w:tcPr>
          <w:p w14:paraId="43FCFDB7" w14:textId="77777777" w:rsidR="00B16CA6" w:rsidRPr="004D3694" w:rsidRDefault="00B16CA6" w:rsidP="00C74A5C">
            <w:pPr>
              <w:jc w:val="center"/>
              <w:rPr>
                <w:lang w:val="uk-UA"/>
              </w:rPr>
            </w:pPr>
          </w:p>
        </w:tc>
        <w:tc>
          <w:tcPr>
            <w:tcW w:w="664" w:type="pct"/>
            <w:vAlign w:val="center"/>
          </w:tcPr>
          <w:p w14:paraId="5B9E2F2B" w14:textId="77777777" w:rsidR="00B16CA6" w:rsidRPr="004D3694" w:rsidRDefault="00B16CA6" w:rsidP="00C74A5C">
            <w:pPr>
              <w:jc w:val="center"/>
              <w:rPr>
                <w:lang w:val="uk-UA"/>
              </w:rPr>
            </w:pPr>
          </w:p>
        </w:tc>
      </w:tr>
      <w:tr w:rsidR="00B16CA6" w:rsidRPr="004D3694" w14:paraId="353BEB66" w14:textId="77777777" w:rsidTr="00EA532C">
        <w:trPr>
          <w:trHeight w:val="680"/>
        </w:trPr>
        <w:tc>
          <w:tcPr>
            <w:tcW w:w="1445" w:type="pct"/>
            <w:vAlign w:val="center"/>
          </w:tcPr>
          <w:p w14:paraId="19986A7A" w14:textId="77777777" w:rsidR="00B16CA6" w:rsidRPr="004D3694" w:rsidRDefault="00B16CA6" w:rsidP="00C74A5C">
            <w:pPr>
              <w:rPr>
                <w:lang w:val="uk-UA" w:eastAsia="en-US"/>
              </w:rPr>
            </w:pPr>
            <w:r w:rsidRPr="004D3694">
              <w:rPr>
                <w:lang w:val="uk-UA" w:eastAsia="en-US"/>
              </w:rPr>
              <w:lastRenderedPageBreak/>
              <w:t>Питома вага групи у загальній кількості, %</w:t>
            </w:r>
          </w:p>
        </w:tc>
        <w:tc>
          <w:tcPr>
            <w:tcW w:w="723" w:type="pct"/>
            <w:vAlign w:val="center"/>
          </w:tcPr>
          <w:p w14:paraId="073997CD" w14:textId="77777777" w:rsidR="00B16CA6" w:rsidRPr="004D3694" w:rsidRDefault="00B16CA6" w:rsidP="00C74A5C">
            <w:pPr>
              <w:jc w:val="center"/>
              <w:rPr>
                <w:lang w:val="uk-UA"/>
              </w:rPr>
            </w:pPr>
          </w:p>
        </w:tc>
        <w:tc>
          <w:tcPr>
            <w:tcW w:w="651" w:type="pct"/>
            <w:vAlign w:val="center"/>
          </w:tcPr>
          <w:p w14:paraId="47813FE8" w14:textId="77777777" w:rsidR="00B16CA6" w:rsidRPr="004D3694" w:rsidRDefault="00B16CA6" w:rsidP="00C74A5C">
            <w:pPr>
              <w:jc w:val="center"/>
              <w:rPr>
                <w:lang w:val="uk-UA"/>
              </w:rPr>
            </w:pPr>
          </w:p>
        </w:tc>
        <w:tc>
          <w:tcPr>
            <w:tcW w:w="795" w:type="pct"/>
            <w:vAlign w:val="center"/>
          </w:tcPr>
          <w:p w14:paraId="447D761B" w14:textId="77777777" w:rsidR="00B16CA6" w:rsidRPr="004D3694" w:rsidRDefault="00B16CA6" w:rsidP="00C74A5C">
            <w:pPr>
              <w:jc w:val="center"/>
              <w:rPr>
                <w:lang w:val="uk-UA"/>
              </w:rPr>
            </w:pPr>
          </w:p>
        </w:tc>
        <w:tc>
          <w:tcPr>
            <w:tcW w:w="723" w:type="pct"/>
            <w:vAlign w:val="center"/>
          </w:tcPr>
          <w:p w14:paraId="1C28C6F2" w14:textId="77777777" w:rsidR="00B16CA6" w:rsidRPr="004D3694" w:rsidRDefault="00B16CA6" w:rsidP="00C74A5C">
            <w:pPr>
              <w:jc w:val="center"/>
              <w:rPr>
                <w:lang w:val="uk-UA"/>
              </w:rPr>
            </w:pPr>
          </w:p>
        </w:tc>
        <w:tc>
          <w:tcPr>
            <w:tcW w:w="664" w:type="pct"/>
            <w:vAlign w:val="center"/>
          </w:tcPr>
          <w:p w14:paraId="63650349" w14:textId="77777777" w:rsidR="00B16CA6" w:rsidRPr="004D3694" w:rsidRDefault="00B16CA6" w:rsidP="00C74A5C">
            <w:pPr>
              <w:jc w:val="center"/>
              <w:rPr>
                <w:lang w:val="uk-UA"/>
              </w:rPr>
            </w:pPr>
          </w:p>
        </w:tc>
      </w:tr>
    </w:tbl>
    <w:p w14:paraId="56C286C3" w14:textId="77777777" w:rsidR="001B3748" w:rsidRPr="004D3694" w:rsidRDefault="001B3748" w:rsidP="00A334B7">
      <w:pPr>
        <w:spacing w:after="120" w:line="276" w:lineRule="auto"/>
        <w:rPr>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402"/>
        <w:gridCol w:w="4252"/>
      </w:tblGrid>
      <w:tr w:rsidR="004D3694" w:rsidRPr="004D3694" w14:paraId="0D5FEC76" w14:textId="77777777" w:rsidTr="00EA532C">
        <w:trPr>
          <w:trHeight w:val="539"/>
        </w:trPr>
        <w:tc>
          <w:tcPr>
            <w:tcW w:w="2093" w:type="dxa"/>
            <w:shd w:val="clear" w:color="auto" w:fill="auto"/>
            <w:vAlign w:val="center"/>
          </w:tcPr>
          <w:p w14:paraId="7FB8D774" w14:textId="77777777" w:rsidR="00962D7F" w:rsidRPr="004D3694" w:rsidRDefault="00962D7F" w:rsidP="00C74A5C">
            <w:pPr>
              <w:spacing w:line="276" w:lineRule="auto"/>
              <w:jc w:val="center"/>
              <w:rPr>
                <w:lang w:val="uk-UA"/>
              </w:rPr>
            </w:pPr>
            <w:r w:rsidRPr="004D3694">
              <w:rPr>
                <w:lang w:val="uk-UA"/>
              </w:rPr>
              <w:t>Вид альтернативи</w:t>
            </w:r>
          </w:p>
        </w:tc>
        <w:tc>
          <w:tcPr>
            <w:tcW w:w="3402" w:type="dxa"/>
            <w:shd w:val="clear" w:color="auto" w:fill="auto"/>
            <w:vAlign w:val="center"/>
          </w:tcPr>
          <w:p w14:paraId="712E7D91" w14:textId="77777777" w:rsidR="00962D7F" w:rsidRPr="004D3694" w:rsidRDefault="00962D7F" w:rsidP="00C74A5C">
            <w:pPr>
              <w:spacing w:line="276" w:lineRule="auto"/>
              <w:jc w:val="center"/>
              <w:rPr>
                <w:lang w:val="uk-UA"/>
              </w:rPr>
            </w:pPr>
            <w:r w:rsidRPr="004D3694">
              <w:rPr>
                <w:lang w:val="uk-UA"/>
              </w:rPr>
              <w:t>Вигоди</w:t>
            </w:r>
          </w:p>
        </w:tc>
        <w:tc>
          <w:tcPr>
            <w:tcW w:w="4252" w:type="dxa"/>
            <w:shd w:val="clear" w:color="auto" w:fill="auto"/>
            <w:vAlign w:val="center"/>
          </w:tcPr>
          <w:p w14:paraId="1F940A68" w14:textId="77777777" w:rsidR="00962D7F" w:rsidRPr="004D3694" w:rsidRDefault="00962D7F" w:rsidP="00C74A5C">
            <w:pPr>
              <w:spacing w:line="276" w:lineRule="auto"/>
              <w:jc w:val="center"/>
              <w:rPr>
                <w:lang w:val="uk-UA"/>
              </w:rPr>
            </w:pPr>
            <w:r w:rsidRPr="004D3694">
              <w:rPr>
                <w:lang w:val="uk-UA"/>
              </w:rPr>
              <w:t>Витрати</w:t>
            </w:r>
          </w:p>
        </w:tc>
      </w:tr>
      <w:tr w:rsidR="004D3694" w:rsidRPr="004D3694" w14:paraId="4698637C" w14:textId="77777777" w:rsidTr="00EA532C">
        <w:trPr>
          <w:trHeight w:val="539"/>
        </w:trPr>
        <w:tc>
          <w:tcPr>
            <w:tcW w:w="2093" w:type="dxa"/>
            <w:shd w:val="clear" w:color="auto" w:fill="auto"/>
            <w:vAlign w:val="center"/>
          </w:tcPr>
          <w:p w14:paraId="33FF1295" w14:textId="77777777" w:rsidR="00962D7F" w:rsidRPr="004D3694" w:rsidRDefault="00962D7F" w:rsidP="00C74A5C">
            <w:pPr>
              <w:jc w:val="both"/>
              <w:rPr>
                <w:lang w:val="uk-UA"/>
              </w:rPr>
            </w:pPr>
            <w:r w:rsidRPr="004D3694">
              <w:rPr>
                <w:lang w:val="uk-UA"/>
              </w:rPr>
              <w:t>Альтернатива 1</w:t>
            </w:r>
          </w:p>
        </w:tc>
        <w:tc>
          <w:tcPr>
            <w:tcW w:w="3402" w:type="dxa"/>
            <w:shd w:val="clear" w:color="auto" w:fill="auto"/>
            <w:vAlign w:val="center"/>
          </w:tcPr>
          <w:p w14:paraId="5B789BF2" w14:textId="77777777" w:rsidR="00962D7F" w:rsidRPr="004D3694" w:rsidRDefault="00310AA1" w:rsidP="00C74A5C">
            <w:pPr>
              <w:pStyle w:val="rvps6"/>
              <w:spacing w:before="0" w:beforeAutospacing="0" w:after="0" w:afterAutospacing="0"/>
            </w:pPr>
            <w:r w:rsidRPr="004D3694">
              <w:t>Прямі вигоди відсутні</w:t>
            </w:r>
          </w:p>
        </w:tc>
        <w:tc>
          <w:tcPr>
            <w:tcW w:w="4252" w:type="dxa"/>
            <w:shd w:val="clear" w:color="auto" w:fill="auto"/>
            <w:vAlign w:val="center"/>
          </w:tcPr>
          <w:p w14:paraId="3D036722" w14:textId="77777777" w:rsidR="00962D7F" w:rsidRPr="004D3694" w:rsidRDefault="00382CF0" w:rsidP="00617868">
            <w:pPr>
              <w:pStyle w:val="rvps6"/>
              <w:tabs>
                <w:tab w:val="left" w:pos="308"/>
              </w:tabs>
              <w:spacing w:before="0" w:beforeAutospacing="0" w:after="0" w:afterAutospacing="0"/>
              <w:jc w:val="both"/>
              <w:rPr>
                <w:lang w:eastAsia="ru-RU"/>
              </w:rPr>
            </w:pPr>
            <w:r w:rsidRPr="004D3694">
              <w:t xml:space="preserve">Економічні </w:t>
            </w:r>
            <w:r w:rsidR="00617868" w:rsidRPr="004D3694">
              <w:t>витратами на утримання підконтрольних об’єктів регулювань на час проведення арбітражних випробувань.</w:t>
            </w:r>
          </w:p>
        </w:tc>
      </w:tr>
      <w:tr w:rsidR="004D3694" w:rsidRPr="004D3694" w14:paraId="26B62B96" w14:textId="77777777" w:rsidTr="00EA532C">
        <w:trPr>
          <w:trHeight w:val="539"/>
        </w:trPr>
        <w:tc>
          <w:tcPr>
            <w:tcW w:w="2093" w:type="dxa"/>
            <w:shd w:val="clear" w:color="auto" w:fill="auto"/>
            <w:vAlign w:val="center"/>
          </w:tcPr>
          <w:p w14:paraId="5F2D679C" w14:textId="77777777" w:rsidR="00962D7F" w:rsidRPr="004D3694" w:rsidRDefault="00962D7F" w:rsidP="00C74A5C">
            <w:pPr>
              <w:jc w:val="both"/>
              <w:rPr>
                <w:lang w:val="uk-UA"/>
              </w:rPr>
            </w:pPr>
            <w:r w:rsidRPr="004D3694">
              <w:rPr>
                <w:lang w:val="uk-UA"/>
              </w:rPr>
              <w:t>Альтернатива 2</w:t>
            </w:r>
          </w:p>
        </w:tc>
        <w:tc>
          <w:tcPr>
            <w:tcW w:w="3402" w:type="dxa"/>
            <w:shd w:val="clear" w:color="auto" w:fill="auto"/>
            <w:vAlign w:val="center"/>
          </w:tcPr>
          <w:p w14:paraId="6BECA429" w14:textId="77777777" w:rsidR="00962D7F" w:rsidRPr="004D3694" w:rsidRDefault="00955210" w:rsidP="00EA532C">
            <w:pPr>
              <w:pStyle w:val="rvps6"/>
              <w:spacing w:before="0" w:beforeAutospacing="0" w:after="0" w:afterAutospacing="0"/>
              <w:jc w:val="both"/>
            </w:pPr>
            <w:r w:rsidRPr="004D3694">
              <w:t>Можливість оскарження результатів фітосанітарної експертизи у лабораторіях, що не уповноважені на проведених арбітражних випробувань.</w:t>
            </w:r>
          </w:p>
        </w:tc>
        <w:tc>
          <w:tcPr>
            <w:tcW w:w="4252" w:type="dxa"/>
            <w:shd w:val="clear" w:color="auto" w:fill="auto"/>
            <w:vAlign w:val="center"/>
          </w:tcPr>
          <w:p w14:paraId="7062A696" w14:textId="77777777" w:rsidR="00EA532C" w:rsidRPr="004D3694" w:rsidRDefault="00EA532C" w:rsidP="00EA532C">
            <w:pPr>
              <w:pStyle w:val="1"/>
              <w:ind w:right="96"/>
              <w:jc w:val="both"/>
              <w:rPr>
                <w:color w:val="auto"/>
                <w:sz w:val="24"/>
                <w:szCs w:val="24"/>
                <w:lang w:val="uk-UA"/>
              </w:rPr>
            </w:pPr>
            <w:r w:rsidRPr="004D3694">
              <w:rPr>
                <w:color w:val="auto"/>
                <w:sz w:val="24"/>
                <w:szCs w:val="24"/>
                <w:lang w:val="uk-UA"/>
              </w:rPr>
              <w:t>В</w:t>
            </w:r>
            <w:r w:rsidR="00E4424B" w:rsidRPr="004D3694">
              <w:rPr>
                <w:color w:val="auto"/>
                <w:sz w:val="24"/>
                <w:szCs w:val="24"/>
                <w:lang w:val="uk-UA"/>
              </w:rPr>
              <w:t>итрати пов’язані із</w:t>
            </w:r>
            <w:r w:rsidRPr="004D3694">
              <w:rPr>
                <w:color w:val="auto"/>
                <w:sz w:val="24"/>
                <w:szCs w:val="24"/>
                <w:lang w:val="uk-UA"/>
              </w:rPr>
              <w:t xml:space="preserve"> занесення</w:t>
            </w:r>
            <w:r w:rsidR="00E4424B" w:rsidRPr="004D3694">
              <w:rPr>
                <w:color w:val="auto"/>
                <w:sz w:val="24"/>
                <w:szCs w:val="24"/>
                <w:lang w:val="uk-UA"/>
              </w:rPr>
              <w:t>м</w:t>
            </w:r>
            <w:r w:rsidRPr="004D3694">
              <w:rPr>
                <w:color w:val="auto"/>
                <w:sz w:val="24"/>
                <w:szCs w:val="24"/>
                <w:lang w:val="uk-UA"/>
              </w:rPr>
              <w:t xml:space="preserve"> та/або розповсюдження регульованих шкідливих організмів на території України внаслідок </w:t>
            </w:r>
            <w:r w:rsidR="00E4424B" w:rsidRPr="004D3694">
              <w:rPr>
                <w:color w:val="auto"/>
                <w:sz w:val="24"/>
                <w:szCs w:val="24"/>
                <w:lang w:val="uk-UA"/>
              </w:rPr>
              <w:t>проведення повторної (арбітражної) експертизи з боку лабораторій, що зацікавлені у наданні визначених результатів або є недостатньо компетентними у зазначеній сфері.</w:t>
            </w:r>
          </w:p>
          <w:p w14:paraId="139DC5B3" w14:textId="77777777" w:rsidR="00853410" w:rsidRPr="004D3694" w:rsidRDefault="00853410" w:rsidP="00C74A5C">
            <w:pPr>
              <w:pStyle w:val="1"/>
              <w:ind w:right="96"/>
              <w:jc w:val="both"/>
              <w:rPr>
                <w:color w:val="auto"/>
                <w:sz w:val="24"/>
                <w:szCs w:val="24"/>
                <w:lang w:val="uk-UA"/>
              </w:rPr>
            </w:pPr>
            <w:r w:rsidRPr="004D3694">
              <w:rPr>
                <w:color w:val="auto"/>
                <w:sz w:val="24"/>
                <w:szCs w:val="24"/>
                <w:lang w:val="uk-UA"/>
              </w:rPr>
              <w:t>Витрати пов’язані із обмеженнями</w:t>
            </w:r>
            <w:r w:rsidR="00F95816" w:rsidRPr="004D3694">
              <w:rPr>
                <w:color w:val="auto"/>
                <w:sz w:val="24"/>
                <w:szCs w:val="24"/>
                <w:lang w:val="uk-UA"/>
              </w:rPr>
              <w:t>/штрафними санкціями</w:t>
            </w:r>
            <w:r w:rsidRPr="004D3694">
              <w:rPr>
                <w:color w:val="auto"/>
                <w:sz w:val="24"/>
                <w:szCs w:val="24"/>
                <w:lang w:val="uk-UA"/>
              </w:rPr>
              <w:t xml:space="preserve"> внаслідок виявлення шкідливих організмів </w:t>
            </w:r>
            <w:r w:rsidR="00F95816" w:rsidRPr="004D3694">
              <w:rPr>
                <w:color w:val="auto"/>
                <w:sz w:val="24"/>
                <w:szCs w:val="24"/>
                <w:lang w:val="uk-UA"/>
              </w:rPr>
              <w:t>з боку торгівельних партнерів/компетентних органів країн-партнерів</w:t>
            </w:r>
            <w:r w:rsidRPr="004D3694">
              <w:rPr>
                <w:color w:val="auto"/>
                <w:sz w:val="24"/>
                <w:szCs w:val="24"/>
                <w:lang w:val="uk-UA"/>
              </w:rPr>
              <w:t>.</w:t>
            </w:r>
          </w:p>
        </w:tc>
      </w:tr>
      <w:tr w:rsidR="00962D7F" w:rsidRPr="004D3694" w14:paraId="3609F175" w14:textId="77777777" w:rsidTr="00EA532C">
        <w:trPr>
          <w:trHeight w:val="539"/>
        </w:trPr>
        <w:tc>
          <w:tcPr>
            <w:tcW w:w="2093" w:type="dxa"/>
            <w:shd w:val="clear" w:color="auto" w:fill="auto"/>
            <w:vAlign w:val="center"/>
          </w:tcPr>
          <w:p w14:paraId="35B2DEE0" w14:textId="77777777" w:rsidR="00962D7F" w:rsidRPr="004D3694" w:rsidRDefault="00962D7F" w:rsidP="00C74A5C">
            <w:pPr>
              <w:pStyle w:val="1"/>
              <w:ind w:right="96"/>
              <w:jc w:val="both"/>
              <w:rPr>
                <w:color w:val="auto"/>
                <w:sz w:val="24"/>
                <w:szCs w:val="24"/>
                <w:lang w:val="uk-UA" w:eastAsia="ru-RU"/>
              </w:rPr>
            </w:pPr>
            <w:r w:rsidRPr="004D3694">
              <w:rPr>
                <w:color w:val="auto"/>
                <w:sz w:val="24"/>
                <w:szCs w:val="24"/>
                <w:lang w:val="uk-UA" w:eastAsia="ru-RU"/>
              </w:rPr>
              <w:t>Альтернатива 3</w:t>
            </w:r>
          </w:p>
        </w:tc>
        <w:tc>
          <w:tcPr>
            <w:tcW w:w="3402" w:type="dxa"/>
            <w:shd w:val="clear" w:color="auto" w:fill="auto"/>
            <w:vAlign w:val="center"/>
          </w:tcPr>
          <w:p w14:paraId="2A1D18DC" w14:textId="77777777" w:rsidR="00962D7F" w:rsidRPr="004D3694" w:rsidRDefault="00C22B2B" w:rsidP="007C2171">
            <w:pPr>
              <w:pStyle w:val="rvps6"/>
              <w:tabs>
                <w:tab w:val="left" w:pos="308"/>
              </w:tabs>
              <w:spacing w:before="0" w:beforeAutospacing="0" w:after="0" w:afterAutospacing="0"/>
              <w:jc w:val="both"/>
            </w:pPr>
            <w:r w:rsidRPr="004D3694">
              <w:t>Введення нового</w:t>
            </w:r>
            <w:r w:rsidR="007C2171" w:rsidRPr="004D3694">
              <w:t xml:space="preserve"> м</w:t>
            </w:r>
            <w:r w:rsidR="00F95816" w:rsidRPr="004D3694">
              <w:t>еханізм</w:t>
            </w:r>
            <w:r w:rsidRPr="004D3694">
              <w:t>у</w:t>
            </w:r>
            <w:r w:rsidR="00F95816" w:rsidRPr="004D3694">
              <w:t xml:space="preserve"> оскарження </w:t>
            </w:r>
            <w:r w:rsidR="00115EEC" w:rsidRPr="004D3694">
              <w:t xml:space="preserve">результатів </w:t>
            </w:r>
            <w:r w:rsidR="007C2171" w:rsidRPr="004D3694">
              <w:t>фітосанітарної експертизи.</w:t>
            </w:r>
          </w:p>
          <w:p w14:paraId="394F6F76" w14:textId="77777777" w:rsidR="004D0F85" w:rsidRPr="004D3694" w:rsidRDefault="004D0F85" w:rsidP="007C2171">
            <w:pPr>
              <w:pStyle w:val="rvps6"/>
              <w:tabs>
                <w:tab w:val="left" w:pos="308"/>
              </w:tabs>
              <w:spacing w:before="0" w:beforeAutospacing="0" w:after="0" w:afterAutospacing="0"/>
              <w:jc w:val="both"/>
            </w:pPr>
            <w:r w:rsidRPr="004D3694">
              <w:t>Зменшення витрат пов’язаних із новим механізмом оскарження результатів фітосанітарної експертизи.</w:t>
            </w:r>
          </w:p>
          <w:p w14:paraId="3773DCE8" w14:textId="77777777" w:rsidR="007C2171" w:rsidRPr="004D3694" w:rsidRDefault="006F70FF" w:rsidP="007C2171">
            <w:pPr>
              <w:pStyle w:val="rvps6"/>
              <w:tabs>
                <w:tab w:val="left" w:pos="308"/>
              </w:tabs>
              <w:spacing w:before="0" w:beforeAutospacing="0" w:after="0" w:afterAutospacing="0"/>
              <w:jc w:val="both"/>
            </w:pPr>
            <w:r w:rsidRPr="004D3694">
              <w:t>Підвищення прозорості проведення повторної (арбітражної) експертизи.</w:t>
            </w:r>
          </w:p>
          <w:p w14:paraId="72EE7E5B" w14:textId="77777777" w:rsidR="006F70FF" w:rsidRPr="004D3694" w:rsidRDefault="003E2DB3" w:rsidP="007C2171">
            <w:pPr>
              <w:pStyle w:val="rvps6"/>
              <w:tabs>
                <w:tab w:val="left" w:pos="308"/>
              </w:tabs>
              <w:spacing w:before="0" w:beforeAutospacing="0" w:after="0" w:afterAutospacing="0"/>
              <w:jc w:val="both"/>
            </w:pPr>
            <w:r w:rsidRPr="004D3694">
              <w:t>Мінімізація затримок при проведенні повторної (арбітражної) експертизи.</w:t>
            </w:r>
          </w:p>
        </w:tc>
        <w:tc>
          <w:tcPr>
            <w:tcW w:w="4252" w:type="dxa"/>
            <w:shd w:val="clear" w:color="auto" w:fill="auto"/>
            <w:vAlign w:val="center"/>
          </w:tcPr>
          <w:p w14:paraId="42724D3D" w14:textId="77777777" w:rsidR="00962D7F" w:rsidRPr="004D3694" w:rsidRDefault="004D0F85" w:rsidP="00617868">
            <w:pPr>
              <w:pStyle w:val="1"/>
              <w:ind w:right="96"/>
              <w:jc w:val="both"/>
              <w:rPr>
                <w:color w:val="auto"/>
                <w:sz w:val="24"/>
                <w:szCs w:val="24"/>
                <w:lang w:val="uk-UA" w:eastAsia="ru-RU"/>
              </w:rPr>
            </w:pPr>
            <w:r w:rsidRPr="004D3694">
              <w:rPr>
                <w:color w:val="auto"/>
                <w:sz w:val="24"/>
                <w:szCs w:val="24"/>
                <w:lang w:val="uk-UA" w:eastAsia="ru-RU"/>
              </w:rPr>
              <w:t xml:space="preserve">Витрати </w:t>
            </w:r>
            <w:r w:rsidR="00617868" w:rsidRPr="004D3694">
              <w:rPr>
                <w:color w:val="auto"/>
                <w:sz w:val="24"/>
                <w:szCs w:val="24"/>
                <w:lang w:val="uk-UA" w:eastAsia="ru-RU"/>
              </w:rPr>
              <w:t>відсутні</w:t>
            </w:r>
          </w:p>
        </w:tc>
      </w:tr>
    </w:tbl>
    <w:p w14:paraId="3680D63E" w14:textId="77777777" w:rsidR="00962D7F" w:rsidRPr="004D3694" w:rsidRDefault="00962D7F" w:rsidP="00A334B7">
      <w:pPr>
        <w:spacing w:after="120" w:line="276" w:lineRule="auto"/>
      </w:pPr>
    </w:p>
    <w:p w14:paraId="07A7DFF8" w14:textId="77777777" w:rsidR="001E27D7" w:rsidRPr="004D3694" w:rsidRDefault="001E27D7" w:rsidP="001E27D7">
      <w:pPr>
        <w:spacing w:before="120" w:after="120"/>
        <w:jc w:val="both"/>
        <w:outlineLvl w:val="0"/>
        <w:rPr>
          <w:b/>
          <w:lang w:val="uk-UA"/>
        </w:rPr>
      </w:pPr>
      <w:r w:rsidRPr="004D3694">
        <w:rPr>
          <w:rStyle w:val="Strong"/>
          <w:lang w:val="en-US"/>
        </w:rPr>
        <w:t>IV</w:t>
      </w:r>
      <w:r w:rsidRPr="004D3694">
        <w:rPr>
          <w:rStyle w:val="Strong"/>
          <w:lang w:val="uk-UA"/>
        </w:rPr>
        <w:t>.</w:t>
      </w:r>
      <w:r w:rsidRPr="004D3694">
        <w:rPr>
          <w:rStyle w:val="Strong"/>
        </w:rPr>
        <w:tab/>
      </w:r>
      <w:r w:rsidRPr="004D3694">
        <w:rPr>
          <w:b/>
          <w:lang w:val="uk-UA"/>
        </w:rPr>
        <w:t>Вибір найбільш оптимального альтернативного способу досягнення встановлених цілей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977"/>
        <w:gridCol w:w="4252"/>
      </w:tblGrid>
      <w:tr w:rsidR="004D3694" w:rsidRPr="004D3694" w14:paraId="4A7C9BD1" w14:textId="77777777" w:rsidTr="00DC395A">
        <w:trPr>
          <w:trHeight w:val="1153"/>
        </w:trPr>
        <w:tc>
          <w:tcPr>
            <w:tcW w:w="2518" w:type="dxa"/>
            <w:shd w:val="clear" w:color="auto" w:fill="auto"/>
            <w:vAlign w:val="center"/>
          </w:tcPr>
          <w:p w14:paraId="4E47DF98" w14:textId="77777777" w:rsidR="00DC395A" w:rsidRPr="004D3694" w:rsidRDefault="00DC395A" w:rsidP="00C74A5C">
            <w:pPr>
              <w:spacing w:before="120" w:after="120"/>
              <w:jc w:val="center"/>
              <w:outlineLvl w:val="0"/>
              <w:rPr>
                <w:b/>
                <w:lang w:val="uk-UA"/>
              </w:rPr>
            </w:pPr>
            <w:r w:rsidRPr="004D3694">
              <w:rPr>
                <w:b/>
                <w:lang w:val="uk-UA"/>
              </w:rPr>
              <w:t>Рейтинг результативності (досягнення цілей під час вирішення проблеми)</w:t>
            </w:r>
          </w:p>
        </w:tc>
        <w:tc>
          <w:tcPr>
            <w:tcW w:w="2977" w:type="dxa"/>
            <w:shd w:val="clear" w:color="auto" w:fill="auto"/>
            <w:vAlign w:val="center"/>
          </w:tcPr>
          <w:p w14:paraId="3659B465" w14:textId="77777777" w:rsidR="00DC395A" w:rsidRPr="004D3694" w:rsidRDefault="00DC395A" w:rsidP="00C74A5C">
            <w:pPr>
              <w:spacing w:before="120" w:after="120"/>
              <w:jc w:val="center"/>
              <w:outlineLvl w:val="0"/>
              <w:rPr>
                <w:b/>
                <w:lang w:val="uk-UA"/>
              </w:rPr>
            </w:pPr>
            <w:r w:rsidRPr="004D3694">
              <w:rPr>
                <w:b/>
                <w:lang w:val="uk-UA"/>
              </w:rPr>
              <w:t>Бал результативності (за чотири бальною системою оцінки)</w:t>
            </w:r>
          </w:p>
        </w:tc>
        <w:tc>
          <w:tcPr>
            <w:tcW w:w="4252" w:type="dxa"/>
            <w:shd w:val="clear" w:color="auto" w:fill="auto"/>
            <w:vAlign w:val="center"/>
          </w:tcPr>
          <w:p w14:paraId="2A6A48EE" w14:textId="77777777" w:rsidR="00DC395A" w:rsidRPr="004D3694" w:rsidRDefault="00DC395A" w:rsidP="00C74A5C">
            <w:pPr>
              <w:spacing w:before="120" w:after="120"/>
              <w:jc w:val="center"/>
              <w:outlineLvl w:val="0"/>
              <w:rPr>
                <w:b/>
                <w:lang w:val="uk-UA"/>
              </w:rPr>
            </w:pPr>
            <w:r w:rsidRPr="004D3694">
              <w:rPr>
                <w:b/>
                <w:lang w:val="uk-UA"/>
              </w:rPr>
              <w:t>Коментарі щодо присвоєння відповідного бала</w:t>
            </w:r>
          </w:p>
        </w:tc>
      </w:tr>
      <w:tr w:rsidR="004D3694" w:rsidRPr="004D3694" w14:paraId="4F56DF62" w14:textId="77777777" w:rsidTr="00DC395A">
        <w:tc>
          <w:tcPr>
            <w:tcW w:w="2518" w:type="dxa"/>
            <w:shd w:val="clear" w:color="auto" w:fill="auto"/>
            <w:vAlign w:val="center"/>
          </w:tcPr>
          <w:p w14:paraId="29727419" w14:textId="77777777" w:rsidR="00DC395A" w:rsidRPr="004D3694" w:rsidRDefault="00DC395A" w:rsidP="00C74A5C">
            <w:pPr>
              <w:spacing w:after="120"/>
              <w:outlineLvl w:val="0"/>
              <w:rPr>
                <w:lang w:val="uk-UA"/>
              </w:rPr>
            </w:pPr>
            <w:r w:rsidRPr="004D3694">
              <w:rPr>
                <w:lang w:val="uk-UA"/>
              </w:rPr>
              <w:t>Альтернатива 1</w:t>
            </w:r>
          </w:p>
        </w:tc>
        <w:tc>
          <w:tcPr>
            <w:tcW w:w="2977" w:type="dxa"/>
            <w:shd w:val="clear" w:color="auto" w:fill="auto"/>
            <w:vAlign w:val="center"/>
          </w:tcPr>
          <w:p w14:paraId="26DCAE63" w14:textId="77777777" w:rsidR="00DC395A" w:rsidRPr="004D3694" w:rsidRDefault="007C4961" w:rsidP="00C74A5C">
            <w:pPr>
              <w:spacing w:after="120"/>
              <w:jc w:val="center"/>
              <w:outlineLvl w:val="0"/>
              <w:rPr>
                <w:lang w:val="uk-UA"/>
              </w:rPr>
            </w:pPr>
            <w:r w:rsidRPr="004D3694">
              <w:rPr>
                <w:lang w:val="uk-UA"/>
              </w:rPr>
              <w:t>1</w:t>
            </w:r>
          </w:p>
        </w:tc>
        <w:tc>
          <w:tcPr>
            <w:tcW w:w="4252" w:type="dxa"/>
            <w:shd w:val="clear" w:color="auto" w:fill="auto"/>
            <w:vAlign w:val="center"/>
          </w:tcPr>
          <w:p w14:paraId="7B1AD47E" w14:textId="77777777" w:rsidR="00DC395A" w:rsidRPr="004D3694" w:rsidRDefault="00DC395A" w:rsidP="00DC395A">
            <w:pPr>
              <w:spacing w:after="120"/>
              <w:jc w:val="both"/>
              <w:outlineLvl w:val="0"/>
              <w:rPr>
                <w:lang w:val="uk-UA"/>
              </w:rPr>
            </w:pPr>
            <w:r w:rsidRPr="004D3694">
              <w:rPr>
                <w:lang w:val="uk-UA"/>
              </w:rPr>
              <w:t>Спосіб зберігає всі наявні недоліки, що наведені у розділі І.</w:t>
            </w:r>
          </w:p>
        </w:tc>
      </w:tr>
      <w:tr w:rsidR="004D3694" w:rsidRPr="004D3694" w14:paraId="450FED88" w14:textId="77777777" w:rsidTr="00DC395A">
        <w:tc>
          <w:tcPr>
            <w:tcW w:w="2518" w:type="dxa"/>
            <w:shd w:val="clear" w:color="auto" w:fill="auto"/>
            <w:vAlign w:val="center"/>
          </w:tcPr>
          <w:p w14:paraId="52C484F2" w14:textId="77777777" w:rsidR="00DC395A" w:rsidRPr="004D3694" w:rsidRDefault="00DC395A" w:rsidP="00C74A5C">
            <w:pPr>
              <w:spacing w:after="120"/>
              <w:outlineLvl w:val="0"/>
              <w:rPr>
                <w:lang w:val="uk-UA"/>
              </w:rPr>
            </w:pPr>
            <w:r w:rsidRPr="004D3694">
              <w:rPr>
                <w:lang w:val="uk-UA"/>
              </w:rPr>
              <w:t>Альтернатива 2</w:t>
            </w:r>
          </w:p>
        </w:tc>
        <w:tc>
          <w:tcPr>
            <w:tcW w:w="2977" w:type="dxa"/>
            <w:shd w:val="clear" w:color="auto" w:fill="auto"/>
            <w:vAlign w:val="center"/>
          </w:tcPr>
          <w:p w14:paraId="582D29A7" w14:textId="77777777" w:rsidR="00DC395A" w:rsidRPr="004D3694" w:rsidRDefault="00DC395A" w:rsidP="00C74A5C">
            <w:pPr>
              <w:spacing w:after="120"/>
              <w:jc w:val="center"/>
              <w:outlineLvl w:val="0"/>
              <w:rPr>
                <w:lang w:val="uk-UA"/>
              </w:rPr>
            </w:pPr>
            <w:r w:rsidRPr="004D3694">
              <w:rPr>
                <w:lang w:val="uk-UA"/>
              </w:rPr>
              <w:t>1</w:t>
            </w:r>
          </w:p>
        </w:tc>
        <w:tc>
          <w:tcPr>
            <w:tcW w:w="4252" w:type="dxa"/>
            <w:shd w:val="clear" w:color="auto" w:fill="auto"/>
            <w:vAlign w:val="center"/>
          </w:tcPr>
          <w:p w14:paraId="57A3E187" w14:textId="77777777" w:rsidR="00DC395A" w:rsidRPr="004D3694" w:rsidRDefault="00DC395A" w:rsidP="00C74A5C">
            <w:pPr>
              <w:spacing w:after="120"/>
              <w:jc w:val="both"/>
              <w:outlineLvl w:val="0"/>
              <w:rPr>
                <w:lang w:val="uk-UA"/>
              </w:rPr>
            </w:pPr>
            <w:r w:rsidRPr="004D3694">
              <w:rPr>
                <w:lang w:val="uk-UA"/>
              </w:rPr>
              <w:t xml:space="preserve">Спосіб є абсолютно неприйнятним з огляду на ризики, що виникають внаслідок усунення регулювання у сфері проведення повторної </w:t>
            </w:r>
            <w:r w:rsidRPr="004D3694">
              <w:rPr>
                <w:lang w:val="uk-UA"/>
              </w:rPr>
              <w:lastRenderedPageBreak/>
              <w:t>(арбітражної) експертизи.</w:t>
            </w:r>
          </w:p>
        </w:tc>
      </w:tr>
      <w:tr w:rsidR="004D3694" w:rsidRPr="004D3694" w14:paraId="4AC7055D" w14:textId="77777777" w:rsidTr="00DC395A">
        <w:tc>
          <w:tcPr>
            <w:tcW w:w="2518" w:type="dxa"/>
            <w:shd w:val="clear" w:color="auto" w:fill="auto"/>
            <w:vAlign w:val="center"/>
          </w:tcPr>
          <w:p w14:paraId="0F184D0E" w14:textId="77777777" w:rsidR="00DC395A" w:rsidRPr="004D3694" w:rsidRDefault="00DC395A" w:rsidP="00C74A5C">
            <w:pPr>
              <w:spacing w:after="120"/>
              <w:outlineLvl w:val="0"/>
              <w:rPr>
                <w:lang w:val="uk-UA"/>
              </w:rPr>
            </w:pPr>
            <w:r w:rsidRPr="004D3694">
              <w:rPr>
                <w:lang w:val="uk-UA"/>
              </w:rPr>
              <w:lastRenderedPageBreak/>
              <w:t>Альтернатива 3</w:t>
            </w:r>
          </w:p>
        </w:tc>
        <w:tc>
          <w:tcPr>
            <w:tcW w:w="2977" w:type="dxa"/>
            <w:shd w:val="clear" w:color="auto" w:fill="auto"/>
            <w:vAlign w:val="center"/>
          </w:tcPr>
          <w:p w14:paraId="3250D2FA" w14:textId="77777777" w:rsidR="00DC395A" w:rsidRPr="004D3694" w:rsidRDefault="007C4961" w:rsidP="00C74A5C">
            <w:pPr>
              <w:spacing w:after="120"/>
              <w:jc w:val="center"/>
              <w:outlineLvl w:val="0"/>
              <w:rPr>
                <w:lang w:val="uk-UA"/>
              </w:rPr>
            </w:pPr>
            <w:r w:rsidRPr="004D3694">
              <w:rPr>
                <w:lang w:val="uk-UA"/>
              </w:rPr>
              <w:t>4</w:t>
            </w:r>
          </w:p>
        </w:tc>
        <w:tc>
          <w:tcPr>
            <w:tcW w:w="4252" w:type="dxa"/>
            <w:shd w:val="clear" w:color="auto" w:fill="auto"/>
            <w:vAlign w:val="center"/>
          </w:tcPr>
          <w:p w14:paraId="61BA7FD5" w14:textId="77777777" w:rsidR="00DC395A" w:rsidRPr="004D3694" w:rsidRDefault="00DC395A" w:rsidP="007C4961">
            <w:pPr>
              <w:spacing w:after="120"/>
              <w:jc w:val="both"/>
              <w:outlineLvl w:val="0"/>
              <w:rPr>
                <w:lang w:val="uk-UA"/>
              </w:rPr>
            </w:pPr>
            <w:r w:rsidRPr="004D3694">
              <w:rPr>
                <w:lang w:val="uk-UA"/>
              </w:rPr>
              <w:t xml:space="preserve">Очікується, що спосіб дозволить досягти цілі, </w:t>
            </w:r>
            <w:r w:rsidR="007C4961" w:rsidRPr="004D3694">
              <w:rPr>
                <w:lang w:val="uk-UA"/>
              </w:rPr>
              <w:t xml:space="preserve">що </w:t>
            </w:r>
            <w:r w:rsidRPr="004D3694">
              <w:rPr>
                <w:lang w:val="uk-UA"/>
              </w:rPr>
              <w:t>зазначен</w:t>
            </w:r>
            <w:r w:rsidR="007C4961" w:rsidRPr="004D3694">
              <w:rPr>
                <w:lang w:val="uk-UA"/>
              </w:rPr>
              <w:t>і</w:t>
            </w:r>
            <w:r w:rsidRPr="004D3694">
              <w:rPr>
                <w:lang w:val="uk-UA"/>
              </w:rPr>
              <w:t xml:space="preserve"> в розділі ІІ.</w:t>
            </w:r>
          </w:p>
        </w:tc>
      </w:tr>
    </w:tbl>
    <w:p w14:paraId="5025ABB5" w14:textId="77777777" w:rsidR="006D1AF0" w:rsidRPr="004D3694" w:rsidRDefault="006D1AF0" w:rsidP="006D1AF0">
      <w:pPr>
        <w:spacing w:after="120" w:line="276" w:lineRule="auto"/>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2552"/>
        <w:gridCol w:w="2551"/>
      </w:tblGrid>
      <w:tr w:rsidR="004D3694" w:rsidRPr="004D3694" w14:paraId="618D31CC" w14:textId="77777777" w:rsidTr="008E7C92">
        <w:tc>
          <w:tcPr>
            <w:tcW w:w="2093" w:type="dxa"/>
            <w:shd w:val="clear" w:color="auto" w:fill="auto"/>
            <w:vAlign w:val="center"/>
          </w:tcPr>
          <w:p w14:paraId="5039204F" w14:textId="77777777" w:rsidR="00955210" w:rsidRPr="004D3694" w:rsidRDefault="00955210" w:rsidP="00C74A5C">
            <w:pPr>
              <w:pStyle w:val="1"/>
              <w:ind w:right="-108"/>
              <w:jc w:val="center"/>
              <w:rPr>
                <w:b/>
                <w:color w:val="auto"/>
                <w:sz w:val="24"/>
                <w:szCs w:val="24"/>
                <w:lang w:val="uk-UA"/>
              </w:rPr>
            </w:pPr>
            <w:r w:rsidRPr="004D3694">
              <w:rPr>
                <w:b/>
                <w:color w:val="auto"/>
                <w:sz w:val="24"/>
                <w:szCs w:val="24"/>
                <w:lang w:val="uk-UA"/>
              </w:rPr>
              <w:t>Рейтинг результативності</w:t>
            </w:r>
          </w:p>
        </w:tc>
        <w:tc>
          <w:tcPr>
            <w:tcW w:w="2551" w:type="dxa"/>
            <w:shd w:val="clear" w:color="auto" w:fill="auto"/>
            <w:vAlign w:val="center"/>
          </w:tcPr>
          <w:p w14:paraId="3A996392" w14:textId="77777777" w:rsidR="00955210" w:rsidRPr="004D3694" w:rsidRDefault="00955210" w:rsidP="00C74A5C">
            <w:pPr>
              <w:pStyle w:val="1"/>
              <w:ind w:right="-108"/>
              <w:jc w:val="center"/>
              <w:rPr>
                <w:b/>
                <w:color w:val="auto"/>
                <w:sz w:val="24"/>
                <w:szCs w:val="24"/>
                <w:lang w:val="uk-UA"/>
              </w:rPr>
            </w:pPr>
            <w:r w:rsidRPr="004D3694">
              <w:rPr>
                <w:b/>
                <w:color w:val="auto"/>
                <w:sz w:val="24"/>
                <w:szCs w:val="24"/>
                <w:lang w:val="uk-UA"/>
              </w:rPr>
              <w:t>Вигоди (підсумок)</w:t>
            </w:r>
          </w:p>
        </w:tc>
        <w:tc>
          <w:tcPr>
            <w:tcW w:w="2552" w:type="dxa"/>
            <w:shd w:val="clear" w:color="auto" w:fill="auto"/>
            <w:vAlign w:val="center"/>
          </w:tcPr>
          <w:p w14:paraId="298DAEF5" w14:textId="77777777" w:rsidR="00955210" w:rsidRPr="004D3694" w:rsidRDefault="00955210" w:rsidP="00C74A5C">
            <w:pPr>
              <w:pStyle w:val="1"/>
              <w:ind w:right="-108"/>
              <w:jc w:val="center"/>
              <w:rPr>
                <w:b/>
                <w:color w:val="auto"/>
                <w:sz w:val="24"/>
                <w:szCs w:val="24"/>
                <w:lang w:val="uk-UA"/>
              </w:rPr>
            </w:pPr>
            <w:r w:rsidRPr="004D3694">
              <w:rPr>
                <w:b/>
                <w:color w:val="auto"/>
                <w:sz w:val="24"/>
                <w:szCs w:val="24"/>
                <w:lang w:val="uk-UA"/>
              </w:rPr>
              <w:t>Витрати (підсумок)</w:t>
            </w:r>
          </w:p>
        </w:tc>
        <w:tc>
          <w:tcPr>
            <w:tcW w:w="2551" w:type="dxa"/>
            <w:shd w:val="clear" w:color="auto" w:fill="auto"/>
            <w:vAlign w:val="center"/>
          </w:tcPr>
          <w:p w14:paraId="3B7DBB74" w14:textId="77777777" w:rsidR="00955210" w:rsidRPr="004D3694" w:rsidRDefault="00955210" w:rsidP="00C74A5C">
            <w:pPr>
              <w:pStyle w:val="1"/>
              <w:tabs>
                <w:tab w:val="left" w:pos="2104"/>
                <w:tab w:val="left" w:pos="2160"/>
              </w:tabs>
              <w:ind w:right="-108"/>
              <w:jc w:val="center"/>
              <w:rPr>
                <w:b/>
                <w:color w:val="auto"/>
                <w:sz w:val="24"/>
                <w:szCs w:val="24"/>
                <w:lang w:val="uk-UA"/>
              </w:rPr>
            </w:pPr>
            <w:r w:rsidRPr="004D3694">
              <w:rPr>
                <w:b/>
                <w:color w:val="auto"/>
                <w:sz w:val="24"/>
                <w:szCs w:val="24"/>
                <w:lang w:val="uk-UA"/>
              </w:rPr>
              <w:t>Обґрунтування відповідного місця альтернативи у рейтингу</w:t>
            </w:r>
          </w:p>
        </w:tc>
      </w:tr>
      <w:tr w:rsidR="004D3694" w:rsidRPr="004D3694" w14:paraId="0848A814" w14:textId="77777777" w:rsidTr="008E7C92">
        <w:tc>
          <w:tcPr>
            <w:tcW w:w="2093" w:type="dxa"/>
            <w:shd w:val="clear" w:color="auto" w:fill="auto"/>
          </w:tcPr>
          <w:p w14:paraId="00BC4517" w14:textId="77777777" w:rsidR="00955210" w:rsidRPr="004D3694" w:rsidRDefault="00955210" w:rsidP="00C74A5C">
            <w:pPr>
              <w:pStyle w:val="1"/>
              <w:ind w:right="-108"/>
              <w:rPr>
                <w:color w:val="auto"/>
                <w:sz w:val="24"/>
                <w:szCs w:val="24"/>
                <w:lang w:val="uk-UA"/>
              </w:rPr>
            </w:pPr>
            <w:r w:rsidRPr="004D3694">
              <w:rPr>
                <w:color w:val="auto"/>
                <w:sz w:val="24"/>
                <w:szCs w:val="24"/>
                <w:lang w:val="uk-UA"/>
              </w:rPr>
              <w:t>Альтернатива 1</w:t>
            </w:r>
          </w:p>
        </w:tc>
        <w:tc>
          <w:tcPr>
            <w:tcW w:w="2551" w:type="dxa"/>
            <w:shd w:val="clear" w:color="auto" w:fill="auto"/>
          </w:tcPr>
          <w:p w14:paraId="51B33EFF" w14:textId="77777777" w:rsidR="00955210" w:rsidRPr="004D3694" w:rsidRDefault="00955210" w:rsidP="00956DDB">
            <w:pPr>
              <w:pStyle w:val="1"/>
              <w:jc w:val="both"/>
              <w:rPr>
                <w:color w:val="auto"/>
                <w:sz w:val="24"/>
                <w:szCs w:val="24"/>
                <w:lang w:val="uk-UA"/>
              </w:rPr>
            </w:pPr>
            <w:r w:rsidRPr="004D3694">
              <w:rPr>
                <w:color w:val="auto"/>
                <w:sz w:val="24"/>
                <w:szCs w:val="24"/>
                <w:lang w:val="uk-UA"/>
              </w:rPr>
              <w:t>Прямі вигоди відсутні</w:t>
            </w:r>
          </w:p>
        </w:tc>
        <w:tc>
          <w:tcPr>
            <w:tcW w:w="2552" w:type="dxa"/>
            <w:shd w:val="clear" w:color="auto" w:fill="auto"/>
          </w:tcPr>
          <w:p w14:paraId="6484ACF4" w14:textId="77777777" w:rsidR="00955210" w:rsidRPr="004D3694" w:rsidRDefault="00955210" w:rsidP="00956DDB">
            <w:pPr>
              <w:pStyle w:val="rvps6"/>
              <w:tabs>
                <w:tab w:val="left" w:pos="308"/>
              </w:tabs>
              <w:spacing w:before="0" w:beforeAutospacing="0" w:after="0" w:afterAutospacing="0"/>
              <w:jc w:val="both"/>
            </w:pPr>
            <w:r w:rsidRPr="004D3694">
              <w:t>Економічні втрати для держави і суб’єктів господарювання, наявність корупційних ризиків, зменшення кількості суб’єктів господарювання, що проводять діяльність у сфері обігу об’єктів регулювання.</w:t>
            </w:r>
          </w:p>
        </w:tc>
        <w:tc>
          <w:tcPr>
            <w:tcW w:w="2551" w:type="dxa"/>
            <w:shd w:val="clear" w:color="auto" w:fill="auto"/>
          </w:tcPr>
          <w:p w14:paraId="50EBFCA8" w14:textId="77777777" w:rsidR="00955210" w:rsidRPr="004D3694" w:rsidRDefault="00955210" w:rsidP="00956DDB">
            <w:pPr>
              <w:pStyle w:val="1"/>
              <w:jc w:val="both"/>
              <w:rPr>
                <w:color w:val="auto"/>
                <w:sz w:val="24"/>
                <w:szCs w:val="24"/>
                <w:lang w:val="uk-UA"/>
              </w:rPr>
            </w:pPr>
            <w:r w:rsidRPr="004D3694">
              <w:rPr>
                <w:color w:val="auto"/>
                <w:sz w:val="24"/>
                <w:szCs w:val="24"/>
                <w:lang w:val="uk-UA"/>
              </w:rPr>
              <w:t>Дана альтернатива є малоефективною, оскільки є більш витратною та не дозволяє вирішити поточні проблеми.</w:t>
            </w:r>
          </w:p>
        </w:tc>
      </w:tr>
      <w:tr w:rsidR="004D3694" w:rsidRPr="004D3694" w14:paraId="5005A7FA" w14:textId="77777777" w:rsidTr="008E7C92">
        <w:tc>
          <w:tcPr>
            <w:tcW w:w="2093" w:type="dxa"/>
            <w:shd w:val="clear" w:color="auto" w:fill="auto"/>
          </w:tcPr>
          <w:p w14:paraId="6664C215" w14:textId="77777777" w:rsidR="00955210" w:rsidRPr="004D3694" w:rsidRDefault="00955210" w:rsidP="00C74A5C">
            <w:pPr>
              <w:pStyle w:val="1"/>
              <w:ind w:right="-108"/>
              <w:rPr>
                <w:color w:val="auto"/>
                <w:sz w:val="24"/>
                <w:szCs w:val="24"/>
                <w:lang w:val="uk-UA"/>
              </w:rPr>
            </w:pPr>
            <w:r w:rsidRPr="004D3694">
              <w:rPr>
                <w:color w:val="auto"/>
                <w:sz w:val="24"/>
                <w:szCs w:val="24"/>
                <w:lang w:val="uk-UA"/>
              </w:rPr>
              <w:t>Альтернатива 2</w:t>
            </w:r>
          </w:p>
        </w:tc>
        <w:tc>
          <w:tcPr>
            <w:tcW w:w="2551" w:type="dxa"/>
            <w:shd w:val="clear" w:color="auto" w:fill="auto"/>
          </w:tcPr>
          <w:p w14:paraId="42769006" w14:textId="77777777" w:rsidR="00955210" w:rsidRPr="004D3694" w:rsidRDefault="00955210" w:rsidP="00956DDB">
            <w:pPr>
              <w:pStyle w:val="1"/>
              <w:ind w:right="33"/>
              <w:jc w:val="both"/>
              <w:rPr>
                <w:color w:val="auto"/>
                <w:sz w:val="24"/>
                <w:szCs w:val="24"/>
                <w:lang w:val="ru-RU"/>
              </w:rPr>
            </w:pPr>
            <w:r w:rsidRPr="004D3694">
              <w:rPr>
                <w:color w:val="auto"/>
                <w:sz w:val="24"/>
                <w:szCs w:val="24"/>
                <w:lang w:val="uk-UA" w:eastAsia="uk-UA"/>
              </w:rPr>
              <w:t>Можливість оскарження результатів фітосанітарної експертизи у лабораторіях, що не уповноважені на проведених арбітражних випробувань.</w:t>
            </w:r>
          </w:p>
        </w:tc>
        <w:tc>
          <w:tcPr>
            <w:tcW w:w="2552" w:type="dxa"/>
            <w:shd w:val="clear" w:color="auto" w:fill="auto"/>
          </w:tcPr>
          <w:p w14:paraId="597FFB56" w14:textId="77777777" w:rsidR="00955210" w:rsidRPr="004D3694" w:rsidRDefault="00955210" w:rsidP="00956DDB">
            <w:pPr>
              <w:pStyle w:val="1"/>
              <w:ind w:right="33"/>
              <w:jc w:val="both"/>
              <w:rPr>
                <w:color w:val="auto"/>
                <w:sz w:val="24"/>
                <w:szCs w:val="24"/>
                <w:lang w:val="ru-RU"/>
              </w:rPr>
            </w:pPr>
            <w:r w:rsidRPr="004D3694">
              <w:rPr>
                <w:color w:val="auto"/>
                <w:sz w:val="24"/>
                <w:szCs w:val="24"/>
                <w:lang w:val="uk-UA" w:eastAsia="uk-UA"/>
              </w:rPr>
              <w:t xml:space="preserve">Економічні витрати для держави та суб’єктів господарювання, </w:t>
            </w:r>
            <w:r w:rsidR="00493D1B" w:rsidRPr="004D3694">
              <w:rPr>
                <w:color w:val="auto"/>
                <w:sz w:val="24"/>
                <w:szCs w:val="24"/>
                <w:lang w:val="uk-UA" w:eastAsia="uk-UA"/>
              </w:rPr>
              <w:t xml:space="preserve">можливість </w:t>
            </w:r>
            <w:r w:rsidR="00493D1B" w:rsidRPr="004D3694">
              <w:rPr>
                <w:color w:val="auto"/>
                <w:sz w:val="24"/>
                <w:szCs w:val="24"/>
                <w:lang w:val="uk-UA"/>
              </w:rPr>
              <w:t>втрати державного контролю за дотриманням карантинного режиму і проведення заходів з карантину рослин, порушення Україною міжнародних зобов’язань.</w:t>
            </w:r>
          </w:p>
        </w:tc>
        <w:tc>
          <w:tcPr>
            <w:tcW w:w="2551" w:type="dxa"/>
            <w:shd w:val="clear" w:color="auto" w:fill="auto"/>
          </w:tcPr>
          <w:p w14:paraId="1DDA052F" w14:textId="77777777" w:rsidR="00955210" w:rsidRPr="004D3694" w:rsidRDefault="004D0F85" w:rsidP="00956DDB">
            <w:pPr>
              <w:pStyle w:val="1"/>
              <w:ind w:right="141"/>
              <w:jc w:val="both"/>
              <w:rPr>
                <w:color w:val="auto"/>
                <w:sz w:val="24"/>
                <w:szCs w:val="24"/>
                <w:lang w:val="uk-UA"/>
              </w:rPr>
            </w:pPr>
            <w:r w:rsidRPr="004D3694">
              <w:rPr>
                <w:color w:val="auto"/>
                <w:sz w:val="24"/>
                <w:szCs w:val="24"/>
                <w:lang w:val="uk-UA"/>
              </w:rPr>
              <w:t>Дана альтернатива є неприйнятною з огляду на ризики, що виникають внаслідок усунення регулювання у сфері проведення повторної (арбітражної) експертизи.</w:t>
            </w:r>
          </w:p>
        </w:tc>
      </w:tr>
      <w:tr w:rsidR="00955210" w:rsidRPr="004D3694" w14:paraId="18FC9A0B" w14:textId="77777777" w:rsidTr="00C04425">
        <w:tc>
          <w:tcPr>
            <w:tcW w:w="2093" w:type="dxa"/>
            <w:shd w:val="clear" w:color="auto" w:fill="auto"/>
          </w:tcPr>
          <w:p w14:paraId="0409FBBD" w14:textId="77777777" w:rsidR="00955210" w:rsidRPr="004D3694" w:rsidRDefault="00955210" w:rsidP="00C04425">
            <w:pPr>
              <w:pStyle w:val="1"/>
              <w:ind w:right="-108"/>
              <w:jc w:val="both"/>
              <w:rPr>
                <w:color w:val="auto"/>
                <w:sz w:val="24"/>
                <w:szCs w:val="24"/>
                <w:lang w:val="uk-UA"/>
              </w:rPr>
            </w:pPr>
            <w:r w:rsidRPr="004D3694">
              <w:rPr>
                <w:color w:val="auto"/>
                <w:sz w:val="24"/>
                <w:szCs w:val="24"/>
                <w:lang w:val="uk-UA"/>
              </w:rPr>
              <w:t>Альтернатива 3</w:t>
            </w:r>
          </w:p>
        </w:tc>
        <w:tc>
          <w:tcPr>
            <w:tcW w:w="2551" w:type="dxa"/>
            <w:shd w:val="clear" w:color="auto" w:fill="auto"/>
          </w:tcPr>
          <w:p w14:paraId="0E0B33F1" w14:textId="77777777" w:rsidR="00955210" w:rsidRPr="004D3694" w:rsidRDefault="001A38DA" w:rsidP="00C04425">
            <w:pPr>
              <w:pStyle w:val="rvps6"/>
              <w:tabs>
                <w:tab w:val="left" w:pos="308"/>
              </w:tabs>
              <w:spacing w:before="0" w:beforeAutospacing="0" w:after="0" w:afterAutospacing="0"/>
              <w:jc w:val="both"/>
            </w:pPr>
            <w:r w:rsidRPr="004D3694">
              <w:rPr>
                <w:lang w:eastAsia="ru-RU"/>
              </w:rPr>
              <w:t>Підвищення авторитету компетентного органу, зниження корупційних ризиків, додаткові надходження до держбюджету, зменшення витрат для суб’єктів господарювання</w:t>
            </w:r>
            <w:r w:rsidRPr="004D3694">
              <w:t>, підвищення прозорості проведення повторної (арбітражної) експертизи.</w:t>
            </w:r>
          </w:p>
        </w:tc>
        <w:tc>
          <w:tcPr>
            <w:tcW w:w="2552" w:type="dxa"/>
            <w:shd w:val="clear" w:color="auto" w:fill="auto"/>
          </w:tcPr>
          <w:p w14:paraId="5ED45374" w14:textId="77777777" w:rsidR="00955210" w:rsidRPr="004D3694" w:rsidRDefault="004D0F85" w:rsidP="00C04425">
            <w:pPr>
              <w:pStyle w:val="1"/>
              <w:ind w:right="33"/>
              <w:jc w:val="both"/>
              <w:rPr>
                <w:color w:val="auto"/>
                <w:sz w:val="24"/>
                <w:szCs w:val="24"/>
                <w:lang w:val="ru-RU"/>
              </w:rPr>
            </w:pPr>
            <w:r w:rsidRPr="004D3694">
              <w:rPr>
                <w:color w:val="auto"/>
                <w:sz w:val="24"/>
                <w:szCs w:val="24"/>
                <w:lang w:val="uk-UA" w:eastAsia="ru-RU"/>
              </w:rPr>
              <w:t>Витрати відсутні</w:t>
            </w:r>
          </w:p>
        </w:tc>
        <w:tc>
          <w:tcPr>
            <w:tcW w:w="2551" w:type="dxa"/>
            <w:shd w:val="clear" w:color="auto" w:fill="auto"/>
          </w:tcPr>
          <w:p w14:paraId="12927E1B" w14:textId="77777777" w:rsidR="00955210" w:rsidRPr="004D3694" w:rsidRDefault="00493D1B" w:rsidP="00C04425">
            <w:pPr>
              <w:pStyle w:val="1"/>
              <w:ind w:right="141"/>
              <w:jc w:val="both"/>
              <w:rPr>
                <w:color w:val="auto"/>
                <w:sz w:val="24"/>
                <w:szCs w:val="24"/>
                <w:lang w:val="uk-UA"/>
              </w:rPr>
            </w:pPr>
            <w:r w:rsidRPr="004D3694">
              <w:rPr>
                <w:color w:val="auto"/>
                <w:sz w:val="24"/>
                <w:szCs w:val="24"/>
                <w:lang w:val="uk-UA"/>
              </w:rPr>
              <w:t>Дана альтернатива є найбільш доцільною з огляду на поточний стан проблеми.</w:t>
            </w:r>
          </w:p>
        </w:tc>
      </w:tr>
    </w:tbl>
    <w:p w14:paraId="2DAE4F5F" w14:textId="77777777" w:rsidR="00955210" w:rsidRPr="004D3694" w:rsidRDefault="00955210" w:rsidP="006D1AF0">
      <w:pPr>
        <w:spacing w:after="120" w:line="276"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969"/>
        <w:gridCol w:w="3685"/>
      </w:tblGrid>
      <w:tr w:rsidR="004D3694" w:rsidRPr="004D3694" w14:paraId="68495AAB" w14:textId="77777777" w:rsidTr="00BC7F09">
        <w:trPr>
          <w:trHeight w:val="1197"/>
        </w:trPr>
        <w:tc>
          <w:tcPr>
            <w:tcW w:w="2093" w:type="dxa"/>
            <w:shd w:val="clear" w:color="auto" w:fill="auto"/>
            <w:vAlign w:val="center"/>
          </w:tcPr>
          <w:p w14:paraId="1327ABE8" w14:textId="77777777" w:rsidR="00C04425" w:rsidRPr="004D3694" w:rsidRDefault="00C04425" w:rsidP="00C74A5C">
            <w:pPr>
              <w:pStyle w:val="1"/>
              <w:ind w:right="450"/>
              <w:jc w:val="center"/>
              <w:rPr>
                <w:b/>
                <w:color w:val="auto"/>
                <w:sz w:val="24"/>
                <w:szCs w:val="24"/>
                <w:lang w:val="uk-UA"/>
              </w:rPr>
            </w:pPr>
            <w:r w:rsidRPr="004D3694">
              <w:rPr>
                <w:b/>
                <w:color w:val="auto"/>
                <w:sz w:val="24"/>
                <w:szCs w:val="24"/>
                <w:lang w:val="uk-UA"/>
              </w:rPr>
              <w:lastRenderedPageBreak/>
              <w:t>Рейтинг</w:t>
            </w:r>
          </w:p>
        </w:tc>
        <w:tc>
          <w:tcPr>
            <w:tcW w:w="3969" w:type="dxa"/>
            <w:shd w:val="clear" w:color="auto" w:fill="auto"/>
            <w:vAlign w:val="center"/>
          </w:tcPr>
          <w:p w14:paraId="73FAA630" w14:textId="77777777" w:rsidR="00C04425" w:rsidRPr="004D3694" w:rsidRDefault="00C04425" w:rsidP="00C74A5C">
            <w:pPr>
              <w:pStyle w:val="1"/>
              <w:ind w:right="450"/>
              <w:jc w:val="center"/>
              <w:rPr>
                <w:b/>
                <w:color w:val="auto"/>
                <w:sz w:val="24"/>
                <w:szCs w:val="24"/>
                <w:lang w:val="uk-UA"/>
              </w:rPr>
            </w:pPr>
            <w:r w:rsidRPr="004D3694">
              <w:rPr>
                <w:b/>
                <w:color w:val="auto"/>
                <w:sz w:val="24"/>
                <w:szCs w:val="24"/>
                <w:lang w:val="uk-UA"/>
              </w:rPr>
              <w:t>Аргументи щодо переваги обраної альтернативи/ причини відмови від альтернативи</w:t>
            </w:r>
          </w:p>
        </w:tc>
        <w:tc>
          <w:tcPr>
            <w:tcW w:w="3685" w:type="dxa"/>
            <w:shd w:val="clear" w:color="auto" w:fill="auto"/>
            <w:vAlign w:val="center"/>
          </w:tcPr>
          <w:p w14:paraId="71C68781" w14:textId="77777777" w:rsidR="00C04425" w:rsidRPr="004D3694" w:rsidRDefault="00C04425" w:rsidP="00C74A5C">
            <w:pPr>
              <w:pStyle w:val="1"/>
              <w:ind w:right="450"/>
              <w:jc w:val="center"/>
              <w:rPr>
                <w:b/>
                <w:color w:val="auto"/>
                <w:sz w:val="24"/>
                <w:szCs w:val="24"/>
                <w:lang w:val="uk-UA"/>
              </w:rPr>
            </w:pPr>
            <w:r w:rsidRPr="004D3694">
              <w:rPr>
                <w:b/>
                <w:color w:val="auto"/>
                <w:sz w:val="24"/>
                <w:szCs w:val="24"/>
                <w:lang w:val="uk-UA"/>
              </w:rPr>
              <w:t>Оцінка ризику зовнішніх чинників на дію запропонованого регуляторного акта</w:t>
            </w:r>
          </w:p>
        </w:tc>
      </w:tr>
      <w:tr w:rsidR="004D3694" w:rsidRPr="004D3694" w14:paraId="12925137" w14:textId="77777777" w:rsidTr="00BC7F09">
        <w:tc>
          <w:tcPr>
            <w:tcW w:w="2093" w:type="dxa"/>
            <w:shd w:val="clear" w:color="auto" w:fill="auto"/>
          </w:tcPr>
          <w:p w14:paraId="6128473B" w14:textId="77777777" w:rsidR="00C04425" w:rsidRPr="004D3694" w:rsidRDefault="00C04425" w:rsidP="00C74A5C">
            <w:pPr>
              <w:pStyle w:val="1"/>
              <w:ind w:right="-108"/>
              <w:rPr>
                <w:color w:val="auto"/>
                <w:sz w:val="24"/>
                <w:szCs w:val="24"/>
                <w:lang w:val="uk-UA"/>
              </w:rPr>
            </w:pPr>
            <w:r w:rsidRPr="004D3694">
              <w:rPr>
                <w:color w:val="auto"/>
                <w:sz w:val="24"/>
                <w:szCs w:val="24"/>
                <w:lang w:val="uk-UA"/>
              </w:rPr>
              <w:t>Альтернатива 1</w:t>
            </w:r>
          </w:p>
        </w:tc>
        <w:tc>
          <w:tcPr>
            <w:tcW w:w="3969" w:type="dxa"/>
            <w:shd w:val="clear" w:color="auto" w:fill="auto"/>
          </w:tcPr>
          <w:p w14:paraId="61419EF6" w14:textId="77777777" w:rsidR="00C04425" w:rsidRPr="004D3694" w:rsidRDefault="00BC7F09" w:rsidP="00C74A5C">
            <w:pPr>
              <w:pStyle w:val="1"/>
              <w:jc w:val="both"/>
              <w:rPr>
                <w:color w:val="auto"/>
                <w:sz w:val="24"/>
                <w:szCs w:val="24"/>
                <w:lang w:val="uk-UA"/>
              </w:rPr>
            </w:pPr>
            <w:r w:rsidRPr="004D3694">
              <w:rPr>
                <w:color w:val="auto"/>
                <w:sz w:val="24"/>
                <w:szCs w:val="24"/>
                <w:lang w:val="uk-UA"/>
              </w:rPr>
              <w:t>Дана альтернатива не здатна вирішити проблеми, що виникають внаслідок проведення повторної фітосанітарної (арбітражної) експертизи відповідно до встановленого порядку</w:t>
            </w:r>
          </w:p>
        </w:tc>
        <w:tc>
          <w:tcPr>
            <w:tcW w:w="3685" w:type="dxa"/>
            <w:shd w:val="clear" w:color="auto" w:fill="auto"/>
          </w:tcPr>
          <w:p w14:paraId="2D7C3F3A" w14:textId="77777777" w:rsidR="00C04425" w:rsidRPr="004D3694" w:rsidRDefault="004B2AD5" w:rsidP="00BC7F09">
            <w:pPr>
              <w:pStyle w:val="1"/>
              <w:tabs>
                <w:tab w:val="left" w:pos="3069"/>
              </w:tabs>
              <w:rPr>
                <w:color w:val="auto"/>
                <w:sz w:val="24"/>
                <w:szCs w:val="24"/>
                <w:lang w:val="uk-UA"/>
              </w:rPr>
            </w:pPr>
            <w:r w:rsidRPr="004D3694">
              <w:rPr>
                <w:color w:val="auto"/>
                <w:sz w:val="24"/>
                <w:szCs w:val="24"/>
                <w:lang w:val="uk-UA"/>
              </w:rPr>
              <w:t>Х</w:t>
            </w:r>
          </w:p>
        </w:tc>
      </w:tr>
      <w:tr w:rsidR="004D3694" w:rsidRPr="004D3694" w14:paraId="53169298" w14:textId="77777777" w:rsidTr="00BC7F09">
        <w:tc>
          <w:tcPr>
            <w:tcW w:w="2093" w:type="dxa"/>
            <w:shd w:val="clear" w:color="auto" w:fill="auto"/>
          </w:tcPr>
          <w:p w14:paraId="124266DA" w14:textId="77777777" w:rsidR="00C04425" w:rsidRPr="004D3694" w:rsidRDefault="00C04425" w:rsidP="00C74A5C">
            <w:pPr>
              <w:pStyle w:val="1"/>
              <w:ind w:right="-108"/>
              <w:rPr>
                <w:color w:val="auto"/>
                <w:sz w:val="24"/>
                <w:szCs w:val="24"/>
                <w:lang w:val="uk-UA"/>
              </w:rPr>
            </w:pPr>
            <w:r w:rsidRPr="004D3694">
              <w:rPr>
                <w:color w:val="auto"/>
                <w:sz w:val="24"/>
                <w:szCs w:val="24"/>
                <w:lang w:val="uk-UA"/>
              </w:rPr>
              <w:t>Альтернатива 2</w:t>
            </w:r>
          </w:p>
        </w:tc>
        <w:tc>
          <w:tcPr>
            <w:tcW w:w="3969" w:type="dxa"/>
            <w:shd w:val="clear" w:color="auto" w:fill="auto"/>
          </w:tcPr>
          <w:p w14:paraId="187071B2" w14:textId="77777777" w:rsidR="00C04425" w:rsidRPr="004D3694" w:rsidRDefault="00BC7F09" w:rsidP="00BC7F09">
            <w:pPr>
              <w:pStyle w:val="1"/>
              <w:jc w:val="both"/>
              <w:rPr>
                <w:color w:val="auto"/>
                <w:sz w:val="24"/>
                <w:szCs w:val="24"/>
                <w:lang w:val="uk-UA"/>
              </w:rPr>
            </w:pPr>
            <w:r w:rsidRPr="004D3694">
              <w:rPr>
                <w:color w:val="auto"/>
                <w:sz w:val="24"/>
                <w:szCs w:val="24"/>
                <w:lang w:val="uk-UA"/>
              </w:rPr>
              <w:t>Дана альтернатива неприйнятна через невідповідність ризиків, що виникають внаслідок усунення регулювання зазначених сфер із вигодами від її впровадження</w:t>
            </w:r>
          </w:p>
        </w:tc>
        <w:tc>
          <w:tcPr>
            <w:tcW w:w="3685" w:type="dxa"/>
            <w:shd w:val="clear" w:color="auto" w:fill="auto"/>
          </w:tcPr>
          <w:p w14:paraId="2CC66B7E" w14:textId="77777777" w:rsidR="00C04425" w:rsidRPr="004D3694" w:rsidRDefault="00BC7F09" w:rsidP="00BC7F09">
            <w:pPr>
              <w:pStyle w:val="1"/>
              <w:rPr>
                <w:color w:val="auto"/>
                <w:sz w:val="24"/>
                <w:szCs w:val="24"/>
                <w:lang w:val="uk-UA"/>
              </w:rPr>
            </w:pPr>
            <w:r w:rsidRPr="004D3694">
              <w:rPr>
                <w:color w:val="auto"/>
                <w:sz w:val="24"/>
                <w:szCs w:val="24"/>
                <w:lang w:val="uk-UA"/>
              </w:rPr>
              <w:t>Х</w:t>
            </w:r>
          </w:p>
        </w:tc>
      </w:tr>
      <w:tr w:rsidR="00C04425" w:rsidRPr="004D3694" w14:paraId="22E3AF65" w14:textId="77777777" w:rsidTr="00BC7F09">
        <w:tc>
          <w:tcPr>
            <w:tcW w:w="2093" w:type="dxa"/>
            <w:shd w:val="clear" w:color="auto" w:fill="auto"/>
          </w:tcPr>
          <w:p w14:paraId="2402B88C" w14:textId="77777777" w:rsidR="00C04425" w:rsidRPr="004D3694" w:rsidRDefault="00C04425" w:rsidP="00C74A5C">
            <w:pPr>
              <w:pStyle w:val="1"/>
              <w:ind w:right="-108"/>
              <w:rPr>
                <w:color w:val="auto"/>
                <w:sz w:val="24"/>
                <w:szCs w:val="24"/>
                <w:lang w:val="uk-UA"/>
              </w:rPr>
            </w:pPr>
            <w:r w:rsidRPr="004D3694">
              <w:rPr>
                <w:color w:val="auto"/>
                <w:sz w:val="24"/>
                <w:szCs w:val="24"/>
                <w:lang w:val="uk-UA"/>
              </w:rPr>
              <w:t>Альтернатива 3</w:t>
            </w:r>
          </w:p>
        </w:tc>
        <w:tc>
          <w:tcPr>
            <w:tcW w:w="3969" w:type="dxa"/>
            <w:shd w:val="clear" w:color="auto" w:fill="auto"/>
          </w:tcPr>
          <w:p w14:paraId="176E98D8" w14:textId="77777777" w:rsidR="00C04425" w:rsidRPr="004D3694" w:rsidRDefault="004B2AD5" w:rsidP="00C74A5C">
            <w:pPr>
              <w:pStyle w:val="1"/>
              <w:jc w:val="both"/>
              <w:rPr>
                <w:color w:val="auto"/>
                <w:sz w:val="24"/>
                <w:szCs w:val="24"/>
                <w:lang w:val="uk-UA"/>
              </w:rPr>
            </w:pPr>
            <w:r w:rsidRPr="004D3694">
              <w:rPr>
                <w:color w:val="auto"/>
                <w:sz w:val="24"/>
                <w:szCs w:val="24"/>
                <w:lang w:val="uk-UA"/>
              </w:rPr>
              <w:t>Дана альтернатива є найбільш доцільною з огляду на поточний стан проблеми та співвідношення витрат пов’язаних із запровадженням альтернативи та вигод від її впровадження.</w:t>
            </w:r>
          </w:p>
        </w:tc>
        <w:tc>
          <w:tcPr>
            <w:tcW w:w="3685" w:type="dxa"/>
            <w:shd w:val="clear" w:color="auto" w:fill="auto"/>
          </w:tcPr>
          <w:p w14:paraId="08EA62F9" w14:textId="77777777" w:rsidR="002B52A5" w:rsidRPr="004D3694" w:rsidRDefault="004153CB" w:rsidP="00C74A5C">
            <w:pPr>
              <w:pStyle w:val="1"/>
              <w:jc w:val="both"/>
              <w:rPr>
                <w:color w:val="auto"/>
                <w:sz w:val="24"/>
                <w:szCs w:val="24"/>
                <w:lang w:val="uk-UA"/>
              </w:rPr>
            </w:pPr>
            <w:r w:rsidRPr="004D3694">
              <w:rPr>
                <w:color w:val="auto"/>
                <w:sz w:val="24"/>
                <w:szCs w:val="24"/>
                <w:lang w:val="uk-UA"/>
              </w:rPr>
              <w:t>До зовнішніх факторів, що зда</w:t>
            </w:r>
            <w:r w:rsidR="00C35127" w:rsidRPr="004D3694">
              <w:rPr>
                <w:color w:val="auto"/>
                <w:sz w:val="24"/>
                <w:szCs w:val="24"/>
                <w:lang w:val="uk-UA"/>
              </w:rPr>
              <w:t xml:space="preserve">тні впливати на результативність </w:t>
            </w:r>
            <w:r w:rsidRPr="004D3694">
              <w:rPr>
                <w:color w:val="auto"/>
                <w:sz w:val="24"/>
                <w:szCs w:val="24"/>
                <w:lang w:val="uk-UA"/>
              </w:rPr>
              <w:t xml:space="preserve">запровадження альтернативи </w:t>
            </w:r>
            <w:r w:rsidR="00E14E6A" w:rsidRPr="004D3694">
              <w:rPr>
                <w:color w:val="auto"/>
                <w:sz w:val="24"/>
                <w:szCs w:val="24"/>
                <w:lang w:val="uk-UA"/>
              </w:rPr>
              <w:t xml:space="preserve">відноситься </w:t>
            </w:r>
            <w:r w:rsidR="002B52A5" w:rsidRPr="004D3694">
              <w:rPr>
                <w:color w:val="auto"/>
                <w:sz w:val="24"/>
                <w:szCs w:val="24"/>
                <w:lang w:val="uk-UA"/>
              </w:rPr>
              <w:t>кількість звернень з боку суб’єктів господарювання про проведення повторної (арбітражної) експертизи.</w:t>
            </w:r>
          </w:p>
        </w:tc>
      </w:tr>
    </w:tbl>
    <w:p w14:paraId="13CC6D5E" w14:textId="77777777" w:rsidR="006D1AF0" w:rsidRPr="004D3694" w:rsidRDefault="006D1AF0" w:rsidP="006D1AF0">
      <w:pPr>
        <w:spacing w:after="120" w:line="276" w:lineRule="auto"/>
        <w:rPr>
          <w:b/>
          <w:lang w:val="uk-UA"/>
        </w:rPr>
      </w:pPr>
    </w:p>
    <w:p w14:paraId="248C610D" w14:textId="77777777" w:rsidR="00D133F7" w:rsidRPr="004D3694" w:rsidRDefault="00D133F7" w:rsidP="00096763">
      <w:pPr>
        <w:spacing w:line="276" w:lineRule="auto"/>
        <w:ind w:firstLine="709"/>
        <w:jc w:val="both"/>
        <w:rPr>
          <w:lang w:val="uk-UA"/>
        </w:rPr>
      </w:pPr>
      <w:r w:rsidRPr="004D3694">
        <w:rPr>
          <w:lang w:val="uk-UA"/>
        </w:rPr>
        <w:t>Враховуючи вищенаведені позитивні та негативні сторони альтернативних способів досягнення встановлених цілей, доцільно прийняти розроблений проект Наказу.</w:t>
      </w:r>
    </w:p>
    <w:p w14:paraId="38740883" w14:textId="77777777" w:rsidR="00980C14" w:rsidRPr="004D3694" w:rsidRDefault="00980C14" w:rsidP="00980C14">
      <w:pPr>
        <w:tabs>
          <w:tab w:val="left" w:pos="709"/>
        </w:tabs>
        <w:spacing w:before="120" w:after="120"/>
        <w:jc w:val="both"/>
        <w:rPr>
          <w:lang w:val="uk-UA"/>
        </w:rPr>
      </w:pPr>
      <w:r w:rsidRPr="004D3694">
        <w:rPr>
          <w:rStyle w:val="Strong"/>
          <w:bCs w:val="0"/>
          <w:lang w:val="en-US"/>
        </w:rPr>
        <w:t>V</w:t>
      </w:r>
      <w:r w:rsidRPr="004D3694">
        <w:rPr>
          <w:rStyle w:val="Strong"/>
          <w:bCs w:val="0"/>
          <w:lang w:val="uk-UA"/>
        </w:rPr>
        <w:t>.</w:t>
      </w:r>
      <w:r w:rsidRPr="004D3694">
        <w:rPr>
          <w:rStyle w:val="Strong"/>
          <w:bCs w:val="0"/>
          <w:lang w:val="uk-UA"/>
        </w:rPr>
        <w:tab/>
        <w:t>Механізми та заходи, які забезпечать розв’язання визначеної проблеми</w:t>
      </w:r>
    </w:p>
    <w:p w14:paraId="56776CCB" w14:textId="77777777" w:rsidR="00D133F7" w:rsidRPr="004D3694" w:rsidRDefault="00EC1B4A" w:rsidP="00096763">
      <w:pPr>
        <w:spacing w:line="276" w:lineRule="auto"/>
        <w:ind w:firstLine="709"/>
        <w:jc w:val="both"/>
        <w:rPr>
          <w:lang w:val="uk-UA"/>
        </w:rPr>
      </w:pPr>
      <w:r w:rsidRPr="004D3694">
        <w:rPr>
          <w:lang w:val="uk-UA"/>
        </w:rPr>
        <w:t>З метою досягнення цілей, визначених у розділі ІІ аналізу регуляторного впливу, пропонується внести зміни та доповнення до Порядку проведення повторної фітосанітарної (арбітражної) експертизи, затвердженого наказом Міністерства аграрної політики України від 29 листопада 2006 року № 715, зареєстрованого в Міністерстві юстиції України 14 грудня 2006 року за № 1309/13183, виклавши його у новій редакції.</w:t>
      </w:r>
    </w:p>
    <w:p w14:paraId="3E959478" w14:textId="77777777" w:rsidR="008E07E6" w:rsidRPr="004D3694" w:rsidRDefault="008E07E6" w:rsidP="00096763">
      <w:pPr>
        <w:pStyle w:val="rvps6"/>
        <w:spacing w:before="0" w:beforeAutospacing="0" w:after="0" w:afterAutospacing="0" w:line="276" w:lineRule="auto"/>
        <w:ind w:firstLine="709"/>
        <w:jc w:val="both"/>
      </w:pPr>
      <w:r w:rsidRPr="004D3694">
        <w:t>Для впровадження цього регуляторного акта необхідно здійснити такі організаційні заходи:</w:t>
      </w:r>
    </w:p>
    <w:p w14:paraId="0B6D8894" w14:textId="77777777" w:rsidR="003D165B" w:rsidRPr="004D3694" w:rsidRDefault="003D165B" w:rsidP="00096763">
      <w:pPr>
        <w:spacing w:line="276" w:lineRule="auto"/>
        <w:ind w:firstLine="709"/>
        <w:jc w:val="both"/>
        <w:rPr>
          <w:lang w:val="uk-UA"/>
        </w:rPr>
      </w:pPr>
      <w:r w:rsidRPr="004D3694">
        <w:rPr>
          <w:lang w:val="uk-UA"/>
        </w:rPr>
        <w:t>провести погодження проекту Наказу з Міністерством аграрної політики та продовольства;</w:t>
      </w:r>
    </w:p>
    <w:p w14:paraId="041D4619" w14:textId="77777777" w:rsidR="008E07E6" w:rsidRPr="004D3694" w:rsidRDefault="008E07E6" w:rsidP="00096763">
      <w:pPr>
        <w:spacing w:line="276" w:lineRule="auto"/>
        <w:ind w:firstLine="607"/>
        <w:jc w:val="both"/>
        <w:rPr>
          <w:lang w:val="uk-UA" w:eastAsia="uk-UA"/>
        </w:rPr>
      </w:pPr>
      <w:r w:rsidRPr="004D3694">
        <w:rPr>
          <w:lang w:val="uk-UA" w:eastAsia="uk-UA"/>
        </w:rPr>
        <w:t>провести погодження проекту Наказу з Державною регуляторною службою України;</w:t>
      </w:r>
    </w:p>
    <w:p w14:paraId="7216E6A0" w14:textId="77777777" w:rsidR="003767ED" w:rsidRPr="004D3694" w:rsidRDefault="003767ED" w:rsidP="00096763">
      <w:pPr>
        <w:spacing w:line="276" w:lineRule="auto"/>
        <w:ind w:firstLine="709"/>
        <w:jc w:val="both"/>
        <w:rPr>
          <w:lang w:val="uk-UA" w:eastAsia="uk-UA"/>
        </w:rPr>
      </w:pPr>
      <w:r w:rsidRPr="004D3694">
        <w:rPr>
          <w:lang w:val="uk-UA" w:eastAsia="uk-UA"/>
        </w:rPr>
        <w:t xml:space="preserve">забезпечити інформування громадськості про вимоги регуляторного акта шляхом його оприлюднення на веб-сайті Міністерства аграрної політики та продовольства України, Державної </w:t>
      </w:r>
      <w:r w:rsidRPr="004D3694">
        <w:rPr>
          <w:lang w:val="uk-UA"/>
        </w:rPr>
        <w:t>служби України з питань безпечності харчових продуктів та захисту споживачів</w:t>
      </w:r>
      <w:r w:rsidRPr="004D3694">
        <w:rPr>
          <w:lang w:val="uk-UA" w:eastAsia="uk-UA"/>
        </w:rPr>
        <w:t xml:space="preserve"> та провести громадське обговорення проекту </w:t>
      </w:r>
      <w:r w:rsidR="003D165B" w:rsidRPr="004D3694">
        <w:rPr>
          <w:lang w:val="uk-UA" w:eastAsia="uk-UA"/>
        </w:rPr>
        <w:t>Наказу.</w:t>
      </w:r>
    </w:p>
    <w:p w14:paraId="739A7525" w14:textId="77777777" w:rsidR="0026395D" w:rsidRPr="004D3694" w:rsidRDefault="0026395D" w:rsidP="00096763">
      <w:pPr>
        <w:spacing w:line="276" w:lineRule="auto"/>
        <w:ind w:firstLine="607"/>
        <w:jc w:val="both"/>
        <w:rPr>
          <w:lang w:val="uk-UA" w:eastAsia="uk-UA"/>
        </w:rPr>
      </w:pPr>
      <w:r w:rsidRPr="004D3694">
        <w:rPr>
          <w:lang w:val="uk-UA" w:eastAsia="uk-UA"/>
        </w:rPr>
        <w:t>Розв’язання проблеми можливе лише шляхом прийняття даного проекту Наказу.</w:t>
      </w:r>
    </w:p>
    <w:p w14:paraId="078CF160" w14:textId="77777777" w:rsidR="00491455" w:rsidRPr="004D3694" w:rsidRDefault="00491455" w:rsidP="00491455">
      <w:pPr>
        <w:spacing w:before="120" w:after="120"/>
        <w:jc w:val="both"/>
        <w:rPr>
          <w:rStyle w:val="Strong"/>
          <w:bCs w:val="0"/>
          <w:lang w:val="uk-UA"/>
        </w:rPr>
      </w:pPr>
      <w:r w:rsidRPr="004D3694">
        <w:rPr>
          <w:rStyle w:val="Strong"/>
          <w:bCs w:val="0"/>
          <w:lang w:val="en-US"/>
        </w:rPr>
        <w:t>V</w:t>
      </w:r>
      <w:r w:rsidRPr="004D3694">
        <w:rPr>
          <w:rStyle w:val="Strong"/>
          <w:bCs w:val="0"/>
          <w:lang w:val="uk-UA"/>
        </w:rPr>
        <w:t>І.</w:t>
      </w:r>
      <w:r w:rsidRPr="004D3694">
        <w:rPr>
          <w:rStyle w:val="Strong"/>
          <w:bCs w:val="0"/>
          <w:lang w:val="uk-UA"/>
        </w:rPr>
        <w:tab/>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451496C3" w14:textId="77777777" w:rsidR="008647B3" w:rsidRPr="004D3694" w:rsidRDefault="008647B3" w:rsidP="00096763">
      <w:pPr>
        <w:spacing w:line="276" w:lineRule="auto"/>
        <w:ind w:firstLine="567"/>
        <w:jc w:val="both"/>
        <w:rPr>
          <w:lang w:val="uk-UA" w:eastAsia="uk-UA"/>
        </w:rPr>
      </w:pPr>
      <w:r w:rsidRPr="004D3694">
        <w:rPr>
          <w:lang w:val="uk-UA" w:eastAsia="uk-UA"/>
        </w:rPr>
        <w:t xml:space="preserve">Витрати органів виконавчої влади на виконання вимог регуляторного акта пов’язані із необхідністю навчання </w:t>
      </w:r>
      <w:r w:rsidR="00EF4C16" w:rsidRPr="004D3694">
        <w:rPr>
          <w:lang w:val="uk-UA" w:eastAsia="uk-UA"/>
        </w:rPr>
        <w:t>посадових осіб компетентного органу</w:t>
      </w:r>
      <w:r w:rsidRPr="004D3694">
        <w:rPr>
          <w:lang w:val="uk-UA" w:eastAsia="uk-UA"/>
        </w:rPr>
        <w:t xml:space="preserve"> новим нормам законодавства та проведенням роз'яснювальної роботи серед зацікавлених сторін, є достатніми та будуть здійснені в рамках посадових обов’язків відповідальних осіб.</w:t>
      </w:r>
    </w:p>
    <w:p w14:paraId="41E89B18" w14:textId="77777777" w:rsidR="0026395D" w:rsidRPr="004D3694" w:rsidRDefault="00016899" w:rsidP="00096763">
      <w:pPr>
        <w:spacing w:line="276" w:lineRule="auto"/>
        <w:ind w:firstLine="567"/>
        <w:jc w:val="both"/>
        <w:rPr>
          <w:lang w:val="uk-UA"/>
        </w:rPr>
      </w:pPr>
      <w:r w:rsidRPr="004D3694">
        <w:rPr>
          <w:lang w:val="uk-UA"/>
        </w:rPr>
        <w:lastRenderedPageBreak/>
        <w:t>Розрахунки витрат для великих, середніх суб’єктів господарювання наведені у Додатку 2.</w:t>
      </w:r>
    </w:p>
    <w:p w14:paraId="1392C2E9" w14:textId="77777777" w:rsidR="00D75022" w:rsidRPr="004D3694" w:rsidRDefault="004A6309" w:rsidP="00096763">
      <w:pPr>
        <w:spacing w:line="276" w:lineRule="auto"/>
        <w:ind w:firstLine="567"/>
        <w:jc w:val="both"/>
        <w:rPr>
          <w:lang w:val="uk-UA"/>
        </w:rPr>
      </w:pPr>
      <w:r w:rsidRPr="004D3694">
        <w:rPr>
          <w:lang w:val="uk-UA"/>
        </w:rPr>
        <w:t>В</w:t>
      </w:r>
      <w:r w:rsidR="00D75022" w:rsidRPr="004D3694">
        <w:rPr>
          <w:lang w:val="uk-UA"/>
        </w:rPr>
        <w:t xml:space="preserve">итрати суб’єктів господарювання в разі застосування </w:t>
      </w:r>
      <w:r w:rsidRPr="004D3694">
        <w:rPr>
          <w:lang w:val="uk-UA"/>
        </w:rPr>
        <w:t>альтернативної процедури проведення повторної (арбітражної) фітосанітарної експертизи пов’язані із відбором другого (арбітражного) зразку</w:t>
      </w:r>
      <w:r w:rsidR="00B733F1" w:rsidRPr="004D3694">
        <w:rPr>
          <w:lang w:val="uk-UA"/>
        </w:rPr>
        <w:t xml:space="preserve"> та проведенням повторних випробувань</w:t>
      </w:r>
      <w:r w:rsidRPr="004D3694">
        <w:rPr>
          <w:lang w:val="uk-UA"/>
        </w:rPr>
        <w:t xml:space="preserve"> не будуть відрізнятися від </w:t>
      </w:r>
      <w:r w:rsidR="00B733F1" w:rsidRPr="004D3694">
        <w:rPr>
          <w:lang w:val="uk-UA"/>
        </w:rPr>
        <w:t xml:space="preserve">аналогічних витрат в рамках застосування </w:t>
      </w:r>
      <w:r w:rsidR="00617868" w:rsidRPr="004D3694">
        <w:rPr>
          <w:lang w:val="uk-UA"/>
        </w:rPr>
        <w:t>чинної процедури.</w:t>
      </w:r>
    </w:p>
    <w:p w14:paraId="004C1A4C" w14:textId="77777777" w:rsidR="004A6309" w:rsidRPr="004D3694" w:rsidRDefault="0003417E" w:rsidP="00096763">
      <w:pPr>
        <w:spacing w:line="276" w:lineRule="auto"/>
        <w:ind w:firstLine="567"/>
        <w:jc w:val="both"/>
        <w:rPr>
          <w:lang w:val="uk-UA"/>
        </w:rPr>
      </w:pPr>
      <w:r w:rsidRPr="004D3694">
        <w:rPr>
          <w:lang w:val="uk-UA"/>
        </w:rPr>
        <w:t>Витрати суб’єктів господарювання пов’язані із витратами часу на застосування чинної процедури проведення повторної (арбітражної) фітосанітарної експертизи будуть сягати …..</w:t>
      </w:r>
    </w:p>
    <w:p w14:paraId="02998B30" w14:textId="77777777" w:rsidR="00016899" w:rsidRPr="004D3694" w:rsidRDefault="00016899" w:rsidP="00096763">
      <w:pPr>
        <w:pStyle w:val="BodyText2"/>
        <w:spacing w:after="0" w:line="276" w:lineRule="auto"/>
        <w:ind w:firstLine="567"/>
        <w:jc w:val="both"/>
        <w:rPr>
          <w:lang w:val="uk-UA"/>
        </w:rPr>
      </w:pPr>
      <w:commentRangeStart w:id="2"/>
      <w:r w:rsidRPr="004D3694">
        <w:rPr>
          <w:lang w:val="uk-UA"/>
        </w:rPr>
        <w:t>Витрати суб’єктів малого підприємництва наведені згідно Додатку 4 до Методики</w:t>
      </w:r>
      <w:r w:rsidR="00C0083E" w:rsidRPr="004D3694">
        <w:rPr>
          <w:lang w:val="uk-UA"/>
        </w:rPr>
        <w:t xml:space="preserve"> </w:t>
      </w:r>
      <w:r w:rsidRPr="004D3694">
        <w:rPr>
          <w:lang w:val="uk-UA"/>
        </w:rPr>
        <w:t>проведення аналізу впливу регуляторного акта.</w:t>
      </w:r>
      <w:commentRangeEnd w:id="2"/>
      <w:r w:rsidR="00654886" w:rsidRPr="004D3694">
        <w:rPr>
          <w:rStyle w:val="CommentReference"/>
          <w:sz w:val="24"/>
          <w:szCs w:val="24"/>
        </w:rPr>
        <w:commentReference w:id="2"/>
      </w:r>
    </w:p>
    <w:p w14:paraId="577D5F0B" w14:textId="77777777" w:rsidR="007B6BE4" w:rsidRPr="004D3694" w:rsidRDefault="007B6BE4" w:rsidP="007B6BE4">
      <w:pPr>
        <w:spacing w:before="120" w:after="120"/>
        <w:jc w:val="both"/>
        <w:rPr>
          <w:lang w:val="uk-UA"/>
        </w:rPr>
      </w:pPr>
      <w:r w:rsidRPr="004D3694">
        <w:rPr>
          <w:rStyle w:val="Strong"/>
          <w:bCs w:val="0"/>
          <w:lang w:val="en-US"/>
        </w:rPr>
        <w:t>V</w:t>
      </w:r>
      <w:r w:rsidRPr="004D3694">
        <w:rPr>
          <w:rStyle w:val="Strong"/>
          <w:bCs w:val="0"/>
          <w:lang w:val="uk-UA"/>
        </w:rPr>
        <w:t>І</w:t>
      </w:r>
      <w:r w:rsidRPr="004D3694">
        <w:rPr>
          <w:rStyle w:val="Strong"/>
          <w:bCs w:val="0"/>
          <w:lang w:val="en-US"/>
        </w:rPr>
        <w:t>I</w:t>
      </w:r>
      <w:r w:rsidRPr="004D3694">
        <w:rPr>
          <w:rStyle w:val="Strong"/>
          <w:bCs w:val="0"/>
          <w:lang w:val="uk-UA"/>
        </w:rPr>
        <w:t>.</w:t>
      </w:r>
      <w:r w:rsidRPr="004D3694">
        <w:rPr>
          <w:rStyle w:val="Strong"/>
          <w:bCs w:val="0"/>
          <w:lang w:val="uk-UA"/>
        </w:rPr>
        <w:tab/>
        <w:t>Обґрунтування строку дії акта</w:t>
      </w:r>
    </w:p>
    <w:p w14:paraId="7FB41075" w14:textId="77777777" w:rsidR="007B6BE4" w:rsidRPr="004D3694" w:rsidRDefault="007B6BE4" w:rsidP="00096763">
      <w:pPr>
        <w:spacing w:line="276" w:lineRule="auto"/>
        <w:ind w:firstLine="567"/>
        <w:jc w:val="both"/>
        <w:rPr>
          <w:lang w:val="uk-UA" w:eastAsia="uk-UA"/>
        </w:rPr>
      </w:pPr>
      <w:r w:rsidRPr="004D3694">
        <w:rPr>
          <w:lang w:val="uk-UA" w:eastAsia="uk-UA"/>
        </w:rPr>
        <w:t xml:space="preserve">Враховуючи загрози пов’язані із </w:t>
      </w:r>
      <w:r w:rsidRPr="004D3694">
        <w:rPr>
          <w:lang w:val="uk-UA"/>
        </w:rPr>
        <w:t>ризиками, що виникають внаслідок усунення регулювання у сфері проведення повторної (арбітражної) експертизи на сучасному етапі,</w:t>
      </w:r>
      <w:r w:rsidRPr="004D3694">
        <w:rPr>
          <w:lang w:val="uk-UA" w:eastAsia="uk-UA"/>
        </w:rPr>
        <w:t xml:space="preserve"> строк дії регуляторного акта не встановлюється.</w:t>
      </w:r>
    </w:p>
    <w:p w14:paraId="39E852DD" w14:textId="77777777" w:rsidR="004B0598" w:rsidRPr="004D3694" w:rsidRDefault="004B0598" w:rsidP="00096763">
      <w:pPr>
        <w:spacing w:line="276" w:lineRule="auto"/>
        <w:ind w:firstLine="567"/>
        <w:jc w:val="both"/>
        <w:rPr>
          <w:bCs/>
          <w:lang w:val="uk-UA"/>
        </w:rPr>
      </w:pPr>
      <w:r w:rsidRPr="004D3694">
        <w:rPr>
          <w:bCs/>
          <w:lang w:val="uk-UA"/>
        </w:rPr>
        <w:t>Термін набрання чинності регуляторним актом – відповідно до вимог законодавства після його офіційного оприлюднення.</w:t>
      </w:r>
    </w:p>
    <w:p w14:paraId="20BFB397" w14:textId="77777777" w:rsidR="007B6BE4" w:rsidRPr="004D3694" w:rsidRDefault="007B6BE4" w:rsidP="00096763">
      <w:pPr>
        <w:spacing w:line="276" w:lineRule="auto"/>
        <w:ind w:firstLine="567"/>
        <w:jc w:val="both"/>
        <w:rPr>
          <w:lang w:val="uk-UA"/>
        </w:rPr>
      </w:pPr>
      <w:r w:rsidRPr="004D3694">
        <w:rPr>
          <w:lang w:val="uk-UA"/>
        </w:rPr>
        <w:t>Зміна строку дії можлива в разі зміни міжнародно-правових актів, рекомендацій відповідних міжнародних організацій чи законодавчих актів України вищої юридичної сили, на виконання яких розроблений цей Проект.</w:t>
      </w:r>
    </w:p>
    <w:p w14:paraId="75597062" w14:textId="77777777" w:rsidR="004B0598" w:rsidRPr="004D3694" w:rsidRDefault="004B0598" w:rsidP="004B0598">
      <w:pPr>
        <w:spacing w:before="120" w:after="120"/>
        <w:jc w:val="both"/>
      </w:pPr>
      <w:r w:rsidRPr="004D3694">
        <w:rPr>
          <w:rStyle w:val="Strong"/>
          <w:bCs w:val="0"/>
          <w:lang w:val="en-US"/>
        </w:rPr>
        <w:t>V</w:t>
      </w:r>
      <w:r w:rsidRPr="004D3694">
        <w:rPr>
          <w:rStyle w:val="Strong"/>
          <w:bCs w:val="0"/>
          <w:lang w:val="uk-UA"/>
        </w:rPr>
        <w:t>І</w:t>
      </w:r>
      <w:r w:rsidRPr="004D3694">
        <w:rPr>
          <w:rStyle w:val="Strong"/>
          <w:bCs w:val="0"/>
          <w:lang w:val="en-US"/>
        </w:rPr>
        <w:t>II</w:t>
      </w:r>
      <w:r w:rsidRPr="004D3694">
        <w:rPr>
          <w:rStyle w:val="Strong"/>
          <w:bCs w:val="0"/>
          <w:lang w:val="uk-UA"/>
        </w:rPr>
        <w:t>.</w:t>
      </w:r>
      <w:r w:rsidRPr="004D3694">
        <w:rPr>
          <w:rStyle w:val="Strong"/>
          <w:bCs w:val="0"/>
          <w:lang w:val="uk-UA"/>
        </w:rPr>
        <w:tab/>
        <w:t>Визначення показників результативності дії регуляторного акта</w:t>
      </w:r>
    </w:p>
    <w:p w14:paraId="03395937" w14:textId="77777777" w:rsidR="00C0083E" w:rsidRPr="004D3694" w:rsidRDefault="00C0083E" w:rsidP="00096763">
      <w:pPr>
        <w:tabs>
          <w:tab w:val="left" w:pos="1134"/>
        </w:tabs>
        <w:spacing w:line="276" w:lineRule="auto"/>
        <w:ind w:firstLine="567"/>
        <w:jc w:val="both"/>
        <w:rPr>
          <w:lang w:val="uk-UA"/>
        </w:rPr>
      </w:pPr>
      <w:r w:rsidRPr="004D3694">
        <w:rPr>
          <w:lang w:val="uk-UA"/>
        </w:rPr>
        <w:t>Прогнозні значення показників результативності регуляторного акта будуть встановлюватися після набрання чинності актом.</w:t>
      </w:r>
    </w:p>
    <w:p w14:paraId="4A203EF7" w14:textId="77777777" w:rsidR="00C0083E" w:rsidRPr="004D3694" w:rsidRDefault="00C0083E" w:rsidP="00096763">
      <w:pPr>
        <w:tabs>
          <w:tab w:val="left" w:pos="1134"/>
        </w:tabs>
        <w:spacing w:line="276" w:lineRule="auto"/>
        <w:ind w:firstLine="567"/>
        <w:jc w:val="both"/>
        <w:rPr>
          <w:lang w:val="uk-UA"/>
        </w:rPr>
      </w:pPr>
      <w:r w:rsidRPr="004D3694">
        <w:rPr>
          <w:lang w:val="uk-UA"/>
        </w:rPr>
        <w:t>Фактичними та прогнозними значеннями показників результативності регуляторного акта є:</w:t>
      </w:r>
    </w:p>
    <w:p w14:paraId="521C551C" w14:textId="77777777" w:rsidR="007B6BE4" w:rsidRPr="004D3694" w:rsidRDefault="008F4F31" w:rsidP="00096763">
      <w:pPr>
        <w:tabs>
          <w:tab w:val="left" w:pos="1134"/>
        </w:tabs>
        <w:spacing w:line="276" w:lineRule="auto"/>
        <w:ind w:firstLine="567"/>
        <w:jc w:val="both"/>
        <w:rPr>
          <w:lang w:val="uk-UA"/>
        </w:rPr>
      </w:pPr>
      <w:r w:rsidRPr="004D3694">
        <w:rPr>
          <w:lang w:val="uk-UA"/>
        </w:rPr>
        <w:t>1)</w:t>
      </w:r>
      <w:r w:rsidRPr="004D3694">
        <w:rPr>
          <w:lang w:val="uk-UA"/>
        </w:rPr>
        <w:tab/>
        <w:t>Кількість оскаржень результатів фітосанітарної експертизи з боку суб’єктів господарювання;</w:t>
      </w:r>
    </w:p>
    <w:p w14:paraId="23F9F9AD" w14:textId="77777777" w:rsidR="008F4F31" w:rsidRPr="004D3694" w:rsidRDefault="008F4F31" w:rsidP="00096763">
      <w:pPr>
        <w:tabs>
          <w:tab w:val="left" w:pos="1134"/>
        </w:tabs>
        <w:spacing w:line="276" w:lineRule="auto"/>
        <w:ind w:firstLine="567"/>
        <w:jc w:val="both"/>
        <w:rPr>
          <w:lang w:val="uk-UA"/>
        </w:rPr>
      </w:pPr>
      <w:r w:rsidRPr="004D3694">
        <w:rPr>
          <w:lang w:val="uk-UA"/>
        </w:rPr>
        <w:t>2)</w:t>
      </w:r>
      <w:r w:rsidRPr="004D3694">
        <w:rPr>
          <w:lang w:val="uk-UA"/>
        </w:rPr>
        <w:tab/>
        <w:t>Кількість звернень від суб’єктів господарювання про порушення з боку компетентного органу вимог щодо проведення повторної (фітосанітарної) арбітражної експертизи;</w:t>
      </w:r>
    </w:p>
    <w:p w14:paraId="47EC27E8" w14:textId="77777777" w:rsidR="008F4F31" w:rsidRPr="004D3694" w:rsidRDefault="008F4F31" w:rsidP="00096763">
      <w:pPr>
        <w:tabs>
          <w:tab w:val="left" w:pos="1134"/>
        </w:tabs>
        <w:spacing w:line="276" w:lineRule="auto"/>
        <w:ind w:firstLine="567"/>
        <w:jc w:val="both"/>
        <w:rPr>
          <w:lang w:val="uk-UA"/>
        </w:rPr>
      </w:pPr>
      <w:r w:rsidRPr="004D3694">
        <w:rPr>
          <w:lang w:val="uk-UA"/>
        </w:rPr>
        <w:t>3)</w:t>
      </w:r>
      <w:r w:rsidRPr="004D3694">
        <w:rPr>
          <w:lang w:val="uk-UA"/>
        </w:rPr>
        <w:tab/>
        <w:t>Обсяги експорту/імпорту об’єктів регулювання</w:t>
      </w:r>
      <w:r w:rsidR="00096763" w:rsidRPr="004D3694">
        <w:rPr>
          <w:lang w:val="uk-UA"/>
        </w:rPr>
        <w:t>.</w:t>
      </w:r>
    </w:p>
    <w:p w14:paraId="49C3C2C0" w14:textId="77777777" w:rsidR="004B0598" w:rsidRPr="004D3694" w:rsidRDefault="004B0598" w:rsidP="003D3098">
      <w:pPr>
        <w:spacing w:after="120"/>
        <w:jc w:val="both"/>
        <w:rPr>
          <w:rStyle w:val="Strong"/>
          <w:bCs w:val="0"/>
          <w:lang w:val="uk-UA"/>
        </w:rPr>
      </w:pPr>
      <w:r w:rsidRPr="004D3694">
        <w:rPr>
          <w:rStyle w:val="Strong"/>
          <w:bCs w:val="0"/>
          <w:lang w:val="uk-UA"/>
        </w:rPr>
        <w:t>І</w:t>
      </w:r>
      <w:r w:rsidRPr="004D3694">
        <w:rPr>
          <w:rStyle w:val="Strong"/>
          <w:bCs w:val="0"/>
          <w:lang w:val="en-US"/>
        </w:rPr>
        <w:t>X</w:t>
      </w:r>
      <w:r w:rsidRPr="004D3694">
        <w:rPr>
          <w:rStyle w:val="Strong"/>
          <w:bCs w:val="0"/>
          <w:lang w:val="uk-UA"/>
        </w:rPr>
        <w:t>.</w:t>
      </w:r>
      <w:r w:rsidRPr="004D3694">
        <w:rPr>
          <w:rStyle w:val="Strong"/>
          <w:bCs w:val="0"/>
          <w:lang w:val="uk-UA"/>
        </w:rPr>
        <w:tab/>
        <w:t>Визначення заходів, за допомогою яких буде здійснюватися відстеження результативності регуляторного акта</w:t>
      </w:r>
    </w:p>
    <w:p w14:paraId="761326EC" w14:textId="77777777" w:rsidR="004B0598" w:rsidRPr="004D3694" w:rsidRDefault="004B0598"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567"/>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t>Відстеження результативності регуляторного акта буде здійснюватися Державною службою України з питань безпечності харчових продуктів та захисту споживачів.</w:t>
      </w:r>
    </w:p>
    <w:p w14:paraId="57C93082" w14:textId="77777777" w:rsidR="004B0598" w:rsidRPr="004D3694" w:rsidRDefault="004B0598"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567"/>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t>Базове відстеження здійснюватиметься до дня набрання чинності проекту шляхом</w:t>
      </w:r>
      <w:r w:rsidR="003D3098" w:rsidRPr="004D3694">
        <w:rPr>
          <w:rFonts w:ascii="Times New Roman" w:hAnsi="Times New Roman"/>
          <w:sz w:val="24"/>
          <w:szCs w:val="24"/>
          <w:lang w:val="uk-UA" w:eastAsia="ru-RU"/>
        </w:rPr>
        <w:t xml:space="preserve"> моніторингу статистичних даних з боку Державної служби України з питань безпечності харчових продуктів та захисту споживачів.</w:t>
      </w:r>
    </w:p>
    <w:p w14:paraId="5C56BFF8" w14:textId="77777777" w:rsidR="004B0598" w:rsidRPr="004D3694" w:rsidRDefault="004B0598"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567"/>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t>Періодичне відстеження здійснюватиметься раз на три роки, починаючи з дня виконання заходів з повторного відстеження, шляхом порівняння показників із аналогічними показниками, що встановлені під час повторного відстеження.</w:t>
      </w:r>
    </w:p>
    <w:p w14:paraId="070F77A5" w14:textId="77777777" w:rsidR="004B0598" w:rsidRPr="004D3694" w:rsidRDefault="004B0598"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567"/>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t>Метод проведення відстеження результативності – статистичний.</w:t>
      </w:r>
    </w:p>
    <w:p w14:paraId="776DB3A7" w14:textId="77777777" w:rsidR="004B0598" w:rsidRPr="004D3694" w:rsidRDefault="004B0598"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567"/>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t>Вид даних, за допомогою яких здійснюватиметься відстеження результативності – статистичні.</w:t>
      </w:r>
    </w:p>
    <w:p w14:paraId="46920F25" w14:textId="77777777" w:rsidR="004B0598" w:rsidRPr="004D3694" w:rsidRDefault="004B0598" w:rsidP="00096763">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60" w:line="276" w:lineRule="auto"/>
        <w:ind w:firstLine="567"/>
        <w:jc w:val="both"/>
        <w:textAlignment w:val="baseline"/>
        <w:rPr>
          <w:rFonts w:ascii="Times New Roman" w:hAnsi="Times New Roman"/>
          <w:sz w:val="24"/>
          <w:szCs w:val="24"/>
          <w:lang w:val="uk-UA" w:eastAsia="ru-RU"/>
        </w:rPr>
      </w:pPr>
      <w:r w:rsidRPr="004D3694">
        <w:rPr>
          <w:rFonts w:ascii="Times New Roman" w:hAnsi="Times New Roman"/>
          <w:sz w:val="24"/>
          <w:szCs w:val="24"/>
          <w:lang w:val="uk-UA" w:eastAsia="ru-RU"/>
        </w:rPr>
        <w:lastRenderedPageBreak/>
        <w:t xml:space="preserve">Для відстеження результативності будуть використовуватися дані, отримані за результатами </w:t>
      </w:r>
      <w:r w:rsidR="003D3098" w:rsidRPr="004D3694">
        <w:rPr>
          <w:rFonts w:ascii="Times New Roman" w:hAnsi="Times New Roman"/>
          <w:sz w:val="24"/>
          <w:szCs w:val="24"/>
          <w:lang w:val="uk-UA" w:eastAsia="ru-RU"/>
        </w:rPr>
        <w:t>моніторингу, що</w:t>
      </w:r>
      <w:r w:rsidRPr="004D3694">
        <w:rPr>
          <w:rFonts w:ascii="Times New Roman" w:hAnsi="Times New Roman"/>
          <w:sz w:val="24"/>
          <w:szCs w:val="24"/>
          <w:lang w:val="uk-UA" w:eastAsia="ru-RU"/>
        </w:rPr>
        <w:t xml:space="preserve"> </w:t>
      </w:r>
      <w:r w:rsidR="003D3098" w:rsidRPr="004D3694">
        <w:rPr>
          <w:rFonts w:ascii="Times New Roman" w:hAnsi="Times New Roman"/>
          <w:sz w:val="24"/>
          <w:szCs w:val="24"/>
          <w:lang w:val="uk-UA" w:eastAsia="ru-RU"/>
        </w:rPr>
        <w:t xml:space="preserve">здійснюватиметься </w:t>
      </w:r>
      <w:r w:rsidRPr="004D3694">
        <w:rPr>
          <w:rFonts w:ascii="Times New Roman" w:hAnsi="Times New Roman"/>
          <w:sz w:val="24"/>
          <w:szCs w:val="24"/>
          <w:lang w:val="uk-UA" w:eastAsia="ru-RU"/>
        </w:rPr>
        <w:t>структурними підрозділами Держпродспоживслужби та її територіальними органами.</w:t>
      </w:r>
    </w:p>
    <w:tbl>
      <w:tblPr>
        <w:tblW w:w="9758" w:type="dxa"/>
        <w:tblLook w:val="01E0" w:firstRow="1" w:lastRow="1" w:firstColumn="1" w:lastColumn="1" w:noHBand="0" w:noVBand="0"/>
      </w:tblPr>
      <w:tblGrid>
        <w:gridCol w:w="4029"/>
        <w:gridCol w:w="5729"/>
      </w:tblGrid>
      <w:tr w:rsidR="004D3694" w:rsidRPr="004D3694" w14:paraId="14B10E74" w14:textId="77777777" w:rsidTr="00FD6ED1">
        <w:trPr>
          <w:trHeight w:val="979"/>
        </w:trPr>
        <w:tc>
          <w:tcPr>
            <w:tcW w:w="4029" w:type="dxa"/>
            <w:shd w:val="clear" w:color="auto" w:fill="auto"/>
          </w:tcPr>
          <w:p w14:paraId="6C5BD37C" w14:textId="77777777" w:rsidR="004B0598" w:rsidRPr="004D3694" w:rsidRDefault="004B0598" w:rsidP="00FD6ED1">
            <w:pPr>
              <w:tabs>
                <w:tab w:val="left" w:pos="1020"/>
                <w:tab w:val="left" w:pos="1320"/>
              </w:tabs>
              <w:jc w:val="both"/>
              <w:rPr>
                <w:b/>
                <w:lang w:val="uk-UA"/>
              </w:rPr>
            </w:pPr>
          </w:p>
          <w:p w14:paraId="19CD1C1C" w14:textId="77777777" w:rsidR="004B0598" w:rsidRPr="004D3694" w:rsidRDefault="004B0598" w:rsidP="00FD6ED1">
            <w:pPr>
              <w:tabs>
                <w:tab w:val="left" w:pos="1020"/>
                <w:tab w:val="left" w:pos="1320"/>
              </w:tabs>
              <w:jc w:val="both"/>
              <w:rPr>
                <w:b/>
                <w:lang w:val="uk-UA"/>
              </w:rPr>
            </w:pPr>
          </w:p>
          <w:p w14:paraId="6CBC0C8D" w14:textId="77777777" w:rsidR="004B0598" w:rsidRPr="004D3694" w:rsidRDefault="004B0598" w:rsidP="00FD6ED1">
            <w:pPr>
              <w:tabs>
                <w:tab w:val="left" w:pos="1020"/>
                <w:tab w:val="left" w:pos="1320"/>
              </w:tabs>
              <w:rPr>
                <w:b/>
              </w:rPr>
            </w:pPr>
            <w:r w:rsidRPr="004D3694">
              <w:rPr>
                <w:b/>
                <w:bCs/>
                <w:lang w:val="uk-UA"/>
              </w:rPr>
              <w:t>Голова Державної служби України</w:t>
            </w:r>
            <w:r w:rsidRPr="004D3694">
              <w:rPr>
                <w:b/>
              </w:rPr>
              <w:t xml:space="preserve"> </w:t>
            </w:r>
            <w:r w:rsidRPr="004D3694">
              <w:rPr>
                <w:b/>
                <w:bCs/>
                <w:lang w:val="uk-UA"/>
              </w:rPr>
              <w:t>з питань безпечності харчових продуктів</w:t>
            </w:r>
            <w:r w:rsidRPr="004D3694">
              <w:rPr>
                <w:b/>
              </w:rPr>
              <w:t xml:space="preserve"> </w:t>
            </w:r>
            <w:r w:rsidRPr="004D3694">
              <w:rPr>
                <w:b/>
                <w:bCs/>
                <w:lang w:val="uk-UA"/>
              </w:rPr>
              <w:t>та захисту споживачів</w:t>
            </w:r>
          </w:p>
          <w:p w14:paraId="053A67C6" w14:textId="77777777" w:rsidR="004B0598" w:rsidRPr="004D3694" w:rsidRDefault="004B0598" w:rsidP="00FD6ED1">
            <w:pPr>
              <w:tabs>
                <w:tab w:val="left" w:pos="1020"/>
                <w:tab w:val="left" w:pos="1320"/>
              </w:tabs>
              <w:jc w:val="both"/>
              <w:rPr>
                <w:lang w:val="uk-UA"/>
              </w:rPr>
            </w:pPr>
          </w:p>
        </w:tc>
        <w:tc>
          <w:tcPr>
            <w:tcW w:w="5729" w:type="dxa"/>
            <w:shd w:val="clear" w:color="auto" w:fill="auto"/>
          </w:tcPr>
          <w:p w14:paraId="2CABD5CC" w14:textId="77777777" w:rsidR="004B0598" w:rsidRPr="004D3694" w:rsidRDefault="004B0598" w:rsidP="00FD6ED1">
            <w:pPr>
              <w:tabs>
                <w:tab w:val="left" w:pos="1020"/>
                <w:tab w:val="left" w:pos="1320"/>
              </w:tabs>
              <w:jc w:val="both"/>
              <w:rPr>
                <w:lang w:val="uk-UA"/>
              </w:rPr>
            </w:pPr>
          </w:p>
          <w:p w14:paraId="5735B5CB" w14:textId="77777777" w:rsidR="004B0598" w:rsidRPr="004D3694" w:rsidRDefault="004B0598" w:rsidP="00FD6ED1">
            <w:pPr>
              <w:tabs>
                <w:tab w:val="left" w:pos="1020"/>
                <w:tab w:val="left" w:pos="1320"/>
              </w:tabs>
              <w:jc w:val="both"/>
              <w:rPr>
                <w:lang w:val="uk-UA"/>
              </w:rPr>
            </w:pPr>
          </w:p>
          <w:p w14:paraId="428C1FE9" w14:textId="77777777" w:rsidR="004B0598" w:rsidRPr="004D3694" w:rsidRDefault="004B0598" w:rsidP="00FD6ED1">
            <w:pPr>
              <w:tabs>
                <w:tab w:val="left" w:pos="1020"/>
                <w:tab w:val="left" w:pos="1320"/>
              </w:tabs>
              <w:jc w:val="right"/>
              <w:rPr>
                <w:lang w:val="uk-UA"/>
              </w:rPr>
            </w:pPr>
            <w:r w:rsidRPr="004D3694">
              <w:rPr>
                <w:lang w:val="uk-UA"/>
              </w:rPr>
              <w:t xml:space="preserve">                    </w:t>
            </w:r>
            <w:r w:rsidRPr="004D3694">
              <w:rPr>
                <w:b/>
                <w:lang w:val="uk-UA"/>
              </w:rPr>
              <w:t>Володимир ЛАПА</w:t>
            </w:r>
          </w:p>
        </w:tc>
      </w:tr>
    </w:tbl>
    <w:p w14:paraId="678445B0" w14:textId="77777777" w:rsidR="004B0598" w:rsidRPr="004D3694" w:rsidRDefault="004B0598" w:rsidP="004B0598">
      <w:pPr>
        <w:jc w:val="both"/>
        <w:rPr>
          <w:lang w:val="uk-UA"/>
        </w:rPr>
      </w:pPr>
      <w:r w:rsidRPr="004D3694">
        <w:t>“__</w:t>
      </w:r>
      <w:proofErr w:type="gramStart"/>
      <w:r w:rsidRPr="004D3694">
        <w:t>_”_</w:t>
      </w:r>
      <w:proofErr w:type="gramEnd"/>
      <w:r w:rsidRPr="004D3694">
        <w:t>______________ 201</w:t>
      </w:r>
      <w:r w:rsidRPr="004D3694">
        <w:rPr>
          <w:lang w:val="uk-UA"/>
        </w:rPr>
        <w:t>7</w:t>
      </w:r>
      <w:r w:rsidRPr="004D3694">
        <w:t xml:space="preserve"> р.</w:t>
      </w:r>
    </w:p>
    <w:p w14:paraId="58727110" w14:textId="77777777" w:rsidR="004B0598" w:rsidRPr="004D3694" w:rsidRDefault="004B0598" w:rsidP="007B6BE4">
      <w:pPr>
        <w:spacing w:line="276" w:lineRule="auto"/>
        <w:ind w:firstLine="567"/>
        <w:jc w:val="both"/>
        <w:rPr>
          <w:lang w:val="uk-UA"/>
        </w:rPr>
      </w:pPr>
    </w:p>
    <w:p w14:paraId="396863E1" w14:textId="77777777" w:rsidR="0005576F" w:rsidRPr="004D3694" w:rsidRDefault="0005576F">
      <w:pPr>
        <w:spacing w:after="200" w:line="276" w:lineRule="auto"/>
        <w:rPr>
          <w:lang w:val="uk-UA"/>
        </w:rPr>
      </w:pPr>
      <w:r w:rsidRPr="004D3694">
        <w:rPr>
          <w:lang w:val="uk-UA"/>
        </w:rPr>
        <w:br w:type="page"/>
      </w:r>
    </w:p>
    <w:tbl>
      <w:tblPr>
        <w:tblW w:w="5000" w:type="pct"/>
        <w:tblCellSpacing w:w="0" w:type="dxa"/>
        <w:tblCellMar>
          <w:left w:w="0" w:type="dxa"/>
          <w:right w:w="0" w:type="dxa"/>
        </w:tblCellMar>
        <w:tblLook w:val="04A0" w:firstRow="1" w:lastRow="0" w:firstColumn="1" w:lastColumn="0" w:noHBand="0" w:noVBand="1"/>
      </w:tblPr>
      <w:tblGrid>
        <w:gridCol w:w="9639"/>
      </w:tblGrid>
      <w:tr w:rsidR="0005576F" w:rsidRPr="004D3694" w14:paraId="662D4119" w14:textId="77777777" w:rsidTr="001A506B">
        <w:trPr>
          <w:tblCellSpacing w:w="0" w:type="dxa"/>
        </w:trPr>
        <w:tc>
          <w:tcPr>
            <w:tcW w:w="2300" w:type="pct"/>
            <w:hideMark/>
          </w:tcPr>
          <w:p w14:paraId="74CC8C3F" w14:textId="77777777" w:rsidR="0005576F" w:rsidRPr="004D3694" w:rsidRDefault="0005576F" w:rsidP="001A506B">
            <w:pPr>
              <w:spacing w:before="100" w:beforeAutospacing="1" w:after="100" w:afterAutospacing="1"/>
              <w:jc w:val="right"/>
              <w:rPr>
                <w:lang w:val="uk-UA" w:eastAsia="uk-UA"/>
              </w:rPr>
            </w:pPr>
            <w:r w:rsidRPr="004D3694">
              <w:rPr>
                <w:lang w:val="uk-UA" w:eastAsia="uk-UA"/>
              </w:rPr>
              <w:lastRenderedPageBreak/>
              <w:t xml:space="preserve">Додаток 2 </w:t>
            </w:r>
            <w:r w:rsidRPr="004D3694">
              <w:rPr>
                <w:lang w:val="uk-UA" w:eastAsia="uk-UA"/>
              </w:rPr>
              <w:br/>
              <w:t xml:space="preserve">до Методики проведення аналізу впливу </w:t>
            </w:r>
            <w:r w:rsidRPr="004D3694">
              <w:rPr>
                <w:lang w:val="uk-UA" w:eastAsia="uk-UA"/>
              </w:rPr>
              <w:br/>
              <w:t>регуляторного акта</w:t>
            </w:r>
          </w:p>
        </w:tc>
      </w:tr>
    </w:tbl>
    <w:p w14:paraId="712751CB" w14:textId="77777777" w:rsidR="0005576F" w:rsidRPr="004D3694" w:rsidRDefault="0005576F" w:rsidP="0005576F">
      <w:pPr>
        <w:jc w:val="center"/>
        <w:rPr>
          <w:lang w:val="uk-UA" w:eastAsia="uk-UA"/>
        </w:rPr>
      </w:pPr>
      <w:bookmarkStart w:id="3" w:name="n177"/>
      <w:bookmarkEnd w:id="3"/>
    </w:p>
    <w:p w14:paraId="0C79C04D" w14:textId="77777777" w:rsidR="0005576F" w:rsidRPr="004D3694" w:rsidRDefault="0005576F" w:rsidP="0005576F">
      <w:pPr>
        <w:jc w:val="center"/>
        <w:rPr>
          <w:lang w:val="uk-UA" w:eastAsia="uk-UA"/>
        </w:rPr>
      </w:pPr>
      <w:r w:rsidRPr="004D3694">
        <w:rPr>
          <w:lang w:val="uk-UA" w:eastAsia="uk-UA"/>
        </w:rPr>
        <w:t xml:space="preserve">ВИТРАТИ </w:t>
      </w:r>
      <w:r w:rsidRPr="004D3694">
        <w:rPr>
          <w:lang w:val="uk-UA" w:eastAsia="uk-UA"/>
        </w:rPr>
        <w:br/>
        <w:t>на одного суб’єкта господарювання великого і середнього підприємництва, які виникають внаслідок дії регуляторного акта</w:t>
      </w:r>
    </w:p>
    <w:p w14:paraId="35D2FEA6" w14:textId="77777777" w:rsidR="0005576F" w:rsidRPr="004D3694" w:rsidRDefault="0005576F" w:rsidP="0005576F">
      <w:pPr>
        <w:jc w:val="center"/>
        <w:rPr>
          <w:u w:val="single"/>
          <w:lang w:val="uk-UA" w:eastAsia="uk-UA"/>
        </w:rPr>
      </w:pPr>
      <w:r w:rsidRPr="004D3694">
        <w:rPr>
          <w:u w:val="single"/>
          <w:lang w:val="uk-UA" w:eastAsia="uk-UA"/>
        </w:rPr>
        <w:t>щодо зміни вартості проведення фітосанітарної експертизи</w:t>
      </w:r>
    </w:p>
    <w:p w14:paraId="7A7FF460" w14:textId="77777777" w:rsidR="0005576F" w:rsidRPr="004D3694" w:rsidRDefault="00B9054E" w:rsidP="007B6BE4">
      <w:pPr>
        <w:spacing w:line="276" w:lineRule="auto"/>
        <w:ind w:firstLine="567"/>
        <w:jc w:val="both"/>
        <w:rPr>
          <w:lang w:val="uk-UA"/>
        </w:rPr>
      </w:pPr>
      <w:r w:rsidRPr="004D3694">
        <w:rPr>
          <w:lang w:val="uk-UA"/>
        </w:rPr>
        <w:t>Розрахунки витрат для великих і середніх підприємств проводилися Державною службою України з питань безпечності харчових продуктів та захисту споживачів.</w:t>
      </w:r>
    </w:p>
    <w:sectPr w:rsidR="0005576F" w:rsidRPr="004D3694" w:rsidSect="00A93DCC">
      <w:pgSz w:w="11906" w:h="16838"/>
      <w:pgMar w:top="850" w:right="850" w:bottom="850"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SUS" w:date="2017-09-21T12:11:00Z" w:initials="A">
    <w:p w14:paraId="4E10A138" w14:textId="77777777" w:rsidR="00962D7F" w:rsidRPr="00B7545F" w:rsidRDefault="00962D7F" w:rsidP="00962D7F">
      <w:pPr>
        <w:pStyle w:val="CommentText"/>
        <w:rPr>
          <w:lang w:val="uk-UA"/>
        </w:rPr>
      </w:pPr>
      <w:r>
        <w:rPr>
          <w:rStyle w:val="CommentReference"/>
        </w:rPr>
        <w:annotationRef/>
      </w:r>
      <w:r w:rsidR="00B7545F">
        <w:rPr>
          <w:rStyle w:val="CommentReference"/>
          <w:lang w:val="uk-UA"/>
        </w:rPr>
        <w:t>Спираючись на данні за 2016 рік, що потреба у проведенні  арбітражної фітосанітарної експертизи виникає при проведенні експортно-імпортних операцій. Отже, доцільно оцінювати вплив на СГ, що займаються експортно-імпортними операціями.</w:t>
      </w:r>
    </w:p>
  </w:comment>
  <w:comment w:id="2" w:author="ASUS" w:date="2017-09-22T12:46:00Z" w:initials="A">
    <w:p w14:paraId="6F05B483" w14:textId="77777777" w:rsidR="00654886" w:rsidRPr="00654886" w:rsidRDefault="00654886">
      <w:pPr>
        <w:pStyle w:val="CommentText"/>
        <w:rPr>
          <w:lang w:val="uk-UA"/>
        </w:rPr>
      </w:pPr>
      <w:r>
        <w:rPr>
          <w:rStyle w:val="CommentReference"/>
        </w:rPr>
        <w:annotationRef/>
      </w:r>
      <w:r>
        <w:rPr>
          <w:lang w:val="uk-UA"/>
        </w:rPr>
        <w:t>Проведення обрахунків буде залежати від відсотка малих та мікро- суб’єктів господарювання згідно розділу ІІІ</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10A138" w15:done="0"/>
  <w15:commentEx w15:paraId="6F05B4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10A138" w16cid:durableId="1D7CD6D4"/>
  <w16cid:commentId w16cid:paraId="6F05B483" w16cid:durableId="1D7CD6D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85A"/>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abstractNum w:abstractNumId="1" w15:restartNumberingAfterBreak="0">
    <w:nsid w:val="69802E45"/>
    <w:multiLevelType w:val="multilevel"/>
    <w:tmpl w:val="FFFFFFFF"/>
    <w:lvl w:ilvl="0">
      <w:start w:val="1"/>
      <w:numFmt w:val="decimal"/>
      <w:lvlText w:val="%1."/>
      <w:lvlJc w:val="left"/>
      <w:pPr>
        <w:ind w:left="-1232" w:firstLine="1800"/>
      </w:pPr>
      <w:rPr>
        <w:rFonts w:cs="Times New Roman"/>
        <w:u w:val="none"/>
      </w:rPr>
    </w:lvl>
    <w:lvl w:ilvl="1">
      <w:start w:val="1"/>
      <w:numFmt w:val="lowerLetter"/>
      <w:lvlText w:val="%2."/>
      <w:lvlJc w:val="left"/>
      <w:pPr>
        <w:ind w:left="-512" w:firstLine="3960"/>
      </w:pPr>
      <w:rPr>
        <w:rFonts w:cs="Times New Roman"/>
        <w:u w:val="none"/>
      </w:rPr>
    </w:lvl>
    <w:lvl w:ilvl="2">
      <w:start w:val="1"/>
      <w:numFmt w:val="lowerRoman"/>
      <w:lvlText w:val="%3."/>
      <w:lvlJc w:val="right"/>
      <w:pPr>
        <w:ind w:left="208" w:firstLine="6120"/>
      </w:pPr>
      <w:rPr>
        <w:rFonts w:cs="Times New Roman"/>
        <w:u w:val="none"/>
      </w:rPr>
    </w:lvl>
    <w:lvl w:ilvl="3">
      <w:start w:val="1"/>
      <w:numFmt w:val="decimal"/>
      <w:lvlText w:val="%4."/>
      <w:lvlJc w:val="left"/>
      <w:pPr>
        <w:ind w:left="928" w:firstLine="8280"/>
      </w:pPr>
      <w:rPr>
        <w:rFonts w:cs="Times New Roman"/>
        <w:u w:val="none"/>
      </w:rPr>
    </w:lvl>
    <w:lvl w:ilvl="4">
      <w:start w:val="1"/>
      <w:numFmt w:val="lowerLetter"/>
      <w:lvlText w:val="%5."/>
      <w:lvlJc w:val="left"/>
      <w:pPr>
        <w:ind w:left="1648" w:firstLine="10440"/>
      </w:pPr>
      <w:rPr>
        <w:rFonts w:cs="Times New Roman"/>
        <w:u w:val="none"/>
      </w:rPr>
    </w:lvl>
    <w:lvl w:ilvl="5">
      <w:start w:val="1"/>
      <w:numFmt w:val="lowerRoman"/>
      <w:lvlText w:val="%6."/>
      <w:lvlJc w:val="right"/>
      <w:pPr>
        <w:ind w:left="2368" w:firstLine="12600"/>
      </w:pPr>
      <w:rPr>
        <w:rFonts w:cs="Times New Roman"/>
        <w:u w:val="none"/>
      </w:rPr>
    </w:lvl>
    <w:lvl w:ilvl="6">
      <w:start w:val="1"/>
      <w:numFmt w:val="decimal"/>
      <w:lvlText w:val="%7."/>
      <w:lvlJc w:val="left"/>
      <w:pPr>
        <w:ind w:left="3088" w:firstLine="14760"/>
      </w:pPr>
      <w:rPr>
        <w:rFonts w:cs="Times New Roman"/>
        <w:u w:val="none"/>
      </w:rPr>
    </w:lvl>
    <w:lvl w:ilvl="7">
      <w:start w:val="1"/>
      <w:numFmt w:val="lowerLetter"/>
      <w:lvlText w:val="%8."/>
      <w:lvlJc w:val="left"/>
      <w:pPr>
        <w:ind w:left="3808" w:firstLine="16920"/>
      </w:pPr>
      <w:rPr>
        <w:rFonts w:cs="Times New Roman"/>
        <w:u w:val="none"/>
      </w:rPr>
    </w:lvl>
    <w:lvl w:ilvl="8">
      <w:start w:val="1"/>
      <w:numFmt w:val="lowerRoman"/>
      <w:lvlText w:val="%9."/>
      <w:lvlJc w:val="right"/>
      <w:pPr>
        <w:ind w:left="4528" w:firstLine="19080"/>
      </w:pPr>
      <w:rPr>
        <w:rFonts w:cs="Times New Roman"/>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0"/>
    <w:rsid w:val="00016899"/>
    <w:rsid w:val="0003417E"/>
    <w:rsid w:val="000501EF"/>
    <w:rsid w:val="0005576F"/>
    <w:rsid w:val="000709FE"/>
    <w:rsid w:val="00085067"/>
    <w:rsid w:val="000962EC"/>
    <w:rsid w:val="00096763"/>
    <w:rsid w:val="00115EEC"/>
    <w:rsid w:val="0013106C"/>
    <w:rsid w:val="001343ED"/>
    <w:rsid w:val="001409A6"/>
    <w:rsid w:val="00144342"/>
    <w:rsid w:val="0015500E"/>
    <w:rsid w:val="001A1D76"/>
    <w:rsid w:val="001A38DA"/>
    <w:rsid w:val="001A6C12"/>
    <w:rsid w:val="001B3748"/>
    <w:rsid w:val="001E27D7"/>
    <w:rsid w:val="002173A1"/>
    <w:rsid w:val="00224FCA"/>
    <w:rsid w:val="00244895"/>
    <w:rsid w:val="0026395D"/>
    <w:rsid w:val="00264980"/>
    <w:rsid w:val="002B52A5"/>
    <w:rsid w:val="002E3333"/>
    <w:rsid w:val="00301D1D"/>
    <w:rsid w:val="00310AA1"/>
    <w:rsid w:val="00312261"/>
    <w:rsid w:val="00360680"/>
    <w:rsid w:val="003767ED"/>
    <w:rsid w:val="00382CF0"/>
    <w:rsid w:val="003D165B"/>
    <w:rsid w:val="003D3098"/>
    <w:rsid w:val="003D41C4"/>
    <w:rsid w:val="003D5AF8"/>
    <w:rsid w:val="003D6338"/>
    <w:rsid w:val="003E2DB3"/>
    <w:rsid w:val="003F2130"/>
    <w:rsid w:val="004153CB"/>
    <w:rsid w:val="0044170A"/>
    <w:rsid w:val="00443DF4"/>
    <w:rsid w:val="004535B4"/>
    <w:rsid w:val="00491455"/>
    <w:rsid w:val="004939E9"/>
    <w:rsid w:val="00493D1B"/>
    <w:rsid w:val="004A30E0"/>
    <w:rsid w:val="004A6309"/>
    <w:rsid w:val="004B0598"/>
    <w:rsid w:val="004B2AD5"/>
    <w:rsid w:val="004B51F9"/>
    <w:rsid w:val="004D0F85"/>
    <w:rsid w:val="004D3694"/>
    <w:rsid w:val="005051E4"/>
    <w:rsid w:val="00526093"/>
    <w:rsid w:val="005415E4"/>
    <w:rsid w:val="0056609D"/>
    <w:rsid w:val="00570A04"/>
    <w:rsid w:val="005D53DE"/>
    <w:rsid w:val="005D5F16"/>
    <w:rsid w:val="00617868"/>
    <w:rsid w:val="00621221"/>
    <w:rsid w:val="0065444C"/>
    <w:rsid w:val="00654886"/>
    <w:rsid w:val="0066056D"/>
    <w:rsid w:val="00663856"/>
    <w:rsid w:val="00672B83"/>
    <w:rsid w:val="00680B3D"/>
    <w:rsid w:val="00693189"/>
    <w:rsid w:val="006D1AF0"/>
    <w:rsid w:val="006F70FF"/>
    <w:rsid w:val="00703B0E"/>
    <w:rsid w:val="007433EA"/>
    <w:rsid w:val="007536C6"/>
    <w:rsid w:val="00761740"/>
    <w:rsid w:val="00784246"/>
    <w:rsid w:val="0078558B"/>
    <w:rsid w:val="00785746"/>
    <w:rsid w:val="007866DB"/>
    <w:rsid w:val="007B3743"/>
    <w:rsid w:val="007B6BE4"/>
    <w:rsid w:val="007B764C"/>
    <w:rsid w:val="007C2171"/>
    <w:rsid w:val="007C4961"/>
    <w:rsid w:val="008202D7"/>
    <w:rsid w:val="00821D2D"/>
    <w:rsid w:val="00824EC4"/>
    <w:rsid w:val="00853410"/>
    <w:rsid w:val="00861FE0"/>
    <w:rsid w:val="008647B3"/>
    <w:rsid w:val="00883F86"/>
    <w:rsid w:val="0088729C"/>
    <w:rsid w:val="00897886"/>
    <w:rsid w:val="008C27E3"/>
    <w:rsid w:val="008C7246"/>
    <w:rsid w:val="008D4A65"/>
    <w:rsid w:val="008D70F7"/>
    <w:rsid w:val="008E07E6"/>
    <w:rsid w:val="008E7C92"/>
    <w:rsid w:val="008F05A4"/>
    <w:rsid w:val="008F4F31"/>
    <w:rsid w:val="00916A53"/>
    <w:rsid w:val="00955210"/>
    <w:rsid w:val="00956DDB"/>
    <w:rsid w:val="00962D7F"/>
    <w:rsid w:val="00974B7B"/>
    <w:rsid w:val="00980C14"/>
    <w:rsid w:val="009A5A70"/>
    <w:rsid w:val="009F60A9"/>
    <w:rsid w:val="00A1382C"/>
    <w:rsid w:val="00A24971"/>
    <w:rsid w:val="00A27B38"/>
    <w:rsid w:val="00A334B7"/>
    <w:rsid w:val="00A3717E"/>
    <w:rsid w:val="00A629CC"/>
    <w:rsid w:val="00A631F2"/>
    <w:rsid w:val="00A909A7"/>
    <w:rsid w:val="00A93858"/>
    <w:rsid w:val="00A93DCC"/>
    <w:rsid w:val="00AB205B"/>
    <w:rsid w:val="00AD4DA0"/>
    <w:rsid w:val="00B011A6"/>
    <w:rsid w:val="00B16CA6"/>
    <w:rsid w:val="00B51A68"/>
    <w:rsid w:val="00B62F1D"/>
    <w:rsid w:val="00B733F1"/>
    <w:rsid w:val="00B74F26"/>
    <w:rsid w:val="00B7545F"/>
    <w:rsid w:val="00B9054E"/>
    <w:rsid w:val="00BA01DE"/>
    <w:rsid w:val="00BC7F09"/>
    <w:rsid w:val="00BF5660"/>
    <w:rsid w:val="00C0083E"/>
    <w:rsid w:val="00C04425"/>
    <w:rsid w:val="00C12E07"/>
    <w:rsid w:val="00C22B2B"/>
    <w:rsid w:val="00C35127"/>
    <w:rsid w:val="00C44751"/>
    <w:rsid w:val="00C47E2F"/>
    <w:rsid w:val="00C60D85"/>
    <w:rsid w:val="00C651F9"/>
    <w:rsid w:val="00C7695F"/>
    <w:rsid w:val="00C96624"/>
    <w:rsid w:val="00CF05A4"/>
    <w:rsid w:val="00D133F7"/>
    <w:rsid w:val="00D536C6"/>
    <w:rsid w:val="00D63942"/>
    <w:rsid w:val="00D75022"/>
    <w:rsid w:val="00D76970"/>
    <w:rsid w:val="00D76D2B"/>
    <w:rsid w:val="00D934F0"/>
    <w:rsid w:val="00D976A8"/>
    <w:rsid w:val="00DA2B7A"/>
    <w:rsid w:val="00DA64E5"/>
    <w:rsid w:val="00DB0462"/>
    <w:rsid w:val="00DC395A"/>
    <w:rsid w:val="00DF155D"/>
    <w:rsid w:val="00DF2720"/>
    <w:rsid w:val="00DF62F9"/>
    <w:rsid w:val="00DF6DAF"/>
    <w:rsid w:val="00E010B7"/>
    <w:rsid w:val="00E01EF1"/>
    <w:rsid w:val="00E13F53"/>
    <w:rsid w:val="00E14E6A"/>
    <w:rsid w:val="00E35A91"/>
    <w:rsid w:val="00E4424B"/>
    <w:rsid w:val="00E461F7"/>
    <w:rsid w:val="00E62ED9"/>
    <w:rsid w:val="00E6545B"/>
    <w:rsid w:val="00EA532C"/>
    <w:rsid w:val="00EB1790"/>
    <w:rsid w:val="00EB6341"/>
    <w:rsid w:val="00EC1B4A"/>
    <w:rsid w:val="00ED13A6"/>
    <w:rsid w:val="00EF4C16"/>
    <w:rsid w:val="00F07028"/>
    <w:rsid w:val="00F26BC5"/>
    <w:rsid w:val="00F95816"/>
    <w:rsid w:val="00FA1D07"/>
    <w:rsid w:val="00FD27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54425"/>
  <w15:docId w15:val="{08BDD7CE-B009-4BE8-865D-5F7B8AEB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AF0"/>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link w:val="Heading3Char"/>
    <w:qFormat/>
    <w:rsid w:val="006D1AF0"/>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D1AF0"/>
    <w:rPr>
      <w:b/>
      <w:bCs/>
    </w:rPr>
  </w:style>
  <w:style w:type="character" w:customStyle="1" w:styleId="Heading3Char">
    <w:name w:val="Heading 3 Char"/>
    <w:basedOn w:val="DefaultParagraphFont"/>
    <w:link w:val="Heading3"/>
    <w:rsid w:val="006D1AF0"/>
    <w:rPr>
      <w:rFonts w:ascii="Times New Roman" w:eastAsia="SimSun" w:hAnsi="Times New Roman" w:cs="Times New Roman"/>
      <w:b/>
      <w:bCs/>
      <w:sz w:val="27"/>
      <w:szCs w:val="27"/>
      <w:lang w:val="ru-RU" w:eastAsia="zh-CN"/>
    </w:rPr>
  </w:style>
  <w:style w:type="character" w:styleId="CommentReference">
    <w:name w:val="annotation reference"/>
    <w:basedOn w:val="DefaultParagraphFont"/>
    <w:uiPriority w:val="99"/>
    <w:semiHidden/>
    <w:unhideWhenUsed/>
    <w:rsid w:val="00244895"/>
    <w:rPr>
      <w:sz w:val="16"/>
      <w:szCs w:val="16"/>
    </w:rPr>
  </w:style>
  <w:style w:type="paragraph" w:styleId="CommentText">
    <w:name w:val="annotation text"/>
    <w:basedOn w:val="Normal"/>
    <w:link w:val="CommentTextChar"/>
    <w:uiPriority w:val="99"/>
    <w:semiHidden/>
    <w:unhideWhenUsed/>
    <w:rsid w:val="00244895"/>
    <w:rPr>
      <w:sz w:val="20"/>
      <w:szCs w:val="20"/>
    </w:rPr>
  </w:style>
  <w:style w:type="character" w:customStyle="1" w:styleId="CommentTextChar">
    <w:name w:val="Comment Text Char"/>
    <w:basedOn w:val="DefaultParagraphFont"/>
    <w:link w:val="CommentText"/>
    <w:uiPriority w:val="99"/>
    <w:semiHidden/>
    <w:rsid w:val="00244895"/>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244895"/>
    <w:rPr>
      <w:b/>
      <w:bCs/>
    </w:rPr>
  </w:style>
  <w:style w:type="character" w:customStyle="1" w:styleId="CommentSubjectChar">
    <w:name w:val="Comment Subject Char"/>
    <w:basedOn w:val="CommentTextChar"/>
    <w:link w:val="CommentSubject"/>
    <w:uiPriority w:val="99"/>
    <w:semiHidden/>
    <w:rsid w:val="00244895"/>
    <w:rPr>
      <w:rFonts w:ascii="Times New Roman" w:eastAsia="Times New Roman" w:hAnsi="Times New Roman" w:cs="Times New Roman"/>
      <w:b/>
      <w:bCs/>
      <w:sz w:val="20"/>
      <w:szCs w:val="20"/>
      <w:lang w:val="ru-RU" w:eastAsia="ru-RU"/>
    </w:rPr>
  </w:style>
  <w:style w:type="paragraph" w:styleId="BalloonText">
    <w:name w:val="Balloon Text"/>
    <w:basedOn w:val="Normal"/>
    <w:link w:val="BalloonTextChar"/>
    <w:uiPriority w:val="99"/>
    <w:semiHidden/>
    <w:unhideWhenUsed/>
    <w:rsid w:val="00244895"/>
    <w:rPr>
      <w:rFonts w:ascii="Tahoma" w:hAnsi="Tahoma" w:cs="Tahoma"/>
      <w:sz w:val="16"/>
      <w:szCs w:val="16"/>
    </w:rPr>
  </w:style>
  <w:style w:type="character" w:customStyle="1" w:styleId="BalloonTextChar">
    <w:name w:val="Balloon Text Char"/>
    <w:basedOn w:val="DefaultParagraphFont"/>
    <w:link w:val="BalloonText"/>
    <w:uiPriority w:val="99"/>
    <w:semiHidden/>
    <w:rsid w:val="00244895"/>
    <w:rPr>
      <w:rFonts w:ascii="Tahoma" w:eastAsia="Times New Roman" w:hAnsi="Tahoma" w:cs="Tahoma"/>
      <w:sz w:val="16"/>
      <w:szCs w:val="16"/>
      <w:lang w:val="ru-RU" w:eastAsia="ru-RU"/>
    </w:rPr>
  </w:style>
  <w:style w:type="paragraph" w:styleId="HTMLPreformatted">
    <w:name w:val="HTML Preformatted"/>
    <w:aliases w:val=" Знак Знак, Знак,Знак Знак,Знак2"/>
    <w:basedOn w:val="Normal"/>
    <w:link w:val="HTMLPreformattedChar"/>
    <w:uiPriority w:val="99"/>
    <w:rsid w:val="00244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uk-UA"/>
    </w:rPr>
  </w:style>
  <w:style w:type="character" w:customStyle="1" w:styleId="HTMLPreformattedChar">
    <w:name w:val="HTML Preformatted Char"/>
    <w:aliases w:val=" Знак Знак Char, Знак Char,Знак Знак Char,Знак2 Char"/>
    <w:basedOn w:val="DefaultParagraphFont"/>
    <w:link w:val="HTMLPreformatted"/>
    <w:uiPriority w:val="99"/>
    <w:rsid w:val="00244895"/>
    <w:rPr>
      <w:rFonts w:ascii="Courier New" w:eastAsia="Times New Roman" w:hAnsi="Courier New" w:cs="Times New Roman"/>
      <w:sz w:val="20"/>
      <w:szCs w:val="20"/>
      <w:lang w:val="ru-RU" w:eastAsia="uk-UA"/>
    </w:rPr>
  </w:style>
  <w:style w:type="paragraph" w:customStyle="1" w:styleId="1">
    <w:name w:val="Обычный1"/>
    <w:uiPriority w:val="99"/>
    <w:rsid w:val="00C47E2F"/>
    <w:pPr>
      <w:widowControl w:val="0"/>
      <w:spacing w:after="0" w:line="240" w:lineRule="auto"/>
    </w:pPr>
    <w:rPr>
      <w:rFonts w:ascii="Times New Roman" w:eastAsia="Times New Roman" w:hAnsi="Times New Roman" w:cs="Times New Roman"/>
      <w:color w:val="000000"/>
      <w:sz w:val="20"/>
      <w:szCs w:val="20"/>
      <w:lang w:val="en-US"/>
    </w:rPr>
  </w:style>
  <w:style w:type="paragraph" w:customStyle="1" w:styleId="rvps6">
    <w:name w:val="rvps6"/>
    <w:basedOn w:val="Normal"/>
    <w:rsid w:val="00A631F2"/>
    <w:pPr>
      <w:spacing w:before="100" w:beforeAutospacing="1" w:after="100" w:afterAutospacing="1"/>
    </w:pPr>
    <w:rPr>
      <w:lang w:val="uk-UA" w:eastAsia="uk-UA"/>
    </w:rPr>
  </w:style>
  <w:style w:type="table" w:styleId="TableGrid">
    <w:name w:val="Table Grid"/>
    <w:basedOn w:val="TableNormal"/>
    <w:uiPriority w:val="59"/>
    <w:rsid w:val="00B16CA6"/>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16899"/>
    <w:pPr>
      <w:spacing w:after="120" w:line="480" w:lineRule="auto"/>
    </w:pPr>
  </w:style>
  <w:style w:type="character" w:customStyle="1" w:styleId="BodyText2Char">
    <w:name w:val="Body Text 2 Char"/>
    <w:basedOn w:val="DefaultParagraphFont"/>
    <w:link w:val="BodyText2"/>
    <w:uiPriority w:val="99"/>
    <w:rsid w:val="00016899"/>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8D4A65"/>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05631">
      <w:bodyDiv w:val="1"/>
      <w:marLeft w:val="0"/>
      <w:marRight w:val="0"/>
      <w:marTop w:val="0"/>
      <w:marBottom w:val="0"/>
      <w:divBdr>
        <w:top w:val="none" w:sz="0" w:space="0" w:color="auto"/>
        <w:left w:val="none" w:sz="0" w:space="0" w:color="auto"/>
        <w:bottom w:val="none" w:sz="0" w:space="0" w:color="auto"/>
        <w:right w:val="none" w:sz="0" w:space="0" w:color="auto"/>
      </w:divBdr>
    </w:div>
    <w:div w:id="7223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99C2D9-0F39-466E-9FE1-255192F0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2477</Words>
  <Characters>14123</Characters>
  <Application>Microsoft Office Word</Application>
  <DocSecurity>0</DocSecurity>
  <Lines>117</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Mariia Goncharenko</cp:lastModifiedBy>
  <cp:revision>2</cp:revision>
  <dcterms:created xsi:type="dcterms:W3CDTF">2017-10-02T12:17:00Z</dcterms:created>
  <dcterms:modified xsi:type="dcterms:W3CDTF">2017-10-02T12:17:00Z</dcterms:modified>
</cp:coreProperties>
</file>