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DFF8" w14:textId="77777777" w:rsidR="002C4468" w:rsidRPr="002C4468" w:rsidRDefault="002C4468" w:rsidP="002C4468">
      <w:pPr>
        <w:jc w:val="center"/>
        <w:rPr>
          <w:rFonts w:ascii="Times New Roman" w:hAnsi="Times New Roman" w:cs="Times New Roman"/>
          <w:b/>
          <w:sz w:val="24"/>
          <w:szCs w:val="28"/>
          <w:lang w:val="ru-RU"/>
        </w:rPr>
      </w:pPr>
      <w:proofErr w:type="spellStart"/>
      <w:r w:rsidRPr="002C4468">
        <w:rPr>
          <w:rFonts w:ascii="Times New Roman" w:hAnsi="Times New Roman" w:cs="Times New Roman"/>
          <w:b/>
          <w:sz w:val="24"/>
          <w:szCs w:val="28"/>
          <w:lang w:val="ru-RU"/>
        </w:rPr>
        <w:t>Пропозиції</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Американської</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торговельної</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палати</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щодо</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удосконалення</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адміністрування</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сплати</w:t>
      </w:r>
      <w:proofErr w:type="spellEnd"/>
      <w:r w:rsidRPr="002C4468">
        <w:rPr>
          <w:rFonts w:ascii="Times New Roman" w:hAnsi="Times New Roman" w:cs="Times New Roman"/>
          <w:b/>
          <w:sz w:val="24"/>
          <w:szCs w:val="28"/>
          <w:lang w:val="ru-RU"/>
        </w:rPr>
        <w:t xml:space="preserve"> </w:t>
      </w:r>
      <w:proofErr w:type="spellStart"/>
      <w:r w:rsidRPr="002C4468">
        <w:rPr>
          <w:rFonts w:ascii="Times New Roman" w:hAnsi="Times New Roman" w:cs="Times New Roman"/>
          <w:b/>
          <w:sz w:val="24"/>
          <w:szCs w:val="28"/>
          <w:lang w:val="ru-RU"/>
        </w:rPr>
        <w:t>податків</w:t>
      </w:r>
      <w:proofErr w:type="spellEnd"/>
    </w:p>
    <w:tbl>
      <w:tblPr>
        <w:tblStyle w:val="TableGrid"/>
        <w:tblW w:w="0" w:type="auto"/>
        <w:tblLook w:val="04A0" w:firstRow="1" w:lastRow="0" w:firstColumn="1" w:lastColumn="0" w:noHBand="0" w:noVBand="1"/>
      </w:tblPr>
      <w:tblGrid>
        <w:gridCol w:w="3775"/>
        <w:gridCol w:w="4770"/>
        <w:gridCol w:w="4405"/>
      </w:tblGrid>
      <w:tr w:rsidR="002C4468" w:rsidRPr="002C4468" w14:paraId="6B05A66E" w14:textId="77777777" w:rsidTr="009A3B85">
        <w:trPr>
          <w:trHeight w:val="431"/>
        </w:trPr>
        <w:tc>
          <w:tcPr>
            <w:tcW w:w="3775" w:type="dxa"/>
          </w:tcPr>
          <w:p w14:paraId="2878FDB8" w14:textId="77777777" w:rsidR="002C4468" w:rsidRPr="002C4468" w:rsidRDefault="002C4468" w:rsidP="002C4468">
            <w:pPr>
              <w:spacing w:before="120" w:after="120"/>
              <w:ind w:left="34"/>
              <w:jc w:val="center"/>
              <w:rPr>
                <w:rFonts w:ascii="Times New Roman" w:hAnsi="Times New Roman" w:cs="Times New Roman"/>
                <w:b/>
                <w:sz w:val="24"/>
                <w:szCs w:val="28"/>
                <w:shd w:val="solid" w:color="FFFFFF" w:fill="FFFFFF"/>
                <w:lang w:val="uk-UA"/>
              </w:rPr>
            </w:pPr>
            <w:r>
              <w:rPr>
                <w:rFonts w:ascii="Times New Roman" w:hAnsi="Times New Roman" w:cs="Times New Roman"/>
                <w:b/>
                <w:sz w:val="24"/>
                <w:szCs w:val="28"/>
                <w:shd w:val="solid" w:color="FFFFFF" w:fill="FFFFFF"/>
                <w:lang w:val="uk-UA"/>
              </w:rPr>
              <w:t>Зміст діючого положення</w:t>
            </w:r>
          </w:p>
        </w:tc>
        <w:tc>
          <w:tcPr>
            <w:tcW w:w="4770" w:type="dxa"/>
          </w:tcPr>
          <w:p w14:paraId="44AA4067" w14:textId="77777777" w:rsidR="002C4468" w:rsidRPr="002C4468" w:rsidRDefault="002C4468" w:rsidP="002C4468">
            <w:pPr>
              <w:spacing w:before="120" w:after="120"/>
              <w:ind w:left="34"/>
              <w:jc w:val="center"/>
              <w:rPr>
                <w:rFonts w:ascii="Times New Roman" w:hAnsi="Times New Roman" w:cs="Times New Roman"/>
                <w:b/>
                <w:sz w:val="24"/>
                <w:szCs w:val="28"/>
                <w:shd w:val="solid" w:color="FFFFFF" w:fill="FFFFFF"/>
                <w:lang w:val="uk-UA"/>
              </w:rPr>
            </w:pPr>
            <w:r>
              <w:rPr>
                <w:rFonts w:ascii="Times New Roman" w:hAnsi="Times New Roman" w:cs="Times New Roman"/>
                <w:b/>
                <w:sz w:val="24"/>
                <w:szCs w:val="28"/>
                <w:shd w:val="solid" w:color="FFFFFF" w:fill="FFFFFF"/>
                <w:lang w:val="uk-UA"/>
              </w:rPr>
              <w:t>Запропоновані зміни</w:t>
            </w:r>
          </w:p>
        </w:tc>
        <w:tc>
          <w:tcPr>
            <w:tcW w:w="4405" w:type="dxa"/>
          </w:tcPr>
          <w:p w14:paraId="527590F9" w14:textId="77777777" w:rsidR="002C4468" w:rsidRDefault="002C4468" w:rsidP="002C4468">
            <w:pPr>
              <w:jc w:val="center"/>
              <w:rPr>
                <w:rFonts w:ascii="Times New Roman" w:hAnsi="Times New Roman" w:cs="Times New Roman"/>
                <w:b/>
                <w:sz w:val="24"/>
                <w:szCs w:val="28"/>
                <w:lang w:val="ru-RU"/>
              </w:rPr>
            </w:pPr>
            <w:proofErr w:type="spellStart"/>
            <w:r w:rsidRPr="002C4468">
              <w:rPr>
                <w:rFonts w:ascii="Times New Roman" w:hAnsi="Times New Roman" w:cs="Times New Roman"/>
                <w:b/>
                <w:sz w:val="24"/>
                <w:szCs w:val="28"/>
                <w:lang w:val="ru-RU"/>
              </w:rPr>
              <w:t>Обгрунтування</w:t>
            </w:r>
            <w:proofErr w:type="spellEnd"/>
          </w:p>
          <w:p w14:paraId="03478D55" w14:textId="77777777" w:rsidR="002C4468" w:rsidRPr="002C4468" w:rsidRDefault="002C4468" w:rsidP="002C4468">
            <w:pPr>
              <w:jc w:val="center"/>
              <w:rPr>
                <w:rFonts w:ascii="Times New Roman" w:hAnsi="Times New Roman" w:cs="Times New Roman"/>
                <w:b/>
                <w:sz w:val="24"/>
                <w:szCs w:val="28"/>
                <w:lang w:val="ru-RU"/>
              </w:rPr>
            </w:pPr>
          </w:p>
        </w:tc>
      </w:tr>
      <w:tr w:rsidR="002C4468" w:rsidRPr="002C4468" w14:paraId="6079A997" w14:textId="77777777" w:rsidTr="00602848">
        <w:trPr>
          <w:trHeight w:val="323"/>
        </w:trPr>
        <w:tc>
          <w:tcPr>
            <w:tcW w:w="12950" w:type="dxa"/>
            <w:gridSpan w:val="3"/>
          </w:tcPr>
          <w:p w14:paraId="52CEBEC7" w14:textId="77777777" w:rsidR="002C4468" w:rsidRPr="002C4468" w:rsidRDefault="002C4468" w:rsidP="002C4468">
            <w:pPr>
              <w:tabs>
                <w:tab w:val="left" w:pos="317"/>
              </w:tabs>
              <w:jc w:val="center"/>
              <w:rPr>
                <w:rFonts w:ascii="Times New Roman" w:hAnsi="Times New Roman"/>
                <w:b/>
                <w:sz w:val="24"/>
                <w:szCs w:val="28"/>
                <w:lang w:val="uk-UA" w:eastAsia="ru-RU"/>
              </w:rPr>
            </w:pPr>
            <w:r w:rsidRPr="002C4468">
              <w:rPr>
                <w:rStyle w:val="rvts15"/>
                <w:rFonts w:ascii="Times New Roman" w:hAnsi="Times New Roman"/>
                <w:b/>
                <w:sz w:val="24"/>
                <w:szCs w:val="28"/>
                <w:lang w:val="uk-UA"/>
              </w:rPr>
              <w:t>ПОДАТКОВИЙ КОДЕКС УКРАЇНИ</w:t>
            </w:r>
          </w:p>
        </w:tc>
      </w:tr>
      <w:tr w:rsidR="002C4468" w:rsidRPr="009A3B85" w14:paraId="63E75C08" w14:textId="77777777" w:rsidTr="00602848">
        <w:trPr>
          <w:trHeight w:val="341"/>
        </w:trPr>
        <w:tc>
          <w:tcPr>
            <w:tcW w:w="12950" w:type="dxa"/>
            <w:gridSpan w:val="3"/>
          </w:tcPr>
          <w:p w14:paraId="366BE2C4" w14:textId="77777777" w:rsidR="002C4468" w:rsidRPr="002C4468" w:rsidRDefault="002C4468" w:rsidP="002C4468">
            <w:pPr>
              <w:tabs>
                <w:tab w:val="left" w:pos="317"/>
              </w:tabs>
              <w:spacing w:after="120"/>
              <w:jc w:val="center"/>
              <w:rPr>
                <w:rFonts w:ascii="Times New Roman" w:hAnsi="Times New Roman"/>
                <w:b/>
                <w:sz w:val="24"/>
                <w:szCs w:val="28"/>
                <w:lang w:val="uk-UA" w:eastAsia="ru-RU"/>
              </w:rPr>
            </w:pPr>
            <w:r w:rsidRPr="002C4468">
              <w:rPr>
                <w:rStyle w:val="rvts15"/>
                <w:rFonts w:ascii="Times New Roman" w:hAnsi="Times New Roman"/>
                <w:b/>
                <w:sz w:val="24"/>
                <w:szCs w:val="28"/>
                <w:lang w:val="uk-UA"/>
              </w:rPr>
              <w:t>РОЗДІЛ V. ПОДАТОК НА ДОДАНУ ВАРТІСТЬ</w:t>
            </w:r>
          </w:p>
        </w:tc>
      </w:tr>
      <w:tr w:rsidR="002C4468" w:rsidRPr="009A3B85" w14:paraId="4CDD7BF5" w14:textId="77777777" w:rsidTr="009A3B85">
        <w:trPr>
          <w:trHeight w:val="665"/>
        </w:trPr>
        <w:tc>
          <w:tcPr>
            <w:tcW w:w="3775" w:type="dxa"/>
          </w:tcPr>
          <w:p w14:paraId="3DC28F26" w14:textId="77777777" w:rsidR="002C4468" w:rsidRDefault="002C4468" w:rsidP="002C4468">
            <w:pPr>
              <w:spacing w:before="120" w:after="120"/>
              <w:ind w:left="34"/>
              <w:jc w:val="center"/>
              <w:rPr>
                <w:rFonts w:ascii="Times New Roman" w:hAnsi="Times New Roman" w:cs="Times New Roman"/>
                <w:b/>
                <w:sz w:val="24"/>
                <w:szCs w:val="28"/>
                <w:shd w:val="solid" w:color="FFFFFF" w:fill="FFFFFF"/>
                <w:lang w:val="uk-UA"/>
              </w:rPr>
            </w:pPr>
            <w:r w:rsidRPr="002C4468">
              <w:rPr>
                <w:rFonts w:ascii="Times New Roman" w:hAnsi="Times New Roman" w:cs="Times New Roman"/>
                <w:b/>
                <w:sz w:val="24"/>
                <w:szCs w:val="28"/>
                <w:shd w:val="solid" w:color="FFFFFF" w:fill="FFFFFF"/>
                <w:lang w:val="uk-UA"/>
              </w:rPr>
              <w:t>Стаття 181. Вимоги щодо реєстрації осіб як платників податку</w:t>
            </w:r>
          </w:p>
        </w:tc>
        <w:tc>
          <w:tcPr>
            <w:tcW w:w="4770" w:type="dxa"/>
          </w:tcPr>
          <w:p w14:paraId="6BFA8263" w14:textId="77777777" w:rsidR="002C4468" w:rsidRDefault="002C4468" w:rsidP="002C4468">
            <w:pPr>
              <w:spacing w:before="120" w:after="120"/>
              <w:ind w:left="34"/>
              <w:jc w:val="center"/>
              <w:rPr>
                <w:rFonts w:ascii="Times New Roman" w:hAnsi="Times New Roman" w:cs="Times New Roman"/>
                <w:b/>
                <w:sz w:val="24"/>
                <w:szCs w:val="28"/>
                <w:shd w:val="solid" w:color="FFFFFF" w:fill="FFFFFF"/>
                <w:lang w:val="uk-UA"/>
              </w:rPr>
            </w:pPr>
            <w:r w:rsidRPr="002C4468">
              <w:rPr>
                <w:rFonts w:ascii="Times New Roman" w:hAnsi="Times New Roman" w:cs="Times New Roman"/>
                <w:b/>
                <w:sz w:val="24"/>
                <w:szCs w:val="28"/>
                <w:shd w:val="solid" w:color="FFFFFF" w:fill="FFFFFF"/>
                <w:lang w:val="uk-UA"/>
              </w:rPr>
              <w:t>Стаття 181. Вимоги щодо реєстрації осіб як платників податку</w:t>
            </w:r>
          </w:p>
        </w:tc>
        <w:tc>
          <w:tcPr>
            <w:tcW w:w="4405" w:type="dxa"/>
          </w:tcPr>
          <w:p w14:paraId="04690B27" w14:textId="77777777" w:rsidR="002C4468" w:rsidRDefault="002C4468" w:rsidP="002C4468">
            <w:pPr>
              <w:jc w:val="center"/>
              <w:rPr>
                <w:rFonts w:ascii="Times New Roman" w:hAnsi="Times New Roman" w:cs="Times New Roman"/>
                <w:b/>
                <w:sz w:val="24"/>
                <w:szCs w:val="28"/>
                <w:lang w:val="ru-RU"/>
              </w:rPr>
            </w:pPr>
          </w:p>
        </w:tc>
      </w:tr>
      <w:tr w:rsidR="009A3B85" w:rsidRPr="009A3B85" w14:paraId="4D651316" w14:textId="77777777" w:rsidTr="009A3B85">
        <w:trPr>
          <w:trHeight w:val="648"/>
        </w:trPr>
        <w:tc>
          <w:tcPr>
            <w:tcW w:w="3775" w:type="dxa"/>
          </w:tcPr>
          <w:p w14:paraId="67E946F6" w14:textId="77777777" w:rsidR="009A3B85" w:rsidRPr="002C4468" w:rsidRDefault="009A3B85" w:rsidP="002C4468">
            <w:pPr>
              <w:spacing w:before="120" w:after="120"/>
              <w:ind w:left="34"/>
              <w:jc w:val="both"/>
              <w:rPr>
                <w:rFonts w:ascii="Times New Roman" w:hAnsi="Times New Roman" w:cs="Times New Roman"/>
                <w:sz w:val="24"/>
                <w:szCs w:val="28"/>
                <w:shd w:val="solid" w:color="FFFFFF" w:fill="FFFFFF"/>
                <w:lang w:val="uk-UA"/>
              </w:rPr>
            </w:pPr>
            <w:bookmarkStart w:id="0" w:name="_GoBack"/>
            <w:bookmarkEnd w:id="0"/>
            <w:r w:rsidRPr="002C4468">
              <w:rPr>
                <w:rFonts w:ascii="Times New Roman" w:hAnsi="Times New Roman" w:cs="Times New Roman"/>
                <w:sz w:val="24"/>
                <w:szCs w:val="28"/>
                <w:shd w:val="solid" w:color="FFFFFF" w:fill="FFFFFF"/>
                <w:lang w:val="uk-UA"/>
              </w:rPr>
              <w:t>Норма відсутня</w:t>
            </w:r>
          </w:p>
          <w:p w14:paraId="46E3510E" w14:textId="77777777" w:rsidR="009A3B85" w:rsidRDefault="009A3B85" w:rsidP="002C4468">
            <w:pPr>
              <w:pStyle w:val="rvps2"/>
              <w:tabs>
                <w:tab w:val="left" w:pos="317"/>
              </w:tabs>
              <w:spacing w:before="0" w:beforeAutospacing="0" w:after="0" w:afterAutospacing="0"/>
              <w:jc w:val="both"/>
              <w:rPr>
                <w:bCs/>
                <w:szCs w:val="28"/>
                <w:lang w:val="uk-UA"/>
              </w:rPr>
            </w:pPr>
          </w:p>
          <w:p w14:paraId="1244D399" w14:textId="77777777" w:rsidR="009A3B85" w:rsidRDefault="009A3B85" w:rsidP="002C4468">
            <w:pPr>
              <w:pStyle w:val="rvps2"/>
              <w:tabs>
                <w:tab w:val="left" w:pos="317"/>
              </w:tabs>
              <w:spacing w:before="0" w:beforeAutospacing="0" w:after="0" w:afterAutospacing="0"/>
              <w:jc w:val="both"/>
              <w:rPr>
                <w:bCs/>
                <w:szCs w:val="28"/>
                <w:lang w:val="uk-UA"/>
              </w:rPr>
            </w:pPr>
          </w:p>
          <w:p w14:paraId="59B0CB57" w14:textId="77777777" w:rsidR="009A3B85" w:rsidRDefault="009A3B85" w:rsidP="002C4468">
            <w:pPr>
              <w:pStyle w:val="rvps2"/>
              <w:tabs>
                <w:tab w:val="left" w:pos="317"/>
              </w:tabs>
              <w:spacing w:before="0" w:beforeAutospacing="0" w:after="0" w:afterAutospacing="0"/>
              <w:jc w:val="both"/>
              <w:rPr>
                <w:bCs/>
                <w:szCs w:val="28"/>
                <w:lang w:val="uk-UA"/>
              </w:rPr>
            </w:pPr>
          </w:p>
          <w:p w14:paraId="31AC43AC" w14:textId="77777777" w:rsidR="009A3B85" w:rsidRDefault="009A3B85" w:rsidP="002C4468">
            <w:pPr>
              <w:pStyle w:val="rvps2"/>
              <w:tabs>
                <w:tab w:val="left" w:pos="317"/>
              </w:tabs>
              <w:spacing w:before="0" w:beforeAutospacing="0" w:after="0" w:afterAutospacing="0"/>
              <w:jc w:val="both"/>
              <w:rPr>
                <w:bCs/>
                <w:szCs w:val="28"/>
                <w:lang w:val="uk-UA"/>
              </w:rPr>
            </w:pPr>
          </w:p>
          <w:p w14:paraId="5F67F383" w14:textId="77777777" w:rsidR="009A3B85" w:rsidRDefault="009A3B85" w:rsidP="002C4468">
            <w:pPr>
              <w:pStyle w:val="rvps2"/>
              <w:tabs>
                <w:tab w:val="left" w:pos="317"/>
              </w:tabs>
              <w:spacing w:before="0" w:beforeAutospacing="0" w:after="0" w:afterAutospacing="0"/>
              <w:jc w:val="both"/>
              <w:rPr>
                <w:bCs/>
                <w:szCs w:val="28"/>
                <w:lang w:val="uk-UA"/>
              </w:rPr>
            </w:pPr>
          </w:p>
          <w:p w14:paraId="3DA676D2" w14:textId="77777777" w:rsidR="009A3B85" w:rsidRDefault="009A3B85" w:rsidP="002C4468">
            <w:pPr>
              <w:pStyle w:val="rvps2"/>
              <w:tabs>
                <w:tab w:val="left" w:pos="317"/>
              </w:tabs>
              <w:spacing w:before="0" w:beforeAutospacing="0" w:after="0" w:afterAutospacing="0"/>
              <w:jc w:val="both"/>
              <w:rPr>
                <w:bCs/>
                <w:szCs w:val="28"/>
                <w:lang w:val="uk-UA"/>
              </w:rPr>
            </w:pPr>
          </w:p>
          <w:p w14:paraId="654AB21B" w14:textId="77777777" w:rsidR="009A3B85" w:rsidRDefault="009A3B85" w:rsidP="002C4468">
            <w:pPr>
              <w:pStyle w:val="rvps2"/>
              <w:tabs>
                <w:tab w:val="left" w:pos="317"/>
              </w:tabs>
              <w:spacing w:before="0" w:beforeAutospacing="0" w:after="0" w:afterAutospacing="0"/>
              <w:jc w:val="both"/>
              <w:rPr>
                <w:bCs/>
                <w:szCs w:val="28"/>
                <w:lang w:val="uk-UA"/>
              </w:rPr>
            </w:pPr>
          </w:p>
          <w:p w14:paraId="715BB6AD" w14:textId="77777777" w:rsidR="009A3B85" w:rsidRDefault="009A3B85" w:rsidP="002C4468">
            <w:pPr>
              <w:pStyle w:val="rvps2"/>
              <w:tabs>
                <w:tab w:val="left" w:pos="317"/>
              </w:tabs>
              <w:spacing w:before="0" w:beforeAutospacing="0" w:after="0" w:afterAutospacing="0"/>
              <w:jc w:val="both"/>
              <w:rPr>
                <w:bCs/>
                <w:szCs w:val="28"/>
                <w:lang w:val="uk-UA"/>
              </w:rPr>
            </w:pPr>
          </w:p>
          <w:p w14:paraId="3D0EE282" w14:textId="77777777" w:rsidR="009A3B85" w:rsidRDefault="009A3B85" w:rsidP="002C4468">
            <w:pPr>
              <w:pStyle w:val="rvps2"/>
              <w:tabs>
                <w:tab w:val="left" w:pos="317"/>
              </w:tabs>
              <w:spacing w:before="0" w:beforeAutospacing="0" w:after="0" w:afterAutospacing="0"/>
              <w:jc w:val="both"/>
              <w:rPr>
                <w:bCs/>
                <w:szCs w:val="28"/>
                <w:lang w:val="uk-UA"/>
              </w:rPr>
            </w:pPr>
          </w:p>
          <w:p w14:paraId="4DADD415" w14:textId="77777777" w:rsidR="009A3B85" w:rsidRDefault="009A3B85" w:rsidP="002C4468">
            <w:pPr>
              <w:pStyle w:val="rvps2"/>
              <w:tabs>
                <w:tab w:val="left" w:pos="317"/>
              </w:tabs>
              <w:spacing w:before="0" w:beforeAutospacing="0" w:after="0" w:afterAutospacing="0"/>
              <w:jc w:val="both"/>
              <w:rPr>
                <w:bCs/>
                <w:szCs w:val="28"/>
                <w:lang w:val="uk-UA"/>
              </w:rPr>
            </w:pPr>
          </w:p>
          <w:p w14:paraId="4CEAB9BC" w14:textId="77777777" w:rsidR="009A3B85" w:rsidRDefault="009A3B85" w:rsidP="002C4468">
            <w:pPr>
              <w:pStyle w:val="rvps2"/>
              <w:tabs>
                <w:tab w:val="left" w:pos="317"/>
              </w:tabs>
              <w:spacing w:before="0" w:beforeAutospacing="0" w:after="0" w:afterAutospacing="0"/>
              <w:jc w:val="both"/>
              <w:rPr>
                <w:bCs/>
                <w:szCs w:val="28"/>
                <w:lang w:val="uk-UA"/>
              </w:rPr>
            </w:pPr>
          </w:p>
          <w:p w14:paraId="44B50B49" w14:textId="77777777" w:rsidR="009A3B85" w:rsidRDefault="009A3B85" w:rsidP="002C4468">
            <w:pPr>
              <w:pStyle w:val="rvps2"/>
              <w:tabs>
                <w:tab w:val="left" w:pos="317"/>
              </w:tabs>
              <w:spacing w:before="0" w:beforeAutospacing="0" w:after="0" w:afterAutospacing="0"/>
              <w:jc w:val="both"/>
              <w:rPr>
                <w:bCs/>
                <w:szCs w:val="28"/>
                <w:lang w:val="uk-UA"/>
              </w:rPr>
            </w:pPr>
          </w:p>
          <w:p w14:paraId="4A41E8A1" w14:textId="77777777" w:rsidR="009A3B85" w:rsidRDefault="009A3B85" w:rsidP="002C4468">
            <w:pPr>
              <w:pStyle w:val="rvps2"/>
              <w:tabs>
                <w:tab w:val="left" w:pos="317"/>
              </w:tabs>
              <w:spacing w:before="0" w:beforeAutospacing="0" w:after="0" w:afterAutospacing="0"/>
              <w:jc w:val="both"/>
              <w:rPr>
                <w:bCs/>
                <w:szCs w:val="28"/>
                <w:lang w:val="uk-UA"/>
              </w:rPr>
            </w:pPr>
          </w:p>
          <w:p w14:paraId="031E5D05" w14:textId="77777777" w:rsidR="009A3B85" w:rsidRDefault="009A3B85" w:rsidP="002C4468">
            <w:pPr>
              <w:pStyle w:val="rvps2"/>
              <w:tabs>
                <w:tab w:val="left" w:pos="317"/>
              </w:tabs>
              <w:spacing w:before="0" w:beforeAutospacing="0" w:after="0" w:afterAutospacing="0"/>
              <w:jc w:val="both"/>
              <w:rPr>
                <w:bCs/>
                <w:szCs w:val="28"/>
                <w:lang w:val="uk-UA"/>
              </w:rPr>
            </w:pPr>
          </w:p>
          <w:p w14:paraId="2CC6AF5B" w14:textId="77777777" w:rsidR="009A3B85" w:rsidRDefault="009A3B85" w:rsidP="002C4468">
            <w:pPr>
              <w:pStyle w:val="rvps2"/>
              <w:tabs>
                <w:tab w:val="left" w:pos="317"/>
              </w:tabs>
              <w:spacing w:before="0" w:beforeAutospacing="0" w:after="0" w:afterAutospacing="0"/>
              <w:jc w:val="both"/>
              <w:rPr>
                <w:bCs/>
                <w:szCs w:val="28"/>
                <w:lang w:val="uk-UA"/>
              </w:rPr>
            </w:pPr>
          </w:p>
          <w:p w14:paraId="47E1F953" w14:textId="77777777" w:rsidR="009A3B85" w:rsidRDefault="009A3B85" w:rsidP="002C4468">
            <w:pPr>
              <w:pStyle w:val="rvps2"/>
              <w:tabs>
                <w:tab w:val="left" w:pos="317"/>
              </w:tabs>
              <w:spacing w:before="0" w:beforeAutospacing="0" w:after="0" w:afterAutospacing="0"/>
              <w:jc w:val="both"/>
              <w:rPr>
                <w:bCs/>
                <w:szCs w:val="28"/>
                <w:lang w:val="uk-UA"/>
              </w:rPr>
            </w:pPr>
          </w:p>
          <w:p w14:paraId="4162BD78" w14:textId="77777777" w:rsidR="009A3B85" w:rsidRDefault="009A3B85" w:rsidP="002C4468">
            <w:pPr>
              <w:pStyle w:val="rvps2"/>
              <w:tabs>
                <w:tab w:val="left" w:pos="317"/>
              </w:tabs>
              <w:spacing w:before="0" w:beforeAutospacing="0" w:after="0" w:afterAutospacing="0"/>
              <w:jc w:val="both"/>
              <w:rPr>
                <w:bCs/>
                <w:szCs w:val="28"/>
                <w:lang w:val="uk-UA"/>
              </w:rPr>
            </w:pPr>
          </w:p>
          <w:p w14:paraId="49A4C6FC" w14:textId="77777777" w:rsidR="009A3B85" w:rsidRDefault="009A3B85" w:rsidP="002C4468">
            <w:pPr>
              <w:pStyle w:val="rvps2"/>
              <w:tabs>
                <w:tab w:val="left" w:pos="317"/>
              </w:tabs>
              <w:spacing w:before="0" w:beforeAutospacing="0" w:after="0" w:afterAutospacing="0"/>
              <w:jc w:val="both"/>
              <w:rPr>
                <w:bCs/>
                <w:szCs w:val="28"/>
                <w:lang w:val="uk-UA"/>
              </w:rPr>
            </w:pPr>
          </w:p>
          <w:p w14:paraId="337C7993" w14:textId="77777777" w:rsidR="009A3B85" w:rsidRDefault="009A3B85" w:rsidP="002C4468">
            <w:pPr>
              <w:pStyle w:val="rvps2"/>
              <w:tabs>
                <w:tab w:val="left" w:pos="317"/>
              </w:tabs>
              <w:spacing w:before="0" w:beforeAutospacing="0" w:after="0" w:afterAutospacing="0"/>
              <w:jc w:val="both"/>
              <w:rPr>
                <w:bCs/>
                <w:szCs w:val="28"/>
                <w:lang w:val="uk-UA"/>
              </w:rPr>
            </w:pPr>
          </w:p>
          <w:p w14:paraId="3E03F103" w14:textId="77777777" w:rsidR="009A3B85" w:rsidRDefault="009A3B85" w:rsidP="002C4468">
            <w:pPr>
              <w:pStyle w:val="rvps2"/>
              <w:tabs>
                <w:tab w:val="left" w:pos="317"/>
              </w:tabs>
              <w:spacing w:before="0" w:beforeAutospacing="0" w:after="0" w:afterAutospacing="0"/>
              <w:jc w:val="both"/>
              <w:rPr>
                <w:bCs/>
                <w:szCs w:val="28"/>
                <w:lang w:val="uk-UA"/>
              </w:rPr>
            </w:pPr>
          </w:p>
          <w:p w14:paraId="53661935" w14:textId="77777777" w:rsidR="009A3B85" w:rsidRDefault="009A3B85" w:rsidP="002C4468">
            <w:pPr>
              <w:pStyle w:val="rvps2"/>
              <w:tabs>
                <w:tab w:val="left" w:pos="317"/>
              </w:tabs>
              <w:spacing w:before="0" w:beforeAutospacing="0" w:after="0" w:afterAutospacing="0"/>
              <w:jc w:val="both"/>
              <w:rPr>
                <w:bCs/>
                <w:szCs w:val="28"/>
                <w:lang w:val="uk-UA"/>
              </w:rPr>
            </w:pPr>
          </w:p>
          <w:p w14:paraId="7B5426DA" w14:textId="5BC19F44" w:rsidR="009A3B85" w:rsidRPr="002C4468" w:rsidRDefault="009A3B85" w:rsidP="002C4468">
            <w:pPr>
              <w:pStyle w:val="rvps2"/>
              <w:tabs>
                <w:tab w:val="left" w:pos="317"/>
              </w:tabs>
              <w:spacing w:before="0" w:beforeAutospacing="0" w:after="0" w:afterAutospacing="0"/>
              <w:jc w:val="both"/>
              <w:rPr>
                <w:bCs/>
                <w:szCs w:val="28"/>
                <w:lang w:val="uk-UA"/>
              </w:rPr>
            </w:pPr>
          </w:p>
        </w:tc>
        <w:tc>
          <w:tcPr>
            <w:tcW w:w="4770" w:type="dxa"/>
          </w:tcPr>
          <w:p w14:paraId="66637114" w14:textId="55A559D1" w:rsidR="009A3B85" w:rsidRDefault="009A3B85" w:rsidP="002C4468">
            <w:pPr>
              <w:spacing w:before="120" w:after="120"/>
              <w:jc w:val="both"/>
              <w:rPr>
                <w:rFonts w:ascii="Times New Roman" w:hAnsi="Times New Roman" w:cs="Times New Roman"/>
                <w:sz w:val="24"/>
                <w:szCs w:val="28"/>
                <w:lang w:val="uk-UA" w:eastAsia="ru-RU"/>
              </w:rPr>
            </w:pPr>
            <w:r w:rsidRPr="002C4468">
              <w:rPr>
                <w:rFonts w:ascii="Times New Roman" w:hAnsi="Times New Roman" w:cs="Times New Roman"/>
                <w:sz w:val="24"/>
                <w:szCs w:val="28"/>
                <w:lang w:val="uk-UA" w:eastAsia="ru-RU"/>
              </w:rPr>
              <w:lastRenderedPageBreak/>
              <w:t xml:space="preserve">181.3. У разі якщо особа здійснює одну чи декілька операцій з постачання товарів, що підлягають оподаткуванню згідно з цим розділом, загальна сума (обсяг) яких протягом 30 календарних днів перевищуватиме суму, визначену пунктом 181.1 статті 181 цього Кодексу, то така особа зобов'язана зареєструватися як платник цього податку до початку здійснення таких операції з постачання товарів. Для цілей цього пункту достатньою умовою для обов’язкової реєстрації є придбання товарів для використання в оподатковуваних операціях на суму, що в два чи більше разів перевищує суму, визначену пунктом 181.1 статті 181 цього Кодексу. </w:t>
            </w:r>
          </w:p>
          <w:p w14:paraId="43737779" w14:textId="3FBB40E9" w:rsidR="009A3B85" w:rsidRDefault="009A3B85" w:rsidP="002C4468">
            <w:pPr>
              <w:spacing w:before="120" w:after="120"/>
              <w:jc w:val="both"/>
              <w:rPr>
                <w:rFonts w:ascii="Times New Roman" w:hAnsi="Times New Roman" w:cs="Times New Roman"/>
                <w:sz w:val="24"/>
                <w:szCs w:val="28"/>
                <w:lang w:val="uk-UA" w:eastAsia="ru-RU"/>
              </w:rPr>
            </w:pPr>
          </w:p>
          <w:p w14:paraId="0DB61053" w14:textId="1C9D064A" w:rsidR="009A3B85" w:rsidRDefault="009A3B85" w:rsidP="002C4468">
            <w:pPr>
              <w:spacing w:before="120" w:after="120"/>
              <w:jc w:val="both"/>
              <w:rPr>
                <w:rFonts w:ascii="Times New Roman" w:hAnsi="Times New Roman" w:cs="Times New Roman"/>
                <w:sz w:val="24"/>
                <w:szCs w:val="28"/>
                <w:lang w:val="uk-UA" w:eastAsia="ru-RU"/>
              </w:rPr>
            </w:pPr>
          </w:p>
          <w:p w14:paraId="4F06F8F5" w14:textId="5989B20F" w:rsidR="009A3B85" w:rsidRDefault="009A3B85" w:rsidP="002C4468">
            <w:pPr>
              <w:spacing w:before="120" w:after="120"/>
              <w:jc w:val="both"/>
              <w:rPr>
                <w:rFonts w:ascii="Times New Roman" w:hAnsi="Times New Roman" w:cs="Times New Roman"/>
                <w:sz w:val="24"/>
                <w:szCs w:val="28"/>
                <w:lang w:val="uk-UA" w:eastAsia="ru-RU"/>
              </w:rPr>
            </w:pPr>
          </w:p>
          <w:p w14:paraId="0FF5FE16" w14:textId="77777777" w:rsidR="009A3B85" w:rsidRPr="002C4468" w:rsidRDefault="009A3B85" w:rsidP="002C4468">
            <w:pPr>
              <w:jc w:val="both"/>
              <w:rPr>
                <w:rFonts w:ascii="Times New Roman" w:hAnsi="Times New Roman" w:cs="Times New Roman"/>
                <w:bCs/>
                <w:sz w:val="24"/>
                <w:szCs w:val="28"/>
                <w:lang w:val="uk-UA"/>
              </w:rPr>
            </w:pPr>
          </w:p>
        </w:tc>
        <w:tc>
          <w:tcPr>
            <w:tcW w:w="4405" w:type="dxa"/>
            <w:vMerge w:val="restart"/>
          </w:tcPr>
          <w:p w14:paraId="6B214218" w14:textId="77777777" w:rsidR="009A3B85" w:rsidRPr="002C4468" w:rsidRDefault="009A3B85" w:rsidP="002C4468">
            <w:pPr>
              <w:jc w:val="both"/>
              <w:rPr>
                <w:rFonts w:ascii="Times New Roman" w:hAnsi="Times New Roman" w:cs="Times New Roman"/>
                <w:sz w:val="24"/>
                <w:szCs w:val="28"/>
                <w:lang w:val="ru-RU"/>
              </w:rPr>
            </w:pPr>
            <w:r w:rsidRPr="002C4468">
              <w:rPr>
                <w:rFonts w:ascii="Times New Roman" w:hAnsi="Times New Roman" w:cs="Times New Roman"/>
                <w:sz w:val="24"/>
                <w:szCs w:val="28"/>
                <w:lang w:val="ru-RU"/>
              </w:rPr>
              <w:t xml:space="preserve">На </w:t>
            </w:r>
            <w:proofErr w:type="spellStart"/>
            <w:r w:rsidRPr="002C4468">
              <w:rPr>
                <w:rFonts w:ascii="Times New Roman" w:hAnsi="Times New Roman" w:cs="Times New Roman"/>
                <w:sz w:val="24"/>
                <w:szCs w:val="28"/>
                <w:lang w:val="ru-RU"/>
              </w:rPr>
              <w:t>сьогоднішній</w:t>
            </w:r>
            <w:proofErr w:type="spellEnd"/>
            <w:r w:rsidRPr="002C4468">
              <w:rPr>
                <w:rFonts w:ascii="Times New Roman" w:hAnsi="Times New Roman" w:cs="Times New Roman"/>
                <w:sz w:val="24"/>
                <w:szCs w:val="28"/>
                <w:lang w:val="ru-RU"/>
              </w:rPr>
              <w:t xml:space="preserve"> день через прогалину в </w:t>
            </w:r>
            <w:proofErr w:type="spellStart"/>
            <w:r w:rsidRPr="002C4468">
              <w:rPr>
                <w:rFonts w:ascii="Times New Roman" w:hAnsi="Times New Roman" w:cs="Times New Roman"/>
                <w:sz w:val="24"/>
                <w:szCs w:val="28"/>
                <w:lang w:val="ru-RU"/>
              </w:rPr>
              <w:t>законодавстві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новий</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суб’єкт</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господарювання</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може</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протягом</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місяця</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здійснювати</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операції</w:t>
            </w:r>
            <w:proofErr w:type="spellEnd"/>
            <w:r w:rsidRPr="002C4468">
              <w:rPr>
                <w:rFonts w:ascii="Times New Roman" w:hAnsi="Times New Roman" w:cs="Times New Roman"/>
                <w:sz w:val="24"/>
                <w:szCs w:val="28"/>
                <w:lang w:val="ru-RU"/>
              </w:rPr>
              <w:t xml:space="preserve"> без ПДВ на суму, </w:t>
            </w:r>
            <w:proofErr w:type="spellStart"/>
            <w:r w:rsidRPr="002C4468">
              <w:rPr>
                <w:rFonts w:ascii="Times New Roman" w:hAnsi="Times New Roman" w:cs="Times New Roman"/>
                <w:sz w:val="24"/>
                <w:szCs w:val="28"/>
                <w:lang w:val="ru-RU"/>
              </w:rPr>
              <w:t>що</w:t>
            </w:r>
            <w:proofErr w:type="spellEnd"/>
            <w:r w:rsidRPr="002C4468">
              <w:rPr>
                <w:rFonts w:ascii="Times New Roman" w:hAnsi="Times New Roman" w:cs="Times New Roman"/>
                <w:sz w:val="24"/>
                <w:szCs w:val="28"/>
                <w:lang w:val="ru-RU"/>
              </w:rPr>
              <w:t xml:space="preserve"> в десятки та </w:t>
            </w:r>
            <w:proofErr w:type="spellStart"/>
            <w:r w:rsidRPr="002C4468">
              <w:rPr>
                <w:rFonts w:ascii="Times New Roman" w:hAnsi="Times New Roman" w:cs="Times New Roman"/>
                <w:sz w:val="24"/>
                <w:szCs w:val="28"/>
                <w:lang w:val="ru-RU"/>
              </w:rPr>
              <w:t>сотні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разів</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перевищує</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встановлену</w:t>
            </w:r>
            <w:proofErr w:type="spellEnd"/>
            <w:r w:rsidRPr="002C4468">
              <w:rPr>
                <w:rFonts w:ascii="Times New Roman" w:hAnsi="Times New Roman" w:cs="Times New Roman"/>
                <w:sz w:val="24"/>
                <w:szCs w:val="28"/>
                <w:lang w:val="ru-RU"/>
              </w:rPr>
              <w:t xml:space="preserve"> межу для </w:t>
            </w:r>
            <w:proofErr w:type="spellStart"/>
            <w:r w:rsidRPr="002C4468">
              <w:rPr>
                <w:rFonts w:ascii="Times New Roman" w:hAnsi="Times New Roman" w:cs="Times New Roman"/>
                <w:sz w:val="24"/>
                <w:szCs w:val="28"/>
                <w:lang w:val="ru-RU"/>
              </w:rPr>
              <w:t>обов’язкової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реєстрації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платником</w:t>
            </w:r>
            <w:proofErr w:type="spellEnd"/>
            <w:r w:rsidRPr="002C4468">
              <w:rPr>
                <w:rFonts w:ascii="Times New Roman" w:hAnsi="Times New Roman" w:cs="Times New Roman"/>
                <w:sz w:val="24"/>
                <w:szCs w:val="28"/>
                <w:lang w:val="ru-RU"/>
              </w:rPr>
              <w:t xml:space="preserve"> ПДВ, </w:t>
            </w:r>
            <w:proofErr w:type="spellStart"/>
            <w:r w:rsidRPr="002C4468">
              <w:rPr>
                <w:rFonts w:ascii="Times New Roman" w:hAnsi="Times New Roman" w:cs="Times New Roman"/>
                <w:sz w:val="24"/>
                <w:szCs w:val="28"/>
                <w:lang w:val="ru-RU"/>
              </w:rPr>
              <w:t>відповідно</w:t>
            </w:r>
            <w:proofErr w:type="spellEnd"/>
            <w:r w:rsidRPr="002C4468">
              <w:rPr>
                <w:rFonts w:ascii="Times New Roman" w:hAnsi="Times New Roman" w:cs="Times New Roman"/>
                <w:sz w:val="24"/>
                <w:szCs w:val="28"/>
                <w:lang w:val="ru-RU"/>
              </w:rPr>
              <w:t xml:space="preserve"> таким чином </w:t>
            </w:r>
            <w:proofErr w:type="spellStart"/>
            <w:r w:rsidRPr="002C4468">
              <w:rPr>
                <w:rFonts w:ascii="Times New Roman" w:hAnsi="Times New Roman" w:cs="Times New Roman"/>
                <w:sz w:val="24"/>
                <w:szCs w:val="28"/>
                <w:lang w:val="ru-RU"/>
              </w:rPr>
              <w:t>ухиляючись</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від</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сплати</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податку</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Використовуючи</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цю</w:t>
            </w:r>
            <w:proofErr w:type="spellEnd"/>
            <w:r w:rsidRPr="002C4468">
              <w:rPr>
                <w:rFonts w:ascii="Times New Roman" w:hAnsi="Times New Roman" w:cs="Times New Roman"/>
                <w:sz w:val="24"/>
                <w:szCs w:val="28"/>
                <w:lang w:val="ru-RU"/>
              </w:rPr>
              <w:t xml:space="preserve"> прогалину, </w:t>
            </w:r>
            <w:proofErr w:type="spellStart"/>
            <w:r w:rsidRPr="002C4468">
              <w:rPr>
                <w:rFonts w:ascii="Times New Roman" w:hAnsi="Times New Roman" w:cs="Times New Roman"/>
                <w:sz w:val="24"/>
                <w:szCs w:val="28"/>
                <w:lang w:val="ru-RU"/>
              </w:rPr>
              <w:t>недобросовісні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гравці</w:t>
            </w:r>
            <w:proofErr w:type="spellEnd"/>
            <w:r w:rsidRPr="002C4468">
              <w:rPr>
                <w:rFonts w:ascii="Times New Roman" w:hAnsi="Times New Roman" w:cs="Times New Roman"/>
                <w:sz w:val="24"/>
                <w:szCs w:val="28"/>
                <w:lang w:val="ru-RU"/>
              </w:rPr>
              <w:t xml:space="preserve"> </w:t>
            </w:r>
            <w:r>
              <w:rPr>
                <w:rFonts w:ascii="Times New Roman" w:hAnsi="Times New Roman" w:cs="Times New Roman"/>
                <w:sz w:val="24"/>
                <w:szCs w:val="28"/>
                <w:lang w:val="uk-UA"/>
              </w:rPr>
              <w:t xml:space="preserve">аграрного </w:t>
            </w:r>
            <w:r w:rsidRPr="002C4468">
              <w:rPr>
                <w:rFonts w:ascii="Times New Roman" w:hAnsi="Times New Roman" w:cs="Times New Roman"/>
                <w:sz w:val="24"/>
                <w:szCs w:val="28"/>
                <w:lang w:val="ru-RU"/>
              </w:rPr>
              <w:t xml:space="preserve">ринку </w:t>
            </w:r>
            <w:proofErr w:type="spellStart"/>
            <w:r w:rsidRPr="002C4468">
              <w:rPr>
                <w:rFonts w:ascii="Times New Roman" w:hAnsi="Times New Roman" w:cs="Times New Roman"/>
                <w:sz w:val="24"/>
                <w:szCs w:val="28"/>
                <w:lang w:val="ru-RU"/>
              </w:rPr>
              <w:t>створюють</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одномісячні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компанії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які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здійснюють</w:t>
            </w:r>
            <w:proofErr w:type="spellEnd"/>
            <w:r w:rsidRPr="002C4468">
              <w:rPr>
                <w:rFonts w:ascii="Times New Roman" w:hAnsi="Times New Roman" w:cs="Times New Roman"/>
                <w:sz w:val="24"/>
                <w:szCs w:val="28"/>
                <w:lang w:val="ru-RU"/>
              </w:rPr>
              <w:t xml:space="preserve"> свою </w:t>
            </w:r>
            <w:proofErr w:type="spellStart"/>
            <w:r w:rsidRPr="002C4468">
              <w:rPr>
                <w:rFonts w:ascii="Times New Roman" w:hAnsi="Times New Roman" w:cs="Times New Roman"/>
                <w:sz w:val="24"/>
                <w:szCs w:val="28"/>
                <w:lang w:val="ru-RU"/>
              </w:rPr>
              <w:t>діяльність</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лише</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протягом</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цього</w:t>
            </w:r>
            <w:proofErr w:type="spellEnd"/>
            <w:r w:rsidRPr="002C4468">
              <w:rPr>
                <w:rFonts w:ascii="Times New Roman" w:hAnsi="Times New Roman" w:cs="Times New Roman"/>
                <w:sz w:val="24"/>
                <w:szCs w:val="28"/>
                <w:lang w:val="ru-RU"/>
              </w:rPr>
              <w:t xml:space="preserve"> короткого </w:t>
            </w:r>
            <w:proofErr w:type="spellStart"/>
            <w:r w:rsidRPr="002C4468">
              <w:rPr>
                <w:rFonts w:ascii="Times New Roman" w:hAnsi="Times New Roman" w:cs="Times New Roman"/>
                <w:sz w:val="24"/>
                <w:szCs w:val="28"/>
                <w:lang w:val="ru-RU"/>
              </w:rPr>
              <w:t>періоду</w:t>
            </w:r>
            <w:proofErr w:type="spellEnd"/>
            <w:r w:rsidRPr="002C4468">
              <w:rPr>
                <w:rFonts w:ascii="Times New Roman" w:hAnsi="Times New Roman" w:cs="Times New Roman"/>
                <w:sz w:val="24"/>
                <w:szCs w:val="28"/>
                <w:lang w:val="ru-RU"/>
              </w:rPr>
              <w:t xml:space="preserve"> та </w:t>
            </w:r>
            <w:proofErr w:type="spellStart"/>
            <w:r w:rsidRPr="002C4468">
              <w:rPr>
                <w:rFonts w:ascii="Times New Roman" w:hAnsi="Times New Roman" w:cs="Times New Roman"/>
                <w:sz w:val="24"/>
                <w:szCs w:val="28"/>
                <w:lang w:val="ru-RU"/>
              </w:rPr>
              <w:t>торгують</w:t>
            </w:r>
            <w:proofErr w:type="spellEnd"/>
            <w:r w:rsidRPr="002C4468">
              <w:rPr>
                <w:rFonts w:ascii="Times New Roman" w:hAnsi="Times New Roman" w:cs="Times New Roman"/>
                <w:sz w:val="24"/>
                <w:szCs w:val="28"/>
                <w:lang w:val="ru-RU"/>
              </w:rPr>
              <w:t xml:space="preserve"> товаром без ПДВ. </w:t>
            </w:r>
          </w:p>
          <w:p w14:paraId="4ED019ED" w14:textId="77777777" w:rsidR="009A3B85" w:rsidRDefault="009A3B85" w:rsidP="002C4468">
            <w:pPr>
              <w:jc w:val="both"/>
              <w:rPr>
                <w:rFonts w:ascii="Times New Roman" w:hAnsi="Times New Roman" w:cs="Times New Roman"/>
                <w:sz w:val="24"/>
                <w:szCs w:val="28"/>
                <w:lang w:val="ru-RU"/>
              </w:rPr>
            </w:pPr>
            <w:proofErr w:type="spellStart"/>
            <w:r w:rsidRPr="002C4468">
              <w:rPr>
                <w:rFonts w:ascii="Times New Roman" w:hAnsi="Times New Roman" w:cs="Times New Roman"/>
                <w:sz w:val="24"/>
                <w:szCs w:val="28"/>
                <w:lang w:val="ru-RU"/>
              </w:rPr>
              <w:t>З</w:t>
            </w:r>
            <w:r>
              <w:rPr>
                <w:rFonts w:ascii="Times New Roman" w:hAnsi="Times New Roman" w:cs="Times New Roman"/>
                <w:sz w:val="24"/>
                <w:szCs w:val="28"/>
                <w:lang w:val="ru-RU"/>
              </w:rPr>
              <w:t>апропоновані</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зміни</w:t>
            </w:r>
            <w:proofErr w:type="spellEnd"/>
            <w:r>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покликані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ліквідувати</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цю</w:t>
            </w:r>
            <w:proofErr w:type="spellEnd"/>
            <w:r w:rsidRPr="002C4468">
              <w:rPr>
                <w:rFonts w:ascii="Times New Roman" w:hAnsi="Times New Roman" w:cs="Times New Roman"/>
                <w:sz w:val="24"/>
                <w:szCs w:val="28"/>
                <w:lang w:val="ru-RU"/>
              </w:rPr>
              <w:t xml:space="preserve"> прогалину та </w:t>
            </w:r>
            <w:proofErr w:type="spellStart"/>
            <w:r w:rsidRPr="002C4468">
              <w:rPr>
                <w:rFonts w:ascii="Times New Roman" w:hAnsi="Times New Roman" w:cs="Times New Roman"/>
                <w:sz w:val="24"/>
                <w:szCs w:val="28"/>
                <w:lang w:val="ru-RU"/>
              </w:rPr>
              <w:t>запровадити</w:t>
            </w:r>
            <w:proofErr w:type="spellEnd"/>
            <w:r w:rsidRPr="002C4468">
              <w:rPr>
                <w:rFonts w:ascii="Times New Roman" w:hAnsi="Times New Roman" w:cs="Times New Roman"/>
                <w:sz w:val="24"/>
                <w:szCs w:val="28"/>
                <w:lang w:val="ru-RU"/>
              </w:rPr>
              <w:t xml:space="preserve"> принцип </w:t>
            </w:r>
            <w:proofErr w:type="spellStart"/>
            <w:r w:rsidRPr="002C4468">
              <w:rPr>
                <w:rFonts w:ascii="Times New Roman" w:hAnsi="Times New Roman" w:cs="Times New Roman"/>
                <w:sz w:val="24"/>
                <w:szCs w:val="28"/>
                <w:lang w:val="ru-RU"/>
              </w:rPr>
              <w:t>обов’язкової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реєстрації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платником</w:t>
            </w:r>
            <w:proofErr w:type="spellEnd"/>
            <w:r w:rsidRPr="002C4468">
              <w:rPr>
                <w:rFonts w:ascii="Times New Roman" w:hAnsi="Times New Roman" w:cs="Times New Roman"/>
                <w:sz w:val="24"/>
                <w:szCs w:val="28"/>
                <w:lang w:val="ru-RU"/>
              </w:rPr>
              <w:t xml:space="preserve"> ПДВ до моменту </w:t>
            </w:r>
            <w:proofErr w:type="spellStart"/>
            <w:r w:rsidRPr="002C4468">
              <w:rPr>
                <w:rFonts w:ascii="Times New Roman" w:hAnsi="Times New Roman" w:cs="Times New Roman"/>
                <w:sz w:val="24"/>
                <w:szCs w:val="28"/>
                <w:lang w:val="ru-RU"/>
              </w:rPr>
              <w:t>здійснення</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операції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що</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перевищує</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встановлені</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межі</w:t>
            </w:r>
            <w:proofErr w:type="spellEnd"/>
            <w:r w:rsidRPr="002C4468">
              <w:rPr>
                <w:rFonts w:ascii="Times New Roman" w:hAnsi="Times New Roman" w:cs="Times New Roman"/>
                <w:sz w:val="24"/>
                <w:szCs w:val="28"/>
                <w:lang w:val="ru-RU"/>
              </w:rPr>
              <w:t xml:space="preserve"> для </w:t>
            </w:r>
            <w:proofErr w:type="spellStart"/>
            <w:r w:rsidRPr="002C4468">
              <w:rPr>
                <w:rFonts w:ascii="Times New Roman" w:hAnsi="Times New Roman" w:cs="Times New Roman"/>
                <w:sz w:val="24"/>
                <w:szCs w:val="28"/>
                <w:lang w:val="ru-RU"/>
              </w:rPr>
              <w:t>обов’язкової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реєстрації</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платником</w:t>
            </w:r>
            <w:proofErr w:type="spellEnd"/>
            <w:r w:rsidRPr="002C4468">
              <w:rPr>
                <w:rFonts w:ascii="Times New Roman" w:hAnsi="Times New Roman" w:cs="Times New Roman"/>
                <w:sz w:val="24"/>
                <w:szCs w:val="28"/>
                <w:lang w:val="ru-RU"/>
              </w:rPr>
              <w:t xml:space="preserve"> ПДВ. </w:t>
            </w:r>
            <w:proofErr w:type="spellStart"/>
            <w:r w:rsidRPr="002C4468">
              <w:rPr>
                <w:rFonts w:ascii="Times New Roman" w:hAnsi="Times New Roman" w:cs="Times New Roman"/>
                <w:sz w:val="24"/>
                <w:szCs w:val="28"/>
                <w:lang w:val="ru-RU"/>
              </w:rPr>
              <w:t>Відповідно</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lastRenderedPageBreak/>
              <w:t>існування</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одномісячних</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компаній</w:t>
            </w:r>
            <w:proofErr w:type="spellEnd"/>
            <w:r w:rsidRPr="002C4468">
              <w:rPr>
                <w:rFonts w:ascii="Times New Roman" w:hAnsi="Times New Roman" w:cs="Times New Roman"/>
                <w:sz w:val="24"/>
                <w:szCs w:val="28"/>
                <w:lang w:val="ru-RU"/>
              </w:rPr>
              <w:t xml:space="preserve">» буде прямо </w:t>
            </w:r>
            <w:proofErr w:type="spellStart"/>
            <w:r w:rsidRPr="002C4468">
              <w:rPr>
                <w:rFonts w:ascii="Times New Roman" w:hAnsi="Times New Roman" w:cs="Times New Roman"/>
                <w:sz w:val="24"/>
                <w:szCs w:val="28"/>
                <w:lang w:val="ru-RU"/>
              </w:rPr>
              <w:t>протирічити</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законодавству</w:t>
            </w:r>
            <w:proofErr w:type="spellEnd"/>
            <w:r w:rsidRPr="002C4468">
              <w:rPr>
                <w:rFonts w:ascii="Times New Roman" w:hAnsi="Times New Roman" w:cs="Times New Roman"/>
                <w:sz w:val="24"/>
                <w:szCs w:val="28"/>
                <w:lang w:val="ru-RU"/>
              </w:rPr>
              <w:t xml:space="preserve"> та </w:t>
            </w:r>
            <w:proofErr w:type="spellStart"/>
            <w:r w:rsidRPr="002C4468">
              <w:rPr>
                <w:rFonts w:ascii="Times New Roman" w:hAnsi="Times New Roman" w:cs="Times New Roman"/>
                <w:sz w:val="24"/>
                <w:szCs w:val="28"/>
                <w:lang w:val="ru-RU"/>
              </w:rPr>
              <w:t>запровадить</w:t>
            </w:r>
            <w:proofErr w:type="spellEnd"/>
            <w:r w:rsidRPr="002C4468">
              <w:rPr>
                <w:rFonts w:ascii="Times New Roman" w:hAnsi="Times New Roman" w:cs="Times New Roman"/>
                <w:sz w:val="24"/>
                <w:szCs w:val="28"/>
                <w:lang w:val="ru-RU"/>
              </w:rPr>
              <w:t xml:space="preserve"> основу для </w:t>
            </w:r>
            <w:proofErr w:type="spellStart"/>
            <w:r w:rsidRPr="002C4468">
              <w:rPr>
                <w:rFonts w:ascii="Times New Roman" w:hAnsi="Times New Roman" w:cs="Times New Roman"/>
                <w:sz w:val="24"/>
                <w:szCs w:val="28"/>
                <w:lang w:val="ru-RU"/>
              </w:rPr>
              <w:t>притягнення</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їх</w:t>
            </w:r>
            <w:proofErr w:type="spellEnd"/>
            <w:r w:rsidRPr="002C4468">
              <w:rPr>
                <w:rFonts w:ascii="Times New Roman" w:hAnsi="Times New Roman" w:cs="Times New Roman"/>
                <w:sz w:val="24"/>
                <w:szCs w:val="28"/>
                <w:lang w:val="ru-RU"/>
              </w:rPr>
              <w:t xml:space="preserve"> до </w:t>
            </w:r>
            <w:proofErr w:type="spellStart"/>
            <w:r w:rsidRPr="002C4468">
              <w:rPr>
                <w:rFonts w:ascii="Times New Roman" w:hAnsi="Times New Roman" w:cs="Times New Roman"/>
                <w:sz w:val="24"/>
                <w:szCs w:val="28"/>
                <w:lang w:val="ru-RU"/>
              </w:rPr>
              <w:t>відповідальності</w:t>
            </w:r>
            <w:proofErr w:type="spellEnd"/>
            <w:r w:rsidRPr="002C4468">
              <w:rPr>
                <w:rFonts w:ascii="Times New Roman" w:hAnsi="Times New Roman" w:cs="Times New Roman"/>
                <w:sz w:val="24"/>
                <w:szCs w:val="28"/>
                <w:lang w:val="ru-RU"/>
              </w:rPr>
              <w:t xml:space="preserve"> за </w:t>
            </w:r>
            <w:proofErr w:type="spellStart"/>
            <w:r w:rsidRPr="002C4468">
              <w:rPr>
                <w:rFonts w:ascii="Times New Roman" w:hAnsi="Times New Roman" w:cs="Times New Roman"/>
                <w:sz w:val="24"/>
                <w:szCs w:val="28"/>
                <w:lang w:val="ru-RU"/>
              </w:rPr>
              <w:t>ухилення</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від</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сплати</w:t>
            </w:r>
            <w:proofErr w:type="spellEnd"/>
            <w:r w:rsidRPr="002C4468">
              <w:rPr>
                <w:rFonts w:ascii="Times New Roman" w:hAnsi="Times New Roman" w:cs="Times New Roman"/>
                <w:sz w:val="24"/>
                <w:szCs w:val="28"/>
                <w:lang w:val="ru-RU"/>
              </w:rPr>
              <w:t xml:space="preserve"> </w:t>
            </w:r>
            <w:proofErr w:type="spellStart"/>
            <w:r w:rsidRPr="002C4468">
              <w:rPr>
                <w:rFonts w:ascii="Times New Roman" w:hAnsi="Times New Roman" w:cs="Times New Roman"/>
                <w:sz w:val="24"/>
                <w:szCs w:val="28"/>
                <w:lang w:val="ru-RU"/>
              </w:rPr>
              <w:t>податку</w:t>
            </w:r>
            <w:proofErr w:type="spellEnd"/>
            <w:r w:rsidRPr="002C4468">
              <w:rPr>
                <w:rFonts w:ascii="Times New Roman" w:hAnsi="Times New Roman" w:cs="Times New Roman"/>
                <w:sz w:val="24"/>
                <w:szCs w:val="28"/>
                <w:lang w:val="ru-RU"/>
              </w:rPr>
              <w:t>.</w:t>
            </w:r>
          </w:p>
          <w:p w14:paraId="75F18415" w14:textId="45127B49" w:rsidR="009A3B85" w:rsidRPr="009A3B85" w:rsidRDefault="009A3B85" w:rsidP="002C4468">
            <w:pPr>
              <w:jc w:val="both"/>
              <w:rPr>
                <w:rFonts w:ascii="Times New Roman" w:hAnsi="Times New Roman" w:cs="Times New Roman"/>
                <w:sz w:val="24"/>
                <w:szCs w:val="28"/>
                <w:lang w:val="ru-RU"/>
              </w:rPr>
            </w:pPr>
          </w:p>
        </w:tc>
      </w:tr>
      <w:tr w:rsidR="009A3B85" w:rsidRPr="009A3B85" w14:paraId="24B83749" w14:textId="77777777" w:rsidTr="009A3B85">
        <w:trPr>
          <w:trHeight w:val="540"/>
        </w:trPr>
        <w:tc>
          <w:tcPr>
            <w:tcW w:w="3775" w:type="dxa"/>
          </w:tcPr>
          <w:p w14:paraId="773EB1B5" w14:textId="1623D948" w:rsidR="009A3B85" w:rsidRPr="009A3B85" w:rsidRDefault="009A3B85" w:rsidP="009A3B85">
            <w:pPr>
              <w:pStyle w:val="rvps2"/>
              <w:tabs>
                <w:tab w:val="left" w:pos="317"/>
              </w:tabs>
              <w:spacing w:before="0" w:after="0"/>
              <w:jc w:val="center"/>
              <w:rPr>
                <w:szCs w:val="28"/>
                <w:shd w:val="solid" w:color="FFFFFF" w:fill="FFFFFF"/>
                <w:lang w:val="uk-UA"/>
              </w:rPr>
            </w:pPr>
            <w:r w:rsidRPr="009A3B85">
              <w:rPr>
                <w:b/>
                <w:szCs w:val="28"/>
                <w:shd w:val="solid" w:color="FFFFFF" w:fill="FFFFFF"/>
                <w:lang w:val="uk-UA"/>
              </w:rPr>
              <w:lastRenderedPageBreak/>
              <w:t>Стаття 183. Порядок реєстрації платників податку</w:t>
            </w:r>
          </w:p>
        </w:tc>
        <w:tc>
          <w:tcPr>
            <w:tcW w:w="4770" w:type="dxa"/>
          </w:tcPr>
          <w:p w14:paraId="3B34537B" w14:textId="78535DCB" w:rsidR="009A3B85" w:rsidRPr="009A3B85" w:rsidRDefault="009A3B85" w:rsidP="009A3B85">
            <w:pPr>
              <w:jc w:val="center"/>
              <w:rPr>
                <w:rFonts w:ascii="Times New Roman" w:hAnsi="Times New Roman" w:cs="Times New Roman"/>
                <w:sz w:val="24"/>
                <w:szCs w:val="28"/>
                <w:lang w:val="uk-UA" w:eastAsia="ru-RU"/>
              </w:rPr>
            </w:pPr>
            <w:r w:rsidRPr="009A3B85">
              <w:rPr>
                <w:rFonts w:ascii="Times New Roman" w:hAnsi="Times New Roman"/>
                <w:b/>
                <w:sz w:val="24"/>
                <w:szCs w:val="28"/>
                <w:shd w:val="solid" w:color="FFFFFF" w:fill="FFFFFF"/>
                <w:lang w:val="uk-UA"/>
              </w:rPr>
              <w:t>Стаття 183. Порядок реєстрації платників податку</w:t>
            </w:r>
          </w:p>
        </w:tc>
        <w:tc>
          <w:tcPr>
            <w:tcW w:w="4405" w:type="dxa"/>
            <w:vMerge/>
          </w:tcPr>
          <w:p w14:paraId="617370B8" w14:textId="661BAE3E" w:rsidR="009A3B85" w:rsidRPr="009A3B85" w:rsidRDefault="009A3B85" w:rsidP="009A3B85">
            <w:pPr>
              <w:jc w:val="both"/>
              <w:rPr>
                <w:rFonts w:ascii="Times New Roman" w:hAnsi="Times New Roman" w:cs="Times New Roman"/>
                <w:sz w:val="24"/>
                <w:szCs w:val="28"/>
                <w:lang w:val="ru-RU"/>
              </w:rPr>
            </w:pPr>
          </w:p>
        </w:tc>
      </w:tr>
      <w:tr w:rsidR="009A3B85" w:rsidRPr="009A3B85" w14:paraId="5DC2DA82" w14:textId="77777777" w:rsidTr="009A3B85">
        <w:trPr>
          <w:trHeight w:val="660"/>
        </w:trPr>
        <w:tc>
          <w:tcPr>
            <w:tcW w:w="3775" w:type="dxa"/>
          </w:tcPr>
          <w:p w14:paraId="125A2B84" w14:textId="31422F41" w:rsidR="009A3B85" w:rsidRPr="009A3B85" w:rsidRDefault="009A3B85" w:rsidP="009A3B85">
            <w:pPr>
              <w:pStyle w:val="rvps2"/>
              <w:tabs>
                <w:tab w:val="left" w:pos="317"/>
              </w:tabs>
              <w:spacing w:before="0" w:after="0"/>
              <w:jc w:val="both"/>
              <w:rPr>
                <w:bCs/>
                <w:szCs w:val="28"/>
                <w:lang w:val="uk-UA"/>
              </w:rPr>
            </w:pPr>
            <w:r w:rsidRPr="009A3B85">
              <w:rPr>
                <w:szCs w:val="28"/>
                <w:shd w:val="solid" w:color="FFFFFF" w:fill="FFFFFF"/>
                <w:lang w:val="uk-UA"/>
              </w:rPr>
              <w:t>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w:t>
            </w:r>
          </w:p>
        </w:tc>
        <w:tc>
          <w:tcPr>
            <w:tcW w:w="4770" w:type="dxa"/>
          </w:tcPr>
          <w:p w14:paraId="28441C4E" w14:textId="531BA9DA" w:rsidR="009A3B85" w:rsidRPr="009A3B85" w:rsidRDefault="009A3B85" w:rsidP="009A3B85">
            <w:pPr>
              <w:jc w:val="both"/>
              <w:rPr>
                <w:rFonts w:ascii="Times New Roman" w:hAnsi="Times New Roman" w:cs="Times New Roman"/>
                <w:sz w:val="24"/>
                <w:szCs w:val="28"/>
                <w:lang w:val="uk-UA" w:eastAsia="ru-RU"/>
              </w:rPr>
            </w:pPr>
            <w:r w:rsidRPr="009A3B85">
              <w:rPr>
                <w:rFonts w:ascii="Times New Roman" w:hAnsi="Times New Roman"/>
                <w:sz w:val="24"/>
                <w:szCs w:val="28"/>
                <w:lang w:val="uk-UA" w:eastAsia="ru-RU"/>
              </w:rPr>
              <w:t xml:space="preserve">183.2. У разі обов'язкової реєстрації особи як платника податку реєстраційна заява подається до контролюючого органу не пізніше 10 числа календарного місяця, що настає за місяцем, в якому вперше досягнуто обсягу оподатковуваних операцій, визначеного у статті 181 цього Кодексу. </w:t>
            </w:r>
            <w:bookmarkStart w:id="1" w:name="_Hlk514169594"/>
            <w:r w:rsidRPr="009A3B85">
              <w:rPr>
                <w:rFonts w:ascii="Times New Roman" w:hAnsi="Times New Roman"/>
                <w:b/>
                <w:sz w:val="24"/>
                <w:szCs w:val="28"/>
                <w:lang w:val="uk-UA" w:eastAsia="ru-RU"/>
              </w:rPr>
              <w:t>У разі обов'язкової реєстрації особи як платника податку на підставі пункту 181.3 статті 181 цього Кодексу реєстраційна заява подається до контролюючого органу на дату укладання угоди (угод), на підставі якої (яких) буде здійснюватися постачання товарів, але не пізніше ніж за 4 робочі дні до будь-якої з подій, що сталася раніше: дати відвантаження товарів або дати зарахування на банківський рахунок платника податку коштів в оплату за такий товар;  у випадку постачання товарів без укладення угоди - не пізніше ніж за 4 робочі дні до дати</w:t>
            </w:r>
            <w:r w:rsidRPr="009A3B85" w:rsidDel="00373BA2">
              <w:rPr>
                <w:rFonts w:ascii="Times New Roman" w:hAnsi="Times New Roman"/>
                <w:b/>
                <w:sz w:val="24"/>
                <w:szCs w:val="28"/>
                <w:lang w:val="uk-UA" w:eastAsia="ru-RU"/>
              </w:rPr>
              <w:t xml:space="preserve"> </w:t>
            </w:r>
            <w:r w:rsidRPr="009A3B85">
              <w:rPr>
                <w:rFonts w:ascii="Times New Roman" w:hAnsi="Times New Roman"/>
                <w:b/>
                <w:sz w:val="24"/>
                <w:szCs w:val="28"/>
                <w:lang w:val="uk-UA" w:eastAsia="ru-RU"/>
              </w:rPr>
              <w:t xml:space="preserve">будь-якої з подій, що сталася раніше: дати відвантаження товарів або дати зарахування на банківський рахунок платника податку коштів в оплату за такий товар. </w:t>
            </w:r>
            <w:bookmarkEnd w:id="1"/>
          </w:p>
        </w:tc>
        <w:tc>
          <w:tcPr>
            <w:tcW w:w="4405" w:type="dxa"/>
            <w:vMerge/>
          </w:tcPr>
          <w:p w14:paraId="57FE9C66" w14:textId="4EF86873" w:rsidR="009A3B85" w:rsidRPr="009A3B85" w:rsidRDefault="009A3B85" w:rsidP="009A3B85">
            <w:pPr>
              <w:jc w:val="both"/>
              <w:rPr>
                <w:rFonts w:ascii="Times New Roman" w:hAnsi="Times New Roman" w:cs="Times New Roman"/>
                <w:sz w:val="24"/>
                <w:szCs w:val="28"/>
                <w:lang w:val="ru-RU"/>
              </w:rPr>
            </w:pPr>
          </w:p>
        </w:tc>
      </w:tr>
    </w:tbl>
    <w:p w14:paraId="399A1DC4" w14:textId="77777777" w:rsidR="003E49FB" w:rsidRPr="002C4468" w:rsidRDefault="003E49FB">
      <w:pPr>
        <w:rPr>
          <w:lang w:val="uk-UA"/>
        </w:rPr>
      </w:pPr>
    </w:p>
    <w:sectPr w:rsidR="003E49FB" w:rsidRPr="002C4468" w:rsidSect="002C44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68"/>
    <w:rsid w:val="002C4468"/>
    <w:rsid w:val="003E49FB"/>
    <w:rsid w:val="00602848"/>
    <w:rsid w:val="009A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5C66"/>
  <w15:chartTrackingRefBased/>
  <w15:docId w15:val="{2BA3663E-4BA2-41BC-AE12-E4B37671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9A3B85"/>
    <w:pPr>
      <w:keepNext/>
      <w:keepLines/>
      <w:spacing w:before="240" w:after="0"/>
      <w:outlineLvl w:val="0"/>
    </w:pPr>
    <w:rPr>
      <w:rFonts w:ascii="Calibri Light" w:eastAsia="Times New Roman" w:hAnsi="Calibri Light" w:cs="Times New Roman"/>
      <w:color w:val="2E74B5"/>
      <w:sz w:val="32"/>
      <w:szCs w:val="32"/>
      <w:lang w:val="ru-RU"/>
    </w:rPr>
  </w:style>
  <w:style w:type="paragraph" w:styleId="Heading2">
    <w:name w:val="heading 2"/>
    <w:basedOn w:val="Normal"/>
    <w:next w:val="Normal"/>
    <w:link w:val="Heading2Char"/>
    <w:uiPriority w:val="99"/>
    <w:qFormat/>
    <w:rsid w:val="009A3B85"/>
    <w:pPr>
      <w:keepNext/>
      <w:keepLines/>
      <w:spacing w:before="40" w:after="0"/>
      <w:outlineLvl w:val="1"/>
    </w:pPr>
    <w:rPr>
      <w:rFonts w:ascii="Calibri Light" w:eastAsia="Times New Roman" w:hAnsi="Calibri Light" w:cs="Times New Roman"/>
      <w:color w:val="2E74B5"/>
      <w:sz w:val="2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Normal"/>
    <w:rsid w:val="002C44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DefaultParagraphFont"/>
    <w:uiPriority w:val="99"/>
    <w:rsid w:val="002C4468"/>
    <w:rPr>
      <w:rFonts w:cs="Times New Roman"/>
    </w:rPr>
  </w:style>
  <w:style w:type="character" w:customStyle="1" w:styleId="Heading1Char">
    <w:name w:val="Heading 1 Char"/>
    <w:basedOn w:val="DefaultParagraphFont"/>
    <w:link w:val="Heading1"/>
    <w:uiPriority w:val="99"/>
    <w:rsid w:val="009A3B85"/>
    <w:rPr>
      <w:rFonts w:ascii="Calibri Light" w:eastAsia="Times New Roman" w:hAnsi="Calibri Light" w:cs="Times New Roman"/>
      <w:color w:val="2E74B5"/>
      <w:sz w:val="32"/>
      <w:szCs w:val="32"/>
      <w:lang w:val="ru-RU"/>
    </w:rPr>
  </w:style>
  <w:style w:type="character" w:customStyle="1" w:styleId="Heading2Char">
    <w:name w:val="Heading 2 Char"/>
    <w:basedOn w:val="DefaultParagraphFont"/>
    <w:link w:val="Heading2"/>
    <w:uiPriority w:val="99"/>
    <w:rsid w:val="009A3B85"/>
    <w:rPr>
      <w:rFonts w:ascii="Calibri Light" w:eastAsia="Times New Roman" w:hAnsi="Calibri Light" w:cs="Times New Roman"/>
      <w:color w:val="2E74B5"/>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Goncharenko</dc:creator>
  <cp:keywords/>
  <dc:description/>
  <cp:lastModifiedBy>Mariia Goncharenko</cp:lastModifiedBy>
  <cp:revision>2</cp:revision>
  <dcterms:created xsi:type="dcterms:W3CDTF">2018-09-11T13:41:00Z</dcterms:created>
  <dcterms:modified xsi:type="dcterms:W3CDTF">2018-09-12T07:07:00Z</dcterms:modified>
</cp:coreProperties>
</file>