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CF" w:rsidRPr="008F6E37" w:rsidRDefault="005204CF">
      <w:pPr>
        <w:rPr>
          <w:szCs w:val="28"/>
          <w:lang w:val="uk-UA"/>
        </w:rPr>
      </w:pPr>
    </w:p>
    <w:p w:rsidR="0049420C" w:rsidRDefault="004B21E2" w:rsidP="004B21E2">
      <w:pPr>
        <w:jc w:val="center"/>
        <w:rPr>
          <w:b/>
          <w:szCs w:val="28"/>
          <w:lang w:val="uk-UA"/>
        </w:rPr>
      </w:pPr>
      <w:r w:rsidRPr="0049420C">
        <w:rPr>
          <w:b/>
          <w:szCs w:val="28"/>
          <w:lang w:val="uk-UA"/>
        </w:rPr>
        <w:t xml:space="preserve">Пропозиції </w:t>
      </w:r>
    </w:p>
    <w:p w:rsidR="00F9629E" w:rsidRPr="0049420C" w:rsidRDefault="004B21E2" w:rsidP="004B21E2">
      <w:pPr>
        <w:jc w:val="center"/>
        <w:rPr>
          <w:b/>
          <w:szCs w:val="28"/>
          <w:lang w:val="uk-UA"/>
        </w:rPr>
      </w:pPr>
      <w:r w:rsidRPr="0049420C">
        <w:rPr>
          <w:b/>
          <w:szCs w:val="28"/>
          <w:lang w:val="uk-UA"/>
        </w:rPr>
        <w:t xml:space="preserve">щодо внесення змін до </w:t>
      </w:r>
      <w:r w:rsidR="00F9629E" w:rsidRPr="0049420C">
        <w:rPr>
          <w:b/>
          <w:szCs w:val="28"/>
          <w:lang w:val="uk-UA"/>
        </w:rPr>
        <w:t xml:space="preserve">Податкового кодексу України </w:t>
      </w:r>
    </w:p>
    <w:p w:rsidR="004B21E2" w:rsidRPr="0049420C" w:rsidRDefault="00F9629E" w:rsidP="004B21E2">
      <w:pPr>
        <w:jc w:val="center"/>
        <w:rPr>
          <w:b/>
          <w:szCs w:val="28"/>
          <w:lang w:val="uk-UA"/>
        </w:rPr>
      </w:pPr>
      <w:r w:rsidRPr="0049420C">
        <w:rPr>
          <w:b/>
          <w:szCs w:val="28"/>
          <w:lang w:val="uk-UA"/>
        </w:rPr>
        <w:t>для уникнення помилок при застосуванні формули в СЕА ПДВ</w:t>
      </w:r>
    </w:p>
    <w:p w:rsidR="004B21E2" w:rsidRPr="008F6E37" w:rsidRDefault="004B21E2">
      <w:pPr>
        <w:rPr>
          <w:szCs w:val="28"/>
          <w:lang w:val="uk-UA"/>
        </w:rPr>
      </w:pPr>
    </w:p>
    <w:tbl>
      <w:tblPr>
        <w:tblStyle w:val="a3"/>
        <w:tblW w:w="0" w:type="auto"/>
        <w:tblLook w:val="04A0" w:firstRow="1" w:lastRow="0" w:firstColumn="1" w:lastColumn="0" w:noHBand="0" w:noVBand="1"/>
      </w:tblPr>
      <w:tblGrid>
        <w:gridCol w:w="7564"/>
        <w:gridCol w:w="7564"/>
      </w:tblGrid>
      <w:tr w:rsidR="004B21E2" w:rsidRPr="008F6E37" w:rsidTr="004B21E2">
        <w:tc>
          <w:tcPr>
            <w:tcW w:w="7564" w:type="dxa"/>
          </w:tcPr>
          <w:p w:rsidR="004B21E2" w:rsidRPr="008F6E37" w:rsidRDefault="00F9629E" w:rsidP="00F9629E">
            <w:pPr>
              <w:jc w:val="center"/>
              <w:rPr>
                <w:b/>
                <w:szCs w:val="28"/>
                <w:lang w:val="uk-UA"/>
              </w:rPr>
            </w:pPr>
            <w:r w:rsidRPr="008F6E37">
              <w:rPr>
                <w:b/>
                <w:szCs w:val="28"/>
                <w:lang w:val="uk-UA"/>
              </w:rPr>
              <w:t>Чинна редакція</w:t>
            </w:r>
          </w:p>
        </w:tc>
        <w:tc>
          <w:tcPr>
            <w:tcW w:w="7564" w:type="dxa"/>
          </w:tcPr>
          <w:p w:rsidR="004B21E2" w:rsidRPr="008F6E37" w:rsidRDefault="00F9629E" w:rsidP="00F9629E">
            <w:pPr>
              <w:jc w:val="center"/>
              <w:rPr>
                <w:b/>
                <w:szCs w:val="28"/>
                <w:lang w:val="uk-UA"/>
              </w:rPr>
            </w:pPr>
            <w:r w:rsidRPr="008F6E37">
              <w:rPr>
                <w:b/>
                <w:szCs w:val="28"/>
                <w:lang w:val="uk-UA"/>
              </w:rPr>
              <w:t>Запропонована редакція</w:t>
            </w:r>
          </w:p>
        </w:tc>
      </w:tr>
      <w:tr w:rsidR="00F9629E" w:rsidRPr="008F6E37" w:rsidTr="004B21E2">
        <w:tc>
          <w:tcPr>
            <w:tcW w:w="7564" w:type="dxa"/>
          </w:tcPr>
          <w:p w:rsidR="00F9629E" w:rsidRPr="008F6E37" w:rsidRDefault="00F9629E" w:rsidP="00F9629E">
            <w:pPr>
              <w:pStyle w:val="rvps2"/>
              <w:spacing w:before="0" w:beforeAutospacing="0" w:after="60" w:afterAutospacing="0"/>
              <w:ind w:firstLine="403"/>
              <w:jc w:val="both"/>
              <w:rPr>
                <w:rStyle w:val="rvts9"/>
                <w:sz w:val="28"/>
                <w:szCs w:val="28"/>
                <w:lang w:val="uk-UA"/>
              </w:rPr>
            </w:pPr>
            <w:r w:rsidRPr="008F6E37">
              <w:rPr>
                <w:b/>
                <w:bCs/>
                <w:sz w:val="28"/>
                <w:szCs w:val="28"/>
                <w:lang w:val="uk-UA"/>
              </w:rPr>
              <w:t>Стаття 14.</w:t>
            </w:r>
            <w:r w:rsidRPr="008F6E37">
              <w:rPr>
                <w:bCs/>
                <w:sz w:val="28"/>
                <w:szCs w:val="28"/>
                <w:lang w:val="uk-UA"/>
              </w:rPr>
              <w:t xml:space="preserve"> Визначення понять</w:t>
            </w:r>
          </w:p>
        </w:tc>
        <w:tc>
          <w:tcPr>
            <w:tcW w:w="7564" w:type="dxa"/>
          </w:tcPr>
          <w:p w:rsidR="00F9629E" w:rsidRPr="008F6E37" w:rsidRDefault="00F9629E" w:rsidP="00F9629E">
            <w:pPr>
              <w:spacing w:after="60"/>
              <w:ind w:firstLine="403"/>
              <w:jc w:val="both"/>
              <w:rPr>
                <w:color w:val="000000"/>
                <w:szCs w:val="28"/>
                <w:lang w:val="uk-UA"/>
              </w:rPr>
            </w:pPr>
            <w:r w:rsidRPr="008F6E37">
              <w:rPr>
                <w:b/>
                <w:bCs/>
                <w:szCs w:val="28"/>
                <w:lang w:val="uk-UA"/>
              </w:rPr>
              <w:t>Стаття 14</w:t>
            </w:r>
            <w:r w:rsidRPr="008F6E37">
              <w:rPr>
                <w:bCs/>
                <w:szCs w:val="28"/>
                <w:lang w:val="uk-UA"/>
              </w:rPr>
              <w:t>. Визначення понять</w:t>
            </w:r>
          </w:p>
        </w:tc>
      </w:tr>
      <w:tr w:rsidR="00F9629E" w:rsidRPr="008F6E37" w:rsidTr="004B21E2">
        <w:tc>
          <w:tcPr>
            <w:tcW w:w="7564" w:type="dxa"/>
          </w:tcPr>
          <w:p w:rsidR="00F9629E" w:rsidRPr="008F6E37" w:rsidRDefault="00F9629E" w:rsidP="00F9629E">
            <w:pPr>
              <w:spacing w:after="60"/>
              <w:ind w:firstLine="403"/>
              <w:jc w:val="both"/>
              <w:rPr>
                <w:szCs w:val="28"/>
                <w:lang w:val="uk-UA"/>
              </w:rPr>
            </w:pPr>
            <w:r w:rsidRPr="008F6E37">
              <w:rPr>
                <w:szCs w:val="28"/>
                <w:lang w:val="uk-UA"/>
              </w:rPr>
              <w:t xml:space="preserve">14.1. У цьому Кодексі поняття вживаються в такому значенні: </w:t>
            </w:r>
          </w:p>
        </w:tc>
        <w:tc>
          <w:tcPr>
            <w:tcW w:w="7564" w:type="dxa"/>
          </w:tcPr>
          <w:p w:rsidR="00F9629E" w:rsidRPr="008F6E37" w:rsidRDefault="00F9629E" w:rsidP="00F9629E">
            <w:pPr>
              <w:spacing w:after="60"/>
              <w:ind w:firstLine="403"/>
              <w:jc w:val="both"/>
              <w:rPr>
                <w:color w:val="000000"/>
                <w:szCs w:val="28"/>
                <w:lang w:val="uk-UA"/>
              </w:rPr>
            </w:pPr>
            <w:r w:rsidRPr="008F6E37">
              <w:rPr>
                <w:szCs w:val="28"/>
                <w:lang w:val="uk-UA"/>
              </w:rPr>
              <w:t xml:space="preserve">14.1. У цьому Кодексі поняття вживаються в такому значенні: </w:t>
            </w:r>
          </w:p>
        </w:tc>
      </w:tr>
      <w:tr w:rsidR="00F9629E" w:rsidRPr="008F6E37" w:rsidTr="004B21E2">
        <w:tc>
          <w:tcPr>
            <w:tcW w:w="7564" w:type="dxa"/>
          </w:tcPr>
          <w:p w:rsidR="00F9629E" w:rsidRPr="008F6E37" w:rsidRDefault="00F9629E" w:rsidP="00F9629E">
            <w:pPr>
              <w:ind w:firstLine="360"/>
              <w:jc w:val="both"/>
              <w:rPr>
                <w:b/>
                <w:szCs w:val="28"/>
                <w:lang w:val="uk-UA"/>
              </w:rPr>
            </w:pPr>
            <w:r w:rsidRPr="008F6E37">
              <w:rPr>
                <w:color w:val="000000"/>
                <w:szCs w:val="28"/>
                <w:lang w:val="uk-UA" w:eastAsia="uk-UA"/>
              </w:rPr>
              <w:t>14.1.182. помилково сплачені грошові зобов'язання - суми коштів, які на певну дату надійшли до відповідного бюджету від юридичних осіб (їх філій, відділень, інших відокремлених підрозділів, що не мають статусу юридичної особи) або фізичних осіб (які мають статус суб'єктів підприємницької діяльності або не мають такого статусу), що не є платниками таких грошових зобов'язань;</w:t>
            </w:r>
          </w:p>
        </w:tc>
        <w:tc>
          <w:tcPr>
            <w:tcW w:w="7564" w:type="dxa"/>
          </w:tcPr>
          <w:p w:rsidR="00F9629E" w:rsidRPr="008F6E37" w:rsidRDefault="00F9629E" w:rsidP="00F9629E">
            <w:pPr>
              <w:ind w:firstLine="360"/>
              <w:jc w:val="both"/>
              <w:rPr>
                <w:b/>
                <w:szCs w:val="28"/>
                <w:lang w:val="uk-UA"/>
              </w:rPr>
            </w:pPr>
            <w:r w:rsidRPr="008F6E37">
              <w:rPr>
                <w:color w:val="000000"/>
                <w:szCs w:val="28"/>
                <w:lang w:val="uk-UA" w:eastAsia="uk-UA"/>
              </w:rPr>
              <w:t xml:space="preserve">14.1.182. помилково сплачені грошові зобов'язання - суми коштів, які на певну дату надійшли до відповідного бюджету від юридичних осіб (їх філій, відділень, інших відокремлених підрозділів, що не мають статусу юридичної особи) або фізичних осіб (які мають статус суб'єктів підприємницької діяльності або не мають такого статусу), що не є платниками таких грошових зобов'язань. </w:t>
            </w:r>
            <w:r w:rsidRPr="008F6E37">
              <w:rPr>
                <w:b/>
                <w:szCs w:val="28"/>
                <w:lang w:val="uk-UA" w:eastAsia="uk-UA"/>
              </w:rPr>
              <w:t>Сплата податкових зобов'язань до бюджету з податку на додану вартість також вважається помилковою у разі її здійснення безпосередньо з поточного рахунка платника податку на додану вартість, відкритого у банку, крім випадків, передбачених цим Кодексом;</w:t>
            </w:r>
          </w:p>
        </w:tc>
      </w:tr>
      <w:tr w:rsidR="00F9629E" w:rsidRPr="008F6E37" w:rsidTr="004B21E2">
        <w:tc>
          <w:tcPr>
            <w:tcW w:w="7564" w:type="dxa"/>
          </w:tcPr>
          <w:p w:rsidR="00F9629E" w:rsidRPr="008F6E37" w:rsidRDefault="00F9629E" w:rsidP="00F9629E">
            <w:pPr>
              <w:spacing w:after="60"/>
              <w:ind w:firstLine="403"/>
              <w:jc w:val="both"/>
              <w:rPr>
                <w:b/>
                <w:szCs w:val="28"/>
                <w:shd w:val="solid" w:color="FFFFFF" w:fill="FFFFFF"/>
                <w:lang w:val="uk-UA"/>
              </w:rPr>
            </w:pPr>
            <w:r w:rsidRPr="008F6E37">
              <w:rPr>
                <w:b/>
                <w:szCs w:val="28"/>
                <w:lang w:val="uk-UA"/>
              </w:rPr>
              <w:t>Стаття 43</w:t>
            </w:r>
            <w:r w:rsidRPr="008F6E37">
              <w:rPr>
                <w:szCs w:val="28"/>
                <w:lang w:val="uk-UA"/>
              </w:rPr>
              <w:t>. Умови повернення помилково та/або надміру сплачених грошових зобов'язань</w:t>
            </w:r>
          </w:p>
        </w:tc>
        <w:tc>
          <w:tcPr>
            <w:tcW w:w="7564" w:type="dxa"/>
          </w:tcPr>
          <w:p w:rsidR="00F9629E" w:rsidRPr="008F6E37" w:rsidRDefault="00F9629E" w:rsidP="00F9629E">
            <w:pPr>
              <w:spacing w:after="60"/>
              <w:ind w:firstLine="403"/>
              <w:jc w:val="both"/>
              <w:rPr>
                <w:b/>
                <w:szCs w:val="28"/>
                <w:lang w:val="uk-UA"/>
              </w:rPr>
            </w:pPr>
            <w:r w:rsidRPr="008F6E37">
              <w:rPr>
                <w:b/>
                <w:szCs w:val="28"/>
                <w:lang w:val="uk-UA"/>
              </w:rPr>
              <w:t>Стаття 43</w:t>
            </w:r>
            <w:r w:rsidRPr="008F6E37">
              <w:rPr>
                <w:szCs w:val="28"/>
                <w:lang w:val="uk-UA"/>
              </w:rPr>
              <w:t>. Умови повернення помилково та/або надміру сплачених грошових зобов'язань</w:t>
            </w:r>
          </w:p>
        </w:tc>
      </w:tr>
      <w:tr w:rsidR="00F9629E" w:rsidRPr="008F6E37" w:rsidTr="004B21E2">
        <w:tc>
          <w:tcPr>
            <w:tcW w:w="7564" w:type="dxa"/>
          </w:tcPr>
          <w:p w:rsidR="00F9629E" w:rsidRPr="008F6E37" w:rsidRDefault="00F9629E" w:rsidP="00F9629E">
            <w:pPr>
              <w:jc w:val="both"/>
              <w:rPr>
                <w:szCs w:val="28"/>
                <w:lang w:val="uk-UA"/>
              </w:rPr>
            </w:pPr>
            <w:r w:rsidRPr="008F6E37">
              <w:rPr>
                <w:szCs w:val="28"/>
                <w:lang w:val="uk-UA"/>
              </w:rPr>
              <w:t xml:space="preserve">43.4. Платник податків подає заяву на повернення помилково та/або надміру сплачених грошових зобов'язань у довільній формі, в якій зазначає напрям перерахування </w:t>
            </w:r>
            <w:r w:rsidRPr="008F6E37">
              <w:rPr>
                <w:szCs w:val="28"/>
                <w:lang w:val="uk-UA"/>
              </w:rPr>
              <w:lastRenderedPageBreak/>
              <w:t>коштів: на поточний рахунок платника податків в установі банку; на погашення грошового зобов'язання (податкового боргу) з інших платежів, контроль за справлянням яких покладено на контролюючі органи, незалежно від виду бюджету; повернення готівковими коштами за чеком у разі відсутності у платника податків рахунку в банку. У разі повернення надміру сплачених грошових зобов'язань з податку на додану вартість</w:t>
            </w:r>
            <w:r w:rsidRPr="008F6E37">
              <w:rPr>
                <w:b/>
                <w:szCs w:val="28"/>
                <w:lang w:val="uk-UA"/>
              </w:rPr>
              <w:t xml:space="preserve"> такі кошти підлягають поверненню виключно на рахунок платника в системі електронного адміністрування податку на додану вартість.</w:t>
            </w:r>
          </w:p>
        </w:tc>
        <w:tc>
          <w:tcPr>
            <w:tcW w:w="7564" w:type="dxa"/>
          </w:tcPr>
          <w:p w:rsidR="00F9629E" w:rsidRPr="008F6E37" w:rsidRDefault="00F9629E" w:rsidP="00F9629E">
            <w:pPr>
              <w:spacing w:after="60"/>
              <w:ind w:firstLine="403"/>
              <w:jc w:val="both"/>
              <w:rPr>
                <w:b/>
                <w:szCs w:val="28"/>
                <w:lang w:val="uk-UA"/>
              </w:rPr>
            </w:pPr>
            <w:r w:rsidRPr="008F6E37">
              <w:rPr>
                <w:szCs w:val="28"/>
                <w:shd w:val="clear" w:color="auto" w:fill="FFFFFF"/>
                <w:lang w:val="uk-UA"/>
              </w:rPr>
              <w:lastRenderedPageBreak/>
              <w:t xml:space="preserve">43.4. Платник податків подає заяву на повернення помилково та/або надміру сплачених грошових зобов'язань у довільній формі, в якій зазначає напрям перерахування </w:t>
            </w:r>
            <w:r w:rsidRPr="008F6E37">
              <w:rPr>
                <w:szCs w:val="28"/>
                <w:shd w:val="clear" w:color="auto" w:fill="FFFFFF"/>
                <w:lang w:val="uk-UA"/>
              </w:rPr>
              <w:lastRenderedPageBreak/>
              <w:t xml:space="preserve">коштів: на поточний рахунок платника податків в установі банку; на погашення грошового зобов'язання (податкового боргу) з інших платежів, контроль за справлянням яких покладено на контролюючі органи, незалежно від виду бюджету; повернення готівковими коштами за чеком у разі відсутності у платника податків рахунку в банку. </w:t>
            </w:r>
            <w:r w:rsidRPr="008F6E37">
              <w:rPr>
                <w:b/>
                <w:szCs w:val="28"/>
                <w:shd w:val="clear" w:color="auto" w:fill="FFFFFF"/>
                <w:lang w:val="uk-UA"/>
              </w:rPr>
              <w:t>У разі повернення надміру сплачених податкових зобов'язань з податку на додану вартість, зарахованих до бюджету з рахунка платника в системі електронного адміністрування податку на додану вартість в сумі податкових зобов’язань з податку на додану вартість відповідно до пункту 200</w:t>
            </w:r>
            <w:r w:rsidRPr="008F6E37">
              <w:rPr>
                <w:b/>
                <w:szCs w:val="28"/>
                <w:shd w:val="clear" w:color="auto" w:fill="FFFFFF"/>
                <w:vertAlign w:val="superscript"/>
                <w:lang w:val="uk-UA"/>
              </w:rPr>
              <w:t>1</w:t>
            </w:r>
            <w:r w:rsidRPr="008F6E37">
              <w:rPr>
                <w:b/>
                <w:szCs w:val="28"/>
                <w:shd w:val="clear" w:color="auto" w:fill="FFFFFF"/>
                <w:lang w:val="uk-UA"/>
              </w:rPr>
              <w:t>.5 статті 200</w:t>
            </w:r>
            <w:r w:rsidRPr="008F6E37">
              <w:rPr>
                <w:b/>
                <w:szCs w:val="28"/>
                <w:shd w:val="clear" w:color="auto" w:fill="FFFFFF"/>
                <w:vertAlign w:val="superscript"/>
                <w:lang w:val="uk-UA"/>
              </w:rPr>
              <w:t>1</w:t>
            </w:r>
            <w:r w:rsidRPr="008F6E37">
              <w:rPr>
                <w:b/>
                <w:szCs w:val="28"/>
                <w:shd w:val="clear" w:color="auto" w:fill="FFFFFF"/>
                <w:lang w:val="uk-UA"/>
              </w:rPr>
              <w:t xml:space="preserve"> цього Кодексу, такі кошти підлягають поверненню виключно на рахунок платника в системі електронного адміністрування податку на додану вартість.</w:t>
            </w:r>
          </w:p>
        </w:tc>
      </w:tr>
      <w:tr w:rsidR="00F9629E" w:rsidRPr="008F6E37" w:rsidTr="004B21E2">
        <w:tc>
          <w:tcPr>
            <w:tcW w:w="7564" w:type="dxa"/>
          </w:tcPr>
          <w:p w:rsidR="00F9629E" w:rsidRPr="008F6E37" w:rsidRDefault="00F9629E" w:rsidP="00F9629E">
            <w:pPr>
              <w:jc w:val="both"/>
              <w:rPr>
                <w:szCs w:val="28"/>
                <w:lang w:val="uk-UA"/>
              </w:rPr>
            </w:pPr>
            <w:r w:rsidRPr="008F6E37">
              <w:rPr>
                <w:b/>
                <w:szCs w:val="28"/>
                <w:lang w:val="uk-UA"/>
              </w:rPr>
              <w:lastRenderedPageBreak/>
              <w:t>Стаття 58.</w:t>
            </w:r>
            <w:r w:rsidRPr="008F6E37">
              <w:rPr>
                <w:szCs w:val="28"/>
                <w:lang w:val="uk-UA"/>
              </w:rPr>
              <w:t xml:space="preserve"> Податкове повідомлення-рішення</w:t>
            </w:r>
          </w:p>
        </w:tc>
        <w:tc>
          <w:tcPr>
            <w:tcW w:w="7564" w:type="dxa"/>
          </w:tcPr>
          <w:p w:rsidR="00F9629E" w:rsidRPr="008F6E37" w:rsidRDefault="00F9629E" w:rsidP="00F9629E">
            <w:pPr>
              <w:spacing w:after="60"/>
              <w:ind w:firstLine="403"/>
              <w:jc w:val="both"/>
              <w:rPr>
                <w:szCs w:val="28"/>
                <w:shd w:val="clear" w:color="auto" w:fill="FFFFFF"/>
                <w:lang w:val="uk-UA"/>
              </w:rPr>
            </w:pPr>
            <w:r w:rsidRPr="008F6E37">
              <w:rPr>
                <w:b/>
                <w:szCs w:val="28"/>
                <w:lang w:val="uk-UA"/>
              </w:rPr>
              <w:t>Стаття 58.</w:t>
            </w:r>
            <w:r w:rsidRPr="008F6E37">
              <w:rPr>
                <w:szCs w:val="28"/>
                <w:lang w:val="uk-UA"/>
              </w:rPr>
              <w:t xml:space="preserve"> Податкове повідомлення-рішення</w:t>
            </w:r>
          </w:p>
        </w:tc>
      </w:tr>
      <w:tr w:rsidR="00F9629E" w:rsidRPr="008F6E37" w:rsidTr="004B21E2">
        <w:tc>
          <w:tcPr>
            <w:tcW w:w="7564" w:type="dxa"/>
          </w:tcPr>
          <w:p w:rsidR="00F9629E" w:rsidRPr="008F6E37" w:rsidRDefault="00F9629E" w:rsidP="00F9629E">
            <w:pPr>
              <w:jc w:val="both"/>
              <w:rPr>
                <w:szCs w:val="28"/>
                <w:lang w:val="uk-UA"/>
              </w:rPr>
            </w:pPr>
            <w:r w:rsidRPr="008F6E37">
              <w:rPr>
                <w:szCs w:val="28"/>
                <w:lang w:val="uk-UA"/>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F9629E" w:rsidRPr="008F6E37" w:rsidRDefault="00F9629E" w:rsidP="00F9629E">
            <w:pPr>
              <w:jc w:val="both"/>
              <w:rPr>
                <w:szCs w:val="28"/>
                <w:lang w:val="uk-UA"/>
              </w:rPr>
            </w:pPr>
            <w:r w:rsidRPr="008F6E37">
              <w:rPr>
                <w:szCs w:val="28"/>
                <w:lang w:val="uk-UA"/>
              </w:rPr>
              <w:t>невідповідності суми бюджетного відшкодування сумі, заявленій у податковій декларації;</w:t>
            </w:r>
          </w:p>
          <w:p w:rsidR="00F9629E" w:rsidRPr="008F6E37" w:rsidRDefault="00F9629E" w:rsidP="00F9629E">
            <w:pPr>
              <w:jc w:val="both"/>
              <w:rPr>
                <w:szCs w:val="28"/>
                <w:lang w:val="uk-UA"/>
              </w:rPr>
            </w:pPr>
            <w:r w:rsidRPr="008F6E37">
              <w:rPr>
                <w:szCs w:val="28"/>
                <w:lang w:val="uk-UA"/>
              </w:rPr>
              <w:t xml:space="preserve">завищення розміру задекларованого від'ємного значення об'єкта оподаткування податком на прибуток або від'ємного </w:t>
            </w:r>
            <w:r w:rsidRPr="008F6E37">
              <w:rPr>
                <w:szCs w:val="28"/>
                <w:lang w:val="uk-UA"/>
              </w:rPr>
              <w:lastRenderedPageBreak/>
              <w:t>значення суми податку на додану вартість, розрахованої платником податків відповідно до розділу V цього Кодексу;</w:t>
            </w:r>
          </w:p>
          <w:p w:rsidR="00F9629E" w:rsidRPr="008F6E37" w:rsidRDefault="00F9629E" w:rsidP="00F9629E">
            <w:pPr>
              <w:jc w:val="both"/>
              <w:rPr>
                <w:szCs w:val="28"/>
                <w:lang w:val="uk-UA"/>
              </w:rPr>
            </w:pPr>
            <w:r w:rsidRPr="008F6E37">
              <w:rPr>
                <w:szCs w:val="28"/>
                <w:lang w:val="uk-UA"/>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F9629E" w:rsidRPr="008F6E37" w:rsidRDefault="00F9629E" w:rsidP="00F9629E">
            <w:pPr>
              <w:jc w:val="both"/>
              <w:rPr>
                <w:szCs w:val="28"/>
                <w:lang w:val="uk-UA"/>
              </w:rPr>
            </w:pPr>
            <w:r w:rsidRPr="008F6E37">
              <w:rPr>
                <w:szCs w:val="28"/>
                <w:lang w:val="uk-UA"/>
              </w:rPr>
              <w:t xml:space="preserve">Податкове повідомлення-рішення містить підставу для такого нарахування (зменшення) податкового зобов'язання та/або зменшення (збільшення)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 суму грошового зобов'язання, що повинен сплатити платник податку; суму зменшеного (збільшеного)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 граничні строки сплати грошового зобов'язання та/або строки виправлення платником податків показників податкової звітності; попередження про наслідки несплати </w:t>
            </w:r>
            <w:r w:rsidRPr="008F6E37">
              <w:rPr>
                <w:szCs w:val="28"/>
                <w:lang w:val="uk-UA"/>
              </w:rPr>
              <w:lastRenderedPageBreak/>
              <w:t xml:space="preserve">грошового зобов'язання або внесення виправлень до показників податкової звітності в установлений строк; граничні строки, передбачені цим Кодексом для оскарження податкового повідомлення-рішення. </w:t>
            </w:r>
          </w:p>
          <w:p w:rsidR="00F9629E" w:rsidRPr="008F6E37" w:rsidRDefault="00F9629E" w:rsidP="00F9629E">
            <w:pPr>
              <w:jc w:val="both"/>
              <w:rPr>
                <w:szCs w:val="28"/>
                <w:lang w:val="uk-UA"/>
              </w:rPr>
            </w:pPr>
          </w:p>
          <w:p w:rsidR="00F9629E" w:rsidRPr="008F6E37" w:rsidRDefault="00F9629E" w:rsidP="00F9629E">
            <w:pPr>
              <w:jc w:val="both"/>
              <w:rPr>
                <w:szCs w:val="28"/>
                <w:lang w:val="uk-UA"/>
              </w:rPr>
            </w:pPr>
          </w:p>
          <w:p w:rsidR="00F9629E" w:rsidRPr="008F6E37" w:rsidRDefault="00F9629E" w:rsidP="00F9629E">
            <w:pPr>
              <w:jc w:val="both"/>
              <w:rPr>
                <w:b/>
                <w:szCs w:val="28"/>
                <w:lang w:val="uk-UA"/>
              </w:rPr>
            </w:pPr>
          </w:p>
        </w:tc>
        <w:tc>
          <w:tcPr>
            <w:tcW w:w="7564" w:type="dxa"/>
          </w:tcPr>
          <w:p w:rsidR="00F9629E" w:rsidRPr="008F6E37" w:rsidRDefault="00F9629E" w:rsidP="00F9629E">
            <w:pPr>
              <w:jc w:val="both"/>
              <w:rPr>
                <w:szCs w:val="28"/>
                <w:lang w:val="uk-UA"/>
              </w:rPr>
            </w:pPr>
            <w:r w:rsidRPr="008F6E37">
              <w:rPr>
                <w:szCs w:val="28"/>
                <w:lang w:val="uk-UA"/>
              </w:rPr>
              <w:lastRenderedPageBreak/>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F9629E" w:rsidRPr="008F6E37" w:rsidRDefault="00F9629E" w:rsidP="00F9629E">
            <w:pPr>
              <w:jc w:val="both"/>
              <w:rPr>
                <w:szCs w:val="28"/>
                <w:lang w:val="uk-UA"/>
              </w:rPr>
            </w:pPr>
            <w:r w:rsidRPr="008F6E37">
              <w:rPr>
                <w:szCs w:val="28"/>
                <w:lang w:val="uk-UA"/>
              </w:rPr>
              <w:t>невідповідності суми бюджетного відшкодування сумі, заявленій у податковій декларації;</w:t>
            </w:r>
          </w:p>
          <w:p w:rsidR="00F9629E" w:rsidRPr="008F6E37" w:rsidRDefault="00F9629E" w:rsidP="00F9629E">
            <w:pPr>
              <w:jc w:val="both"/>
              <w:rPr>
                <w:szCs w:val="28"/>
                <w:lang w:val="uk-UA"/>
              </w:rPr>
            </w:pPr>
            <w:r w:rsidRPr="008F6E37">
              <w:rPr>
                <w:szCs w:val="28"/>
                <w:lang w:val="uk-UA"/>
              </w:rPr>
              <w:t xml:space="preserve">завищення розміру задекларованого від'ємного значення об'єкта оподаткування податком на прибуток або від'ємного </w:t>
            </w:r>
            <w:r w:rsidRPr="008F6E37">
              <w:rPr>
                <w:szCs w:val="28"/>
                <w:lang w:val="uk-UA"/>
              </w:rPr>
              <w:lastRenderedPageBreak/>
              <w:t>значення суми податку на додану вартість, розрахованої платником податків відповідно до розділу V цього Кодексу;</w:t>
            </w:r>
          </w:p>
          <w:p w:rsidR="00F9629E" w:rsidRPr="008F6E37" w:rsidRDefault="00F9629E" w:rsidP="00F9629E">
            <w:pPr>
              <w:jc w:val="both"/>
              <w:rPr>
                <w:szCs w:val="28"/>
                <w:lang w:val="uk-UA"/>
              </w:rPr>
            </w:pPr>
            <w:r w:rsidRPr="008F6E37">
              <w:rPr>
                <w:szCs w:val="28"/>
                <w:lang w:val="uk-UA"/>
              </w:rPr>
              <w:t>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F9629E" w:rsidRPr="008F6E37" w:rsidRDefault="00F9629E" w:rsidP="008F6E37">
            <w:pPr>
              <w:jc w:val="both"/>
              <w:rPr>
                <w:b/>
                <w:szCs w:val="28"/>
                <w:lang w:val="uk-UA"/>
              </w:rPr>
            </w:pPr>
            <w:r w:rsidRPr="008F6E37">
              <w:rPr>
                <w:szCs w:val="28"/>
                <w:lang w:val="uk-UA"/>
              </w:rPr>
              <w:t xml:space="preserve">Податкове повідомлення-рішення містить підставу для такого нарахування (зменшення) податкового зобов'язання та/або зменшення (збільшення)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 суму грошового зобов'язання, що повинен сплатити платник податку; суму зменшеного (збільшеного)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 граничні строки сплати грошового зобов'язання та/або строки виправлення платником податків показників податкової звітності; </w:t>
            </w:r>
            <w:r w:rsidRPr="008F6E37">
              <w:rPr>
                <w:b/>
                <w:szCs w:val="28"/>
                <w:lang w:val="uk-UA"/>
              </w:rPr>
              <w:t xml:space="preserve">попередження про необхідність </w:t>
            </w:r>
            <w:r w:rsidRPr="008F6E37">
              <w:rPr>
                <w:b/>
                <w:szCs w:val="28"/>
                <w:lang w:val="uk-UA"/>
              </w:rPr>
              <w:lastRenderedPageBreak/>
              <w:t>складення та реєстрації в Єдиному реєстрі податкових накладних податкової накладної або розрахунку коригування – у випадках передбачених цим Кодексом;</w:t>
            </w:r>
            <w:r w:rsidRPr="008F6E37">
              <w:rPr>
                <w:color w:val="000000"/>
                <w:szCs w:val="28"/>
                <w:lang w:val="uk-UA" w:eastAsia="uk-UA"/>
              </w:rPr>
              <w:t xml:space="preserve"> </w:t>
            </w:r>
            <w:r w:rsidRPr="008F6E37">
              <w:rPr>
                <w:szCs w:val="28"/>
                <w:lang w:val="uk-UA"/>
              </w:rPr>
              <w:t xml:space="preserve">попередження про наслідки несплати грошового зобов'язання або внесення виправлень до показників податкової звітності в установлений строк; граничні строки, передбачені цим Кодексом для оскарження податкового повідомлення-рішення. </w:t>
            </w:r>
          </w:p>
        </w:tc>
      </w:tr>
      <w:tr w:rsidR="00F9629E" w:rsidRPr="008F6E37" w:rsidTr="004B21E2">
        <w:tc>
          <w:tcPr>
            <w:tcW w:w="7564" w:type="dxa"/>
          </w:tcPr>
          <w:p w:rsidR="00F9629E" w:rsidRPr="008F6E37" w:rsidRDefault="00F9629E" w:rsidP="00F9629E">
            <w:pPr>
              <w:spacing w:after="60"/>
              <w:jc w:val="center"/>
              <w:rPr>
                <w:b/>
                <w:szCs w:val="28"/>
                <w:lang w:val="uk-UA"/>
              </w:rPr>
            </w:pPr>
            <w:r w:rsidRPr="008F6E37">
              <w:rPr>
                <w:b/>
                <w:szCs w:val="28"/>
                <w:lang w:val="uk-UA"/>
              </w:rPr>
              <w:lastRenderedPageBreak/>
              <w:t xml:space="preserve">Стаття 87. </w:t>
            </w:r>
            <w:r w:rsidRPr="008F6E37">
              <w:rPr>
                <w:szCs w:val="28"/>
                <w:lang w:val="uk-UA"/>
              </w:rPr>
              <w:t>Джерела сплати грошових зобов'язань або погашення податкового боргу платника податків</w:t>
            </w:r>
          </w:p>
        </w:tc>
        <w:tc>
          <w:tcPr>
            <w:tcW w:w="7564" w:type="dxa"/>
          </w:tcPr>
          <w:p w:rsidR="00F9629E" w:rsidRPr="008F6E37" w:rsidRDefault="00F9629E" w:rsidP="00F9629E">
            <w:pPr>
              <w:jc w:val="both"/>
              <w:rPr>
                <w:szCs w:val="28"/>
                <w:lang w:val="uk-UA"/>
              </w:rPr>
            </w:pPr>
            <w:r w:rsidRPr="008F6E37">
              <w:rPr>
                <w:b/>
                <w:szCs w:val="28"/>
                <w:lang w:val="uk-UA"/>
              </w:rPr>
              <w:t xml:space="preserve">Стаття 87. </w:t>
            </w:r>
            <w:r w:rsidRPr="008F6E37">
              <w:rPr>
                <w:szCs w:val="28"/>
                <w:lang w:val="uk-UA"/>
              </w:rPr>
              <w:t>Джерела сплати грошових зобов'язань або погашення податкового боргу платника податків</w:t>
            </w:r>
          </w:p>
        </w:tc>
      </w:tr>
      <w:tr w:rsidR="00F9629E" w:rsidRPr="008F6E37" w:rsidTr="009216AD">
        <w:tc>
          <w:tcPr>
            <w:tcW w:w="7564" w:type="dxa"/>
            <w:shd w:val="clear" w:color="auto" w:fill="auto"/>
          </w:tcPr>
          <w:p w:rsidR="00F9629E" w:rsidRPr="008F6E37" w:rsidRDefault="00F9629E" w:rsidP="00F9629E">
            <w:pPr>
              <w:jc w:val="both"/>
              <w:rPr>
                <w:szCs w:val="28"/>
                <w:lang w:val="uk-UA"/>
              </w:rPr>
            </w:pPr>
            <w:r w:rsidRPr="008F6E37">
              <w:rPr>
                <w:szCs w:val="28"/>
                <w:lang w:val="uk-UA"/>
              </w:rPr>
              <w:t xml:space="preserve">87.1. Джерелами самостійної сплати грошових зобов'язань або погашення податкового боргу платника податків є будь-які власні кошти, у тому числі ті, що отримані від продажу товарів (робіт, послуг), майна, випуску цінних паперів, зокрема корпоративних прав, отримані як позика (кредит), та з інших джерел, з урахуванням особливостей, визначених цією статтею, а також суми надміру сплачених платежів до відповідних бюджетів. </w:t>
            </w:r>
          </w:p>
          <w:p w:rsidR="00F9629E" w:rsidRPr="008F6E37" w:rsidRDefault="00F9629E" w:rsidP="00F9629E">
            <w:pPr>
              <w:jc w:val="both"/>
              <w:rPr>
                <w:b/>
                <w:szCs w:val="28"/>
                <w:lang w:val="uk-UA"/>
              </w:rPr>
            </w:pPr>
            <w:r w:rsidRPr="008F6E37">
              <w:rPr>
                <w:szCs w:val="28"/>
                <w:lang w:val="uk-UA"/>
              </w:rPr>
              <w:t>Джерелом самостійної сплати грошових зобов'язань з податку на додану вартість є суми коштів,</w:t>
            </w:r>
            <w:r w:rsidRPr="008F6E37">
              <w:rPr>
                <w:b/>
                <w:szCs w:val="28"/>
                <w:lang w:val="uk-UA"/>
              </w:rPr>
              <w:t xml:space="preserve"> що обліковуються в системі електронного адміністрування податку на додану вартість, та джерела, зазначені в абзаці першому цього пункту.</w:t>
            </w:r>
          </w:p>
          <w:p w:rsidR="00F9629E" w:rsidRPr="008F6E37" w:rsidRDefault="00F9629E" w:rsidP="00F9629E">
            <w:pPr>
              <w:jc w:val="both"/>
              <w:rPr>
                <w:b/>
                <w:szCs w:val="28"/>
                <w:lang w:val="uk-UA"/>
              </w:rPr>
            </w:pPr>
          </w:p>
          <w:p w:rsidR="00F9629E" w:rsidRPr="008F6E37" w:rsidRDefault="00F9629E" w:rsidP="00F9629E">
            <w:pPr>
              <w:jc w:val="both"/>
              <w:rPr>
                <w:b/>
                <w:szCs w:val="28"/>
                <w:lang w:val="uk-UA"/>
              </w:rPr>
            </w:pPr>
          </w:p>
          <w:p w:rsidR="00F9629E" w:rsidRPr="008F6E37" w:rsidRDefault="00F9629E" w:rsidP="00F9629E">
            <w:pPr>
              <w:jc w:val="both"/>
              <w:rPr>
                <w:b/>
                <w:szCs w:val="28"/>
                <w:lang w:val="uk-UA"/>
              </w:rPr>
            </w:pPr>
          </w:p>
          <w:p w:rsidR="00F9629E" w:rsidRPr="008F6E37" w:rsidRDefault="00F9629E" w:rsidP="00F9629E">
            <w:pPr>
              <w:jc w:val="both"/>
              <w:rPr>
                <w:szCs w:val="28"/>
                <w:lang w:val="uk-UA"/>
              </w:rPr>
            </w:pPr>
          </w:p>
          <w:p w:rsidR="00F9629E" w:rsidRPr="008F6E37" w:rsidRDefault="00F9629E" w:rsidP="00F9629E">
            <w:pPr>
              <w:jc w:val="both"/>
              <w:rPr>
                <w:szCs w:val="28"/>
                <w:lang w:val="uk-UA"/>
              </w:rPr>
            </w:pPr>
          </w:p>
          <w:p w:rsidR="00F9629E" w:rsidRPr="008F6E37" w:rsidRDefault="00F9629E" w:rsidP="00F9629E">
            <w:pPr>
              <w:jc w:val="both"/>
              <w:rPr>
                <w:szCs w:val="28"/>
                <w:lang w:val="uk-UA"/>
              </w:rPr>
            </w:pPr>
          </w:p>
          <w:p w:rsidR="00F9629E" w:rsidRPr="008F6E37" w:rsidRDefault="00F9629E" w:rsidP="00F9629E">
            <w:pPr>
              <w:jc w:val="both"/>
              <w:rPr>
                <w:szCs w:val="28"/>
                <w:lang w:val="uk-UA"/>
              </w:rPr>
            </w:pPr>
            <w:r w:rsidRPr="008F6E37">
              <w:rPr>
                <w:szCs w:val="28"/>
                <w:lang w:val="uk-UA"/>
              </w:rPr>
              <w:lastRenderedPageBreak/>
              <w:t>Сплату грошових зобов'язань або погашення податкового боргу платника податків з відповідного платежу може бути здійснено також:</w:t>
            </w:r>
          </w:p>
          <w:p w:rsidR="00F9629E" w:rsidRPr="008F6E37" w:rsidRDefault="00F9629E" w:rsidP="00F9629E">
            <w:pPr>
              <w:jc w:val="both"/>
              <w:rPr>
                <w:szCs w:val="28"/>
                <w:lang w:val="uk-UA"/>
              </w:rPr>
            </w:pPr>
            <w:r w:rsidRPr="008F6E37">
              <w:rPr>
                <w:szCs w:val="28"/>
                <w:lang w:val="uk-UA"/>
              </w:rPr>
              <w:t>а) за рахунок надміру сплачених сум такого платежу (без заяви платника);</w:t>
            </w:r>
          </w:p>
          <w:p w:rsidR="00F9629E" w:rsidRPr="008F6E37" w:rsidRDefault="00F9629E" w:rsidP="00F9629E">
            <w:pPr>
              <w:jc w:val="both"/>
              <w:rPr>
                <w:szCs w:val="28"/>
                <w:lang w:val="uk-UA"/>
              </w:rPr>
            </w:pPr>
            <w:r w:rsidRPr="008F6E37">
              <w:rPr>
                <w:szCs w:val="28"/>
                <w:lang w:val="uk-UA"/>
              </w:rPr>
              <w:t>б) за рахунок помилково та/або надміру сплачених сум з інших платежів (на підставі відповідної заяви платника) до відповідних бюджетів;</w:t>
            </w:r>
          </w:p>
          <w:p w:rsidR="00F9629E" w:rsidRPr="008F6E37" w:rsidRDefault="00F9629E" w:rsidP="00F9629E">
            <w:pPr>
              <w:jc w:val="both"/>
              <w:rPr>
                <w:szCs w:val="28"/>
                <w:lang w:val="uk-UA"/>
              </w:rPr>
            </w:pPr>
            <w:r w:rsidRPr="008F6E37">
              <w:rPr>
                <w:szCs w:val="28"/>
                <w:lang w:val="uk-UA"/>
              </w:rPr>
              <w:t>в) за рахунок суми бюджетного відшкодування з податку на додану вартість (на підставі відповідної заяви платника) до Державного бюджету України.</w:t>
            </w:r>
          </w:p>
          <w:p w:rsidR="00F9629E" w:rsidRPr="008F6E37" w:rsidRDefault="00F9629E" w:rsidP="00F9629E">
            <w:pPr>
              <w:jc w:val="both"/>
              <w:rPr>
                <w:szCs w:val="28"/>
                <w:lang w:val="uk-UA"/>
              </w:rPr>
            </w:pPr>
            <w:r w:rsidRPr="008F6E37">
              <w:rPr>
                <w:szCs w:val="28"/>
                <w:lang w:val="uk-UA"/>
              </w:rPr>
              <w:t xml:space="preserve">Не можуть бути джерелом погашення податкового боргу, крім погашення податкового боргу з податку на додану вартість, кошти на рахунку платника в системі електронного адміністрування податку на додану вартість. Для погашення такого податкового боргу за рахунок коштів на рахунку платника податків у системі електронного адміністрування податку на додану вартість центральний орган виконавчої влади, що реалізує податкову і митну політику, за умови наявності підстав, передбачених статтею 95 цього Кодексу, надсилає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реєстр, у якому зазначаються найменування платника, податковий та індивідуальний податковий номер платника та сума податкового боргу, що підлягає перерахуванню до бюджету. </w:t>
            </w:r>
          </w:p>
          <w:p w:rsidR="00F9629E" w:rsidRPr="008F6E37" w:rsidRDefault="00F9629E" w:rsidP="00F9629E">
            <w:pPr>
              <w:jc w:val="both"/>
              <w:rPr>
                <w:szCs w:val="28"/>
                <w:lang w:val="uk-UA"/>
              </w:rPr>
            </w:pPr>
          </w:p>
          <w:p w:rsidR="00F9629E" w:rsidRPr="008F6E37" w:rsidRDefault="00F9629E" w:rsidP="00F9629E">
            <w:pPr>
              <w:jc w:val="both"/>
              <w:rPr>
                <w:szCs w:val="28"/>
                <w:lang w:val="uk-UA"/>
              </w:rPr>
            </w:pPr>
          </w:p>
          <w:p w:rsidR="00F9629E" w:rsidRPr="008F6E37" w:rsidRDefault="00F9629E" w:rsidP="00F9629E">
            <w:pPr>
              <w:jc w:val="both"/>
              <w:rPr>
                <w:szCs w:val="28"/>
                <w:lang w:val="uk-UA"/>
              </w:rPr>
            </w:pPr>
          </w:p>
          <w:p w:rsidR="00F9629E" w:rsidRPr="008F6E37" w:rsidRDefault="00F9629E" w:rsidP="00F9629E">
            <w:pPr>
              <w:jc w:val="both"/>
              <w:rPr>
                <w:b/>
                <w:szCs w:val="28"/>
                <w:lang w:val="uk-UA"/>
              </w:rPr>
            </w:pPr>
            <w:r w:rsidRPr="008F6E37">
              <w:rPr>
                <w:szCs w:val="28"/>
                <w:lang w:val="uk-UA"/>
              </w:rPr>
              <w:t>Порядок формування та надсилання органу, що здійснює казначейське обслуговування бюджетних коштів, такого реєстру визначається центральним органом виконавчої влади, що забезпечує формування та реалізацію державної податкової і митної політики.</w:t>
            </w:r>
            <w:r w:rsidRPr="008F6E37">
              <w:rPr>
                <w:b/>
                <w:szCs w:val="28"/>
                <w:lang w:val="uk-UA"/>
              </w:rPr>
              <w:t> </w:t>
            </w:r>
          </w:p>
        </w:tc>
        <w:tc>
          <w:tcPr>
            <w:tcW w:w="7564" w:type="dxa"/>
            <w:shd w:val="clear" w:color="auto" w:fill="auto"/>
          </w:tcPr>
          <w:p w:rsidR="00F9629E" w:rsidRPr="008F6E37" w:rsidRDefault="00F9629E" w:rsidP="00F9629E">
            <w:pPr>
              <w:jc w:val="both"/>
              <w:rPr>
                <w:szCs w:val="28"/>
                <w:lang w:val="uk-UA"/>
              </w:rPr>
            </w:pPr>
            <w:r w:rsidRPr="008F6E37">
              <w:rPr>
                <w:szCs w:val="28"/>
                <w:lang w:val="uk-UA"/>
              </w:rPr>
              <w:lastRenderedPageBreak/>
              <w:t xml:space="preserve">87.1. Джерелами самостійної сплати грошових зобов'язань або погашення податкового боргу платника податків є будь-які власні кошти, у тому числі ті, що отримані від продажу товарів (робіт, послуг), майна, випуску цінних паперів, зокрема корпоративних прав, отримані як позика (кредит), та з інших джерел, з урахуванням особливостей, визначених цією статтею, а також суми надміру сплачених платежів до відповідних бюджетів. </w:t>
            </w:r>
          </w:p>
          <w:p w:rsidR="008F6E37" w:rsidRDefault="00F9629E" w:rsidP="008F6E37">
            <w:pPr>
              <w:autoSpaceDE w:val="0"/>
              <w:autoSpaceDN w:val="0"/>
              <w:adjustRightInd w:val="0"/>
              <w:spacing w:after="150"/>
              <w:ind w:firstLine="450"/>
              <w:jc w:val="both"/>
              <w:rPr>
                <w:b/>
                <w:szCs w:val="28"/>
                <w:lang w:val="uk-UA"/>
              </w:rPr>
            </w:pPr>
            <w:r w:rsidRPr="008F6E37">
              <w:rPr>
                <w:szCs w:val="28"/>
                <w:lang w:val="uk-UA"/>
              </w:rPr>
              <w:t>Джерелом самостійної сплати грошових зобов'язань з податку на додану вартість є суми коштів</w:t>
            </w:r>
            <w:r w:rsidRPr="008F6E37">
              <w:rPr>
                <w:b/>
                <w:szCs w:val="28"/>
                <w:lang w:val="uk-UA"/>
              </w:rPr>
              <w:t>, джерела яких зазначені в абзаці першому цього пункту, та обліковуються в системі електронного адміністрування податку на додану вартість.  У випадках необхідності сплати податкових зобов'язань та погашення податкового боргу, що виникли до 1 липня 2015 року, перерахування коштів до бюджету здійснюється  безпосередньо з поточних рахунків платника податку, відкритих у банках.</w:t>
            </w:r>
          </w:p>
          <w:p w:rsidR="00F9629E" w:rsidRPr="008F6E37" w:rsidRDefault="00F9629E" w:rsidP="008F6E37">
            <w:pPr>
              <w:autoSpaceDE w:val="0"/>
              <w:autoSpaceDN w:val="0"/>
              <w:adjustRightInd w:val="0"/>
              <w:spacing w:after="150"/>
              <w:ind w:firstLine="450"/>
              <w:jc w:val="both"/>
              <w:rPr>
                <w:szCs w:val="28"/>
                <w:lang w:val="uk-UA"/>
              </w:rPr>
            </w:pPr>
            <w:r w:rsidRPr="008F6E37">
              <w:rPr>
                <w:szCs w:val="28"/>
                <w:lang w:val="uk-UA"/>
              </w:rPr>
              <w:t xml:space="preserve">Сплату грошових зобов'язань або погашення </w:t>
            </w:r>
            <w:r w:rsidRPr="008F6E37">
              <w:rPr>
                <w:szCs w:val="28"/>
                <w:lang w:val="uk-UA"/>
              </w:rPr>
              <w:lastRenderedPageBreak/>
              <w:t>податкового боргу платника податків з відповідного платежу може бути здійснено також:</w:t>
            </w:r>
          </w:p>
          <w:p w:rsidR="00F9629E" w:rsidRPr="008F6E37" w:rsidRDefault="00F9629E" w:rsidP="00F9629E">
            <w:pPr>
              <w:jc w:val="both"/>
              <w:rPr>
                <w:szCs w:val="28"/>
                <w:lang w:val="uk-UA"/>
              </w:rPr>
            </w:pPr>
            <w:r w:rsidRPr="008F6E37">
              <w:rPr>
                <w:szCs w:val="28"/>
                <w:lang w:val="uk-UA"/>
              </w:rPr>
              <w:t>а) за рахунок надміру сплачених сум такого платежу (без заяви платника);</w:t>
            </w:r>
          </w:p>
          <w:p w:rsidR="00F9629E" w:rsidRPr="008F6E37" w:rsidRDefault="00F9629E" w:rsidP="00F9629E">
            <w:pPr>
              <w:autoSpaceDE w:val="0"/>
              <w:autoSpaceDN w:val="0"/>
              <w:adjustRightInd w:val="0"/>
              <w:spacing w:after="150"/>
              <w:ind w:firstLine="450"/>
              <w:jc w:val="both"/>
              <w:rPr>
                <w:color w:val="000000"/>
                <w:szCs w:val="28"/>
                <w:lang w:val="uk-UA" w:eastAsia="uk-UA"/>
              </w:rPr>
            </w:pPr>
            <w:r w:rsidRPr="008F6E37">
              <w:rPr>
                <w:szCs w:val="28"/>
                <w:lang w:val="uk-UA"/>
              </w:rPr>
              <w:t xml:space="preserve">б) за рахунок помилково та/або надміру сплачених сум з інших платежів (на підставі відповідної заяви платника) до відповідних бюджетів </w:t>
            </w:r>
            <w:r w:rsidRPr="008F6E37">
              <w:rPr>
                <w:b/>
                <w:color w:val="000000"/>
                <w:szCs w:val="28"/>
                <w:lang w:val="uk-UA" w:eastAsia="uk-UA"/>
              </w:rPr>
              <w:t>(крім сум помилково та/або надміру сплачених податкових зобов'язань з податку на додану вартість)</w:t>
            </w:r>
            <w:r w:rsidRPr="008F6E37">
              <w:rPr>
                <w:color w:val="000000"/>
                <w:szCs w:val="28"/>
                <w:lang w:val="uk-UA" w:eastAsia="uk-UA"/>
              </w:rPr>
              <w:t>;</w:t>
            </w:r>
          </w:p>
          <w:p w:rsidR="00F9629E" w:rsidRPr="008F6E37" w:rsidRDefault="00F9629E" w:rsidP="00F9629E">
            <w:pPr>
              <w:jc w:val="both"/>
              <w:rPr>
                <w:szCs w:val="28"/>
                <w:lang w:val="uk-UA"/>
              </w:rPr>
            </w:pPr>
            <w:r w:rsidRPr="008F6E37">
              <w:rPr>
                <w:szCs w:val="28"/>
                <w:lang w:val="uk-UA"/>
              </w:rPr>
              <w:t>в) за рахунок суми бюджетного відшкодування з податку на додану вартість (на підставі відповідної заяви платника) до Державного бюджету України.</w:t>
            </w:r>
          </w:p>
          <w:p w:rsidR="00F9629E" w:rsidRPr="008F6E37" w:rsidRDefault="00F9629E" w:rsidP="00F9629E">
            <w:pPr>
              <w:jc w:val="both"/>
              <w:rPr>
                <w:b/>
                <w:szCs w:val="28"/>
                <w:lang w:val="uk-UA"/>
              </w:rPr>
            </w:pPr>
            <w:r w:rsidRPr="008F6E37">
              <w:rPr>
                <w:szCs w:val="28"/>
                <w:lang w:val="uk-UA"/>
              </w:rPr>
              <w:t xml:space="preserve">Не можуть бути джерелом погашення податкового боргу, крім погашення податкового боргу з податку на додану вартість </w:t>
            </w:r>
            <w:r w:rsidRPr="008F6E37">
              <w:rPr>
                <w:b/>
                <w:szCs w:val="28"/>
                <w:lang w:val="uk-UA"/>
              </w:rPr>
              <w:t>(за винятком податкового боргу, що виник до 1 липня 2015 року),</w:t>
            </w:r>
            <w:r w:rsidRPr="008F6E37">
              <w:rPr>
                <w:szCs w:val="28"/>
                <w:lang w:val="uk-UA"/>
              </w:rPr>
              <w:t xml:space="preserve"> кошти на рахунку платника в системі електронного адміністрування податку на додану вартість. Для погашення такого податкового боргу за рахунок коштів на рахунку платника податків у системі електронного адміністрування податку на додану вартість центральний орган виконавчої влади, що реалізує податкову і митну політику, за умови наявності підстав, передбачених статтею 95 цього Кодексу, надсилає органу, що здійснює казначейське обслуговування бюджетних коштів, у якому відкриті рахунки платників у системі електронного адміністрування податку на додану вартість, реєстр, у якому зазначаються найменування платника, податковий та індивідуальний податковий номер платника та сума </w:t>
            </w:r>
            <w:r w:rsidRPr="008F6E37">
              <w:rPr>
                <w:szCs w:val="28"/>
                <w:lang w:val="uk-UA"/>
              </w:rPr>
              <w:lastRenderedPageBreak/>
              <w:t>податкового боргу, що підлягає перерахуванню до бюджету. Порядок формування та надсилання органу, що здійснює казначейське обслуговування бюджетних коштів, такого реєстру визначається центральним органом виконавчої влади, що забезпечує формування та реалізацію державної податкової і митної політики.</w:t>
            </w:r>
            <w:r w:rsidRPr="008F6E37">
              <w:rPr>
                <w:b/>
                <w:szCs w:val="28"/>
                <w:lang w:val="uk-UA"/>
              </w:rPr>
              <w:t> </w:t>
            </w:r>
          </w:p>
        </w:tc>
      </w:tr>
      <w:tr w:rsidR="00F9629E" w:rsidRPr="008F6E37" w:rsidTr="004B21E2">
        <w:tc>
          <w:tcPr>
            <w:tcW w:w="7564" w:type="dxa"/>
          </w:tcPr>
          <w:p w:rsidR="00F9629E" w:rsidRPr="008F6E37" w:rsidRDefault="00F9629E" w:rsidP="00F9629E">
            <w:pPr>
              <w:autoSpaceDE w:val="0"/>
              <w:autoSpaceDN w:val="0"/>
              <w:adjustRightInd w:val="0"/>
              <w:spacing w:after="150"/>
              <w:ind w:firstLine="450"/>
              <w:jc w:val="both"/>
              <w:rPr>
                <w:b/>
                <w:szCs w:val="28"/>
                <w:lang w:val="uk-UA" w:eastAsia="uk-UA"/>
              </w:rPr>
            </w:pPr>
            <w:r w:rsidRPr="008F6E37">
              <w:rPr>
                <w:b/>
                <w:szCs w:val="28"/>
                <w:lang w:val="uk-UA" w:eastAsia="uk-UA"/>
              </w:rPr>
              <w:lastRenderedPageBreak/>
              <w:t xml:space="preserve">Відсутній </w:t>
            </w:r>
          </w:p>
        </w:tc>
        <w:tc>
          <w:tcPr>
            <w:tcW w:w="7564" w:type="dxa"/>
          </w:tcPr>
          <w:p w:rsidR="00F9629E" w:rsidRPr="008F6E37" w:rsidRDefault="00F9629E" w:rsidP="00F9629E">
            <w:pPr>
              <w:pStyle w:val="rvps2"/>
              <w:spacing w:before="0" w:beforeAutospacing="0" w:after="0" w:afterAutospacing="0"/>
              <w:ind w:firstLine="448"/>
              <w:jc w:val="both"/>
              <w:textAlignment w:val="baseline"/>
              <w:rPr>
                <w:sz w:val="28"/>
                <w:szCs w:val="28"/>
                <w:lang w:val="uk-UA" w:eastAsia="uk-UA"/>
              </w:rPr>
            </w:pPr>
            <w:r w:rsidRPr="008F6E37">
              <w:rPr>
                <w:b/>
                <w:sz w:val="28"/>
                <w:szCs w:val="28"/>
                <w:lang w:val="uk-UA" w:eastAsia="uk-UA"/>
              </w:rPr>
              <w:t>120</w:t>
            </w:r>
            <w:r w:rsidRPr="008F6E37">
              <w:rPr>
                <w:b/>
                <w:sz w:val="28"/>
                <w:szCs w:val="28"/>
                <w:vertAlign w:val="superscript"/>
                <w:lang w:val="uk-UA" w:eastAsia="uk-UA"/>
              </w:rPr>
              <w:t>1</w:t>
            </w:r>
            <w:r w:rsidRPr="008F6E37">
              <w:rPr>
                <w:b/>
                <w:sz w:val="28"/>
                <w:szCs w:val="28"/>
                <w:lang w:val="uk-UA" w:eastAsia="uk-UA"/>
              </w:rPr>
              <w:t>.5. Невиконання платником податку на додану вартість протягом 15 календарних днів після узгодження податкового повідомлення-рішення про необхідність складення та реєстрації податкової накладної в Єдиному реєстрі податкових накладних тягне за собою накладення штрафу в розмірі 10 відсотків від суми податкових зобов'язань, зазначених у такому податковому повідомленні-рішенні.</w:t>
            </w:r>
          </w:p>
        </w:tc>
      </w:tr>
      <w:tr w:rsidR="008F6E37" w:rsidRPr="008F6E37" w:rsidTr="004B21E2">
        <w:tc>
          <w:tcPr>
            <w:tcW w:w="7564" w:type="dxa"/>
          </w:tcPr>
          <w:p w:rsidR="008F6E37" w:rsidRPr="008F6E37" w:rsidRDefault="008F6E37" w:rsidP="008F6E37">
            <w:pPr>
              <w:pStyle w:val="st2"/>
              <w:spacing w:after="60"/>
              <w:ind w:firstLine="403"/>
              <w:rPr>
                <w:rStyle w:val="st42"/>
                <w:rFonts w:cs="Times New Roman"/>
                <w:sz w:val="28"/>
                <w:szCs w:val="28"/>
                <w:lang w:val="uk-UA"/>
              </w:rPr>
            </w:pPr>
            <w:r w:rsidRPr="008F6E37">
              <w:rPr>
                <w:rStyle w:val="st101"/>
                <w:rFonts w:cs="Times New Roman"/>
                <w:bCs/>
                <w:sz w:val="28"/>
                <w:szCs w:val="28"/>
                <w:lang w:val="uk-UA"/>
              </w:rPr>
              <w:t>Стаття 198</w:t>
            </w:r>
            <w:r w:rsidRPr="008F6E37">
              <w:rPr>
                <w:rStyle w:val="st101"/>
                <w:rFonts w:cs="Times New Roman"/>
                <w:b w:val="0"/>
                <w:bCs/>
                <w:sz w:val="28"/>
                <w:szCs w:val="28"/>
                <w:lang w:val="uk-UA"/>
              </w:rPr>
              <w:t>.</w:t>
            </w:r>
            <w:r w:rsidRPr="008F6E37">
              <w:rPr>
                <w:rStyle w:val="st42"/>
                <w:rFonts w:cs="Times New Roman"/>
                <w:sz w:val="28"/>
                <w:szCs w:val="28"/>
                <w:lang w:val="uk-UA"/>
              </w:rPr>
              <w:t xml:space="preserve"> Податковий кредит</w:t>
            </w:r>
          </w:p>
        </w:tc>
        <w:tc>
          <w:tcPr>
            <w:tcW w:w="7564" w:type="dxa"/>
          </w:tcPr>
          <w:p w:rsidR="008F6E37" w:rsidRPr="008F6E37" w:rsidRDefault="008F6E37" w:rsidP="008F6E37">
            <w:pPr>
              <w:pStyle w:val="st2"/>
              <w:spacing w:after="60"/>
              <w:ind w:firstLine="403"/>
              <w:rPr>
                <w:rStyle w:val="st101"/>
                <w:rFonts w:cs="Times New Roman"/>
                <w:bCs/>
                <w:sz w:val="28"/>
                <w:szCs w:val="28"/>
                <w:lang w:val="uk-UA"/>
              </w:rPr>
            </w:pPr>
            <w:r w:rsidRPr="008F6E37">
              <w:rPr>
                <w:rStyle w:val="st101"/>
                <w:rFonts w:cs="Times New Roman"/>
                <w:bCs/>
                <w:sz w:val="28"/>
                <w:szCs w:val="28"/>
                <w:lang w:val="uk-UA"/>
              </w:rPr>
              <w:t>Стаття 198</w:t>
            </w:r>
            <w:r w:rsidRPr="008F6E37">
              <w:rPr>
                <w:rStyle w:val="st101"/>
                <w:rFonts w:cs="Times New Roman"/>
                <w:b w:val="0"/>
                <w:bCs/>
                <w:sz w:val="28"/>
                <w:szCs w:val="28"/>
                <w:lang w:val="uk-UA"/>
              </w:rPr>
              <w:t>.</w:t>
            </w:r>
            <w:r w:rsidRPr="008F6E37">
              <w:rPr>
                <w:rStyle w:val="st42"/>
                <w:rFonts w:cs="Times New Roman"/>
                <w:sz w:val="28"/>
                <w:szCs w:val="28"/>
                <w:lang w:val="uk-UA"/>
              </w:rPr>
              <w:t xml:space="preserve"> Податковий кредит</w:t>
            </w:r>
          </w:p>
        </w:tc>
      </w:tr>
      <w:tr w:rsidR="008F6E37" w:rsidRPr="008F6E37" w:rsidTr="004B21E2">
        <w:tc>
          <w:tcPr>
            <w:tcW w:w="7564" w:type="dxa"/>
          </w:tcPr>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198.6. 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 201.11 статті 201 цього Кодексу.</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У разі коли на момент перевірки платника податку контролюючим органом суми податку, попередньо включені до складу податкового кредиту, залишаються не підтвердженими зазначеними у абзаці першому цього пункту документами, платник податку несе відповідальність відповідно до цього Кодексу.</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lastRenderedPageBreak/>
              <w:t>Податкові накладні, отримані з Єдиного реєстру податкових накладних, є для отримувача товарів/послуг підставою для нарахування сум податку, що відносяться до податкового кредиту.</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 зареєстрованих в Єдиному реєстрі податкових накладних, таке право зберігається за ним протягом 365 календарних днів з дати складення податкової накладної.</w:t>
            </w:r>
          </w:p>
          <w:p w:rsidR="0049420C" w:rsidRDefault="0049420C" w:rsidP="008F6E37">
            <w:pPr>
              <w:pStyle w:val="st2"/>
              <w:spacing w:after="0"/>
              <w:rPr>
                <w:rFonts w:ascii="Times New Roman" w:hAnsi="Times New Roman" w:cs="Times New Roman"/>
                <w:sz w:val="28"/>
                <w:szCs w:val="28"/>
                <w:lang w:val="uk-UA"/>
              </w:rPr>
            </w:pPr>
          </w:p>
          <w:p w:rsidR="0049420C" w:rsidRDefault="0049420C" w:rsidP="008F6E37">
            <w:pPr>
              <w:pStyle w:val="st2"/>
              <w:spacing w:after="0"/>
              <w:rPr>
                <w:rFonts w:ascii="Times New Roman" w:hAnsi="Times New Roman" w:cs="Times New Roman"/>
                <w:sz w:val="28"/>
                <w:szCs w:val="28"/>
                <w:lang w:val="uk-UA"/>
              </w:rPr>
            </w:pPr>
          </w:p>
          <w:p w:rsidR="0049420C" w:rsidRDefault="0049420C" w:rsidP="008F6E37">
            <w:pPr>
              <w:pStyle w:val="st2"/>
              <w:spacing w:after="0"/>
              <w:rPr>
                <w:rFonts w:ascii="Times New Roman" w:hAnsi="Times New Roman" w:cs="Times New Roman"/>
                <w:sz w:val="28"/>
                <w:szCs w:val="28"/>
                <w:lang w:val="uk-UA"/>
              </w:rPr>
            </w:pPr>
          </w:p>
          <w:p w:rsidR="0049420C" w:rsidRDefault="0049420C" w:rsidP="008F6E37">
            <w:pPr>
              <w:pStyle w:val="st2"/>
              <w:spacing w:after="0"/>
              <w:rPr>
                <w:rFonts w:ascii="Times New Roman" w:hAnsi="Times New Roman" w:cs="Times New Roman"/>
                <w:sz w:val="28"/>
                <w:szCs w:val="28"/>
                <w:lang w:val="uk-UA"/>
              </w:rPr>
            </w:pPr>
          </w:p>
          <w:p w:rsidR="0049420C" w:rsidRDefault="0049420C" w:rsidP="008F6E37">
            <w:pPr>
              <w:pStyle w:val="st2"/>
              <w:spacing w:after="0"/>
              <w:rPr>
                <w:rFonts w:ascii="Times New Roman" w:hAnsi="Times New Roman" w:cs="Times New Roman"/>
                <w:sz w:val="28"/>
                <w:szCs w:val="28"/>
                <w:lang w:val="uk-UA"/>
              </w:rPr>
            </w:pP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Суми податку, сплачені (нараховані) у зв'язку з придбанням товарів/послуг, зазначені в податкових накладних / розрахунках коригування до таких податкових накладних, зареєстрованих в Єдиному реєстрі податкових накладних з порушенням терміну реєстрації, відносяться до податкового кредиту за звітний податковий період, в якому зареєстровано податкові накладні / розрахунки коригування в Єдиному реєстрі податкових накладних, але не пізніше:</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ніж через 365 календарних днів з дати складення податкових накладних / розрахунків коригування до таких податкових накладних;</w:t>
            </w:r>
          </w:p>
          <w:p w:rsidR="008F6E37" w:rsidRPr="008F6E37" w:rsidRDefault="008F6E37" w:rsidP="008F6E37">
            <w:pPr>
              <w:pStyle w:val="st2"/>
              <w:spacing w:after="0"/>
              <w:rPr>
                <w:rFonts w:ascii="Times New Roman" w:hAnsi="Times New Roman" w:cs="Times New Roman"/>
                <w:sz w:val="28"/>
                <w:szCs w:val="28"/>
                <w:lang w:val="uk-UA"/>
              </w:rPr>
            </w:pPr>
          </w:p>
          <w:p w:rsidR="008F6E37" w:rsidRPr="008F6E37" w:rsidRDefault="008F6E37" w:rsidP="008F6E37">
            <w:pPr>
              <w:pStyle w:val="st2"/>
              <w:spacing w:after="0"/>
              <w:rPr>
                <w:rFonts w:ascii="Times New Roman" w:hAnsi="Times New Roman" w:cs="Times New Roman"/>
                <w:sz w:val="28"/>
                <w:szCs w:val="28"/>
                <w:lang w:val="uk-UA"/>
              </w:rPr>
            </w:pPr>
          </w:p>
          <w:p w:rsidR="008F6E37" w:rsidRPr="008F6E37" w:rsidRDefault="008F6E37" w:rsidP="008F6E37">
            <w:pPr>
              <w:pStyle w:val="st2"/>
              <w:spacing w:after="0"/>
              <w:rPr>
                <w:rFonts w:ascii="Times New Roman" w:hAnsi="Times New Roman" w:cs="Times New Roman"/>
                <w:sz w:val="28"/>
                <w:szCs w:val="28"/>
                <w:lang w:val="uk-UA"/>
              </w:rPr>
            </w:pPr>
          </w:p>
          <w:p w:rsidR="008F6E37" w:rsidRPr="0049420C" w:rsidRDefault="008F6E37" w:rsidP="008F6E37">
            <w:pPr>
              <w:pStyle w:val="st2"/>
              <w:spacing w:after="0"/>
              <w:rPr>
                <w:rFonts w:ascii="Times New Roman" w:hAnsi="Times New Roman" w:cs="Times New Roman"/>
                <w:b/>
                <w:sz w:val="28"/>
                <w:szCs w:val="28"/>
                <w:lang w:val="uk-UA"/>
              </w:rPr>
            </w:pPr>
            <w:r w:rsidRPr="0049420C">
              <w:rPr>
                <w:rFonts w:ascii="Times New Roman" w:hAnsi="Times New Roman" w:cs="Times New Roman"/>
                <w:b/>
                <w:sz w:val="28"/>
                <w:szCs w:val="28"/>
                <w:lang w:val="uk-UA"/>
              </w:rPr>
              <w:lastRenderedPageBreak/>
              <w:t>для платників податку, що застосовують касовий метод, - ніж через 60 календарних днів з дати списання коштів з банківського рахунка платника податку.</w:t>
            </w:r>
          </w:p>
          <w:p w:rsidR="008F6E37" w:rsidRPr="008F6E37" w:rsidRDefault="008F6E37" w:rsidP="008F6E37">
            <w:pPr>
              <w:pStyle w:val="st2"/>
              <w:spacing w:after="0"/>
              <w:ind w:firstLine="0"/>
              <w:rPr>
                <w:rFonts w:ascii="Times New Roman" w:hAnsi="Times New Roman" w:cs="Times New Roman"/>
                <w:sz w:val="28"/>
                <w:szCs w:val="28"/>
                <w:lang w:val="uk-UA"/>
              </w:rPr>
            </w:pPr>
          </w:p>
        </w:tc>
        <w:tc>
          <w:tcPr>
            <w:tcW w:w="7564" w:type="dxa"/>
          </w:tcPr>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lastRenderedPageBreak/>
              <w:t>198.6. 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 201.11 статті 201 цього Кодексу.</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t>У разі коли на момент перевірки платника податку контролюючим органом суми податку, попередньо включені до складу податкового кредиту, залишаються не підтвердженими зазначеними у абзаці першому цього пункту документами, платник податку несе відповідальність відповідно до цього Кодексу.</w:t>
            </w:r>
          </w:p>
          <w:p w:rsidR="008F6E37" w:rsidRPr="008F6E37" w:rsidRDefault="008F6E37" w:rsidP="008F6E37">
            <w:pPr>
              <w:pStyle w:val="st2"/>
              <w:spacing w:after="0"/>
              <w:rPr>
                <w:rFonts w:ascii="Times New Roman" w:hAnsi="Times New Roman" w:cs="Times New Roman"/>
                <w:sz w:val="28"/>
                <w:szCs w:val="28"/>
                <w:lang w:val="uk-UA"/>
              </w:rPr>
            </w:pPr>
            <w:r w:rsidRPr="008F6E37">
              <w:rPr>
                <w:rFonts w:ascii="Times New Roman" w:hAnsi="Times New Roman" w:cs="Times New Roman"/>
                <w:sz w:val="28"/>
                <w:szCs w:val="28"/>
                <w:lang w:val="uk-UA"/>
              </w:rPr>
              <w:lastRenderedPageBreak/>
              <w:t>Податкові накладні, отримані з Єдиного реєстру податкових накладних, є для отримувача товарів/послуг підставою для нарахування сум податку, що відносяться до податкового кредиту.</w:t>
            </w:r>
          </w:p>
          <w:p w:rsidR="008F6E37" w:rsidRPr="008F6E37" w:rsidRDefault="008F6E37" w:rsidP="008F6E37">
            <w:pPr>
              <w:pStyle w:val="st2"/>
              <w:spacing w:after="0"/>
              <w:rPr>
                <w:rFonts w:ascii="Times New Roman" w:hAnsi="Times New Roman" w:cs="Times New Roman"/>
                <w:b/>
                <w:sz w:val="28"/>
                <w:szCs w:val="28"/>
                <w:lang w:val="uk-UA"/>
              </w:rPr>
            </w:pPr>
            <w:r w:rsidRPr="008F6E37">
              <w:rPr>
                <w:rFonts w:ascii="Times New Roman" w:hAnsi="Times New Roman" w:cs="Times New Roman"/>
                <w:sz w:val="28"/>
                <w:szCs w:val="28"/>
                <w:lang w:val="uk-UA"/>
              </w:rPr>
              <w:t xml:space="preserve">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 зареєстрованих в Єдиному реєстрі податкових накладних, таке право зберігається за ним протягом </w:t>
            </w:r>
            <w:r w:rsidRPr="008F6E37">
              <w:rPr>
                <w:rFonts w:ascii="Times New Roman" w:hAnsi="Times New Roman" w:cs="Times New Roman"/>
                <w:b/>
                <w:sz w:val="28"/>
                <w:szCs w:val="28"/>
                <w:lang w:val="uk-UA"/>
              </w:rPr>
              <w:t>до спливу встановленого пунктом 201.10 статті 201 цього Кодексу строку, протягом якого платник податку має право зареєструвати податкові накладні та/або розрахунки коригування до податкових накладних у Єдиному реєстрі податкових накладних.</w:t>
            </w:r>
          </w:p>
          <w:p w:rsidR="008F6E37" w:rsidRPr="008F6E37" w:rsidRDefault="008F6E37" w:rsidP="008F6E37">
            <w:pPr>
              <w:pStyle w:val="st2"/>
              <w:rPr>
                <w:rFonts w:ascii="Times New Roman" w:hAnsi="Times New Roman"/>
                <w:sz w:val="28"/>
                <w:szCs w:val="28"/>
                <w:lang w:val="uk-UA"/>
              </w:rPr>
            </w:pPr>
            <w:r w:rsidRPr="008F6E37">
              <w:rPr>
                <w:rFonts w:ascii="Times New Roman" w:hAnsi="Times New Roman" w:cs="Times New Roman"/>
                <w:sz w:val="28"/>
                <w:szCs w:val="28"/>
                <w:lang w:val="uk-UA"/>
              </w:rPr>
              <w:t>Суми податку, сплачені (нараховані) у зв'язку з придбанням товарів/послуг, зазначені в податкових накладних / розрахунках коригування до таких податкових накладних, зареєстрованих в Єдиному реєстрі податкових накладних з порушенням терміну реєстрації, відносяться до податкового кредиту за звітний податковий період, в якому зареєстровано податкові накладні / розрахунки коригування в Єдиному реєстрі податкових накладних, але не пізніше</w:t>
            </w:r>
            <w:r w:rsidRPr="008F6E37">
              <w:rPr>
                <w:rFonts w:ascii="Times New Roman" w:hAnsi="Times New Roman" w:cs="Times New Roman"/>
                <w:b/>
                <w:sz w:val="28"/>
                <w:szCs w:val="28"/>
                <w:lang w:val="uk-UA"/>
              </w:rPr>
              <w:t xml:space="preserve"> </w:t>
            </w:r>
            <w:r w:rsidRPr="008F6E37">
              <w:rPr>
                <w:rFonts w:ascii="Times New Roman" w:hAnsi="Times New Roman"/>
                <w:b/>
                <w:sz w:val="28"/>
                <w:szCs w:val="28"/>
                <w:lang w:val="uk-UA"/>
              </w:rPr>
              <w:t>спливу встановленого пунктом 201.10 статті 201 цього Кодексу строку, протягом якого платник податку має право зареєструвати податкові накладні та/або розрахунки коригування до податкових накладних у Єдиному реєстрі податкових накладних</w:t>
            </w:r>
            <w:r w:rsidRPr="008F6E37">
              <w:rPr>
                <w:rFonts w:ascii="Times New Roman" w:hAnsi="Times New Roman"/>
                <w:sz w:val="28"/>
                <w:szCs w:val="28"/>
                <w:lang w:val="uk-UA"/>
              </w:rPr>
              <w:t>;</w:t>
            </w:r>
          </w:p>
          <w:p w:rsidR="008F6E37" w:rsidRPr="008F6E37" w:rsidRDefault="008F6E37" w:rsidP="008F6E37">
            <w:pPr>
              <w:pStyle w:val="st2"/>
              <w:spacing w:after="0"/>
              <w:rPr>
                <w:rFonts w:ascii="Times New Roman" w:hAnsi="Times New Roman"/>
                <w:sz w:val="28"/>
                <w:szCs w:val="28"/>
                <w:lang w:val="uk-UA"/>
              </w:rPr>
            </w:pPr>
          </w:p>
          <w:p w:rsidR="008F6E37" w:rsidRPr="008F6E37" w:rsidRDefault="008F6E37" w:rsidP="008F6E37">
            <w:pPr>
              <w:pStyle w:val="st2"/>
              <w:spacing w:after="60"/>
              <w:ind w:firstLine="403"/>
              <w:rPr>
                <w:rFonts w:ascii="Times New Roman" w:hAnsi="Times New Roman" w:cs="Times New Roman"/>
                <w:b/>
                <w:sz w:val="28"/>
                <w:szCs w:val="28"/>
                <w:lang w:val="uk-UA"/>
              </w:rPr>
            </w:pPr>
            <w:r w:rsidRPr="008F6E37">
              <w:rPr>
                <w:rFonts w:ascii="Times New Roman" w:hAnsi="Times New Roman" w:cs="Times New Roman"/>
                <w:b/>
                <w:sz w:val="28"/>
                <w:szCs w:val="28"/>
                <w:lang w:val="uk-UA"/>
              </w:rPr>
              <w:t>Виключено</w:t>
            </w:r>
          </w:p>
        </w:tc>
      </w:tr>
      <w:tr w:rsidR="008F6E37" w:rsidRPr="008F6E37" w:rsidTr="004B21E2">
        <w:tc>
          <w:tcPr>
            <w:tcW w:w="7564" w:type="dxa"/>
          </w:tcPr>
          <w:p w:rsidR="008F6E37" w:rsidRPr="008F6E37" w:rsidRDefault="008F6E37" w:rsidP="008F6E37">
            <w:pPr>
              <w:jc w:val="both"/>
              <w:rPr>
                <w:b/>
                <w:szCs w:val="28"/>
                <w:lang w:val="uk-UA"/>
              </w:rPr>
            </w:pPr>
            <w:r w:rsidRPr="008F6E37">
              <w:rPr>
                <w:b/>
                <w:szCs w:val="28"/>
                <w:lang w:val="uk-UA"/>
              </w:rPr>
              <w:lastRenderedPageBreak/>
              <w:t>Стаття 200</w:t>
            </w:r>
            <w:r w:rsidRPr="008F6E37">
              <w:rPr>
                <w:b/>
                <w:szCs w:val="28"/>
                <w:vertAlign w:val="superscript"/>
                <w:lang w:val="uk-UA"/>
              </w:rPr>
              <w:t>1</w:t>
            </w:r>
            <w:r w:rsidRPr="008F6E37">
              <w:rPr>
                <w:b/>
                <w:szCs w:val="28"/>
                <w:lang w:val="uk-UA"/>
              </w:rPr>
              <w:t xml:space="preserve">. </w:t>
            </w:r>
            <w:r w:rsidRPr="008F6E37">
              <w:rPr>
                <w:szCs w:val="28"/>
                <w:lang w:val="uk-UA"/>
              </w:rPr>
              <w:t>Електронне адміністрування податку на додану вартість</w:t>
            </w:r>
          </w:p>
        </w:tc>
        <w:tc>
          <w:tcPr>
            <w:tcW w:w="7564" w:type="dxa"/>
          </w:tcPr>
          <w:p w:rsidR="008F6E37" w:rsidRPr="008F6E37" w:rsidRDefault="008F6E37" w:rsidP="008F6E37">
            <w:pPr>
              <w:pStyle w:val="st2"/>
              <w:spacing w:after="60"/>
              <w:ind w:firstLine="403"/>
              <w:rPr>
                <w:rStyle w:val="st42"/>
                <w:rFonts w:cs="Times New Roman"/>
                <w:sz w:val="28"/>
                <w:szCs w:val="28"/>
                <w:lang w:val="uk-UA"/>
              </w:rPr>
            </w:pPr>
            <w:r w:rsidRPr="008F6E37">
              <w:rPr>
                <w:rFonts w:ascii="Times New Roman" w:hAnsi="Times New Roman"/>
                <w:b/>
                <w:sz w:val="28"/>
                <w:szCs w:val="28"/>
                <w:lang w:val="uk-UA"/>
              </w:rPr>
              <w:t>Стаття 200</w:t>
            </w:r>
            <w:r w:rsidRPr="008F6E37">
              <w:rPr>
                <w:rFonts w:ascii="Times New Roman" w:hAnsi="Times New Roman"/>
                <w:b/>
                <w:sz w:val="28"/>
                <w:szCs w:val="28"/>
                <w:vertAlign w:val="superscript"/>
                <w:lang w:val="uk-UA"/>
              </w:rPr>
              <w:t>1</w:t>
            </w:r>
            <w:r w:rsidRPr="008F6E37">
              <w:rPr>
                <w:rFonts w:ascii="Times New Roman" w:hAnsi="Times New Roman"/>
                <w:b/>
                <w:sz w:val="28"/>
                <w:szCs w:val="28"/>
                <w:lang w:val="uk-UA"/>
              </w:rPr>
              <w:t xml:space="preserve">. </w:t>
            </w:r>
            <w:r w:rsidRPr="008F6E37">
              <w:rPr>
                <w:rFonts w:ascii="Times New Roman" w:hAnsi="Times New Roman"/>
                <w:sz w:val="28"/>
                <w:szCs w:val="28"/>
                <w:lang w:val="uk-UA"/>
              </w:rPr>
              <w:t>Електронне адміністрування податку на додану вартість</w:t>
            </w:r>
          </w:p>
        </w:tc>
      </w:tr>
      <w:tr w:rsidR="008F6E37" w:rsidRPr="008F6E37" w:rsidTr="004B21E2">
        <w:tc>
          <w:tcPr>
            <w:tcW w:w="7564" w:type="dxa"/>
          </w:tcPr>
          <w:p w:rsidR="008F6E37" w:rsidRPr="008F6E37" w:rsidRDefault="008F6E37" w:rsidP="008F6E37">
            <w:pPr>
              <w:jc w:val="both"/>
              <w:rPr>
                <w:szCs w:val="28"/>
                <w:lang w:val="uk-UA" w:eastAsia="uk-UA"/>
              </w:rPr>
            </w:pPr>
            <w:r w:rsidRPr="008F6E37">
              <w:rPr>
                <w:szCs w:val="28"/>
                <w:lang w:val="uk-UA" w:eastAsia="uk-UA"/>
              </w:rPr>
              <w:t>200</w:t>
            </w:r>
            <w:r w:rsidRPr="008F6E37">
              <w:rPr>
                <w:szCs w:val="28"/>
                <w:vertAlign w:val="superscript"/>
                <w:lang w:val="uk-UA" w:eastAsia="uk-UA"/>
              </w:rPr>
              <w:t xml:space="preserve"> 1</w:t>
            </w:r>
            <w:r w:rsidRPr="008F6E37">
              <w:rPr>
                <w:szCs w:val="28"/>
                <w:lang w:val="uk-UA" w:eastAsia="uk-UA"/>
              </w:rPr>
              <w:t>.2. Платникам податку автоматично відкриваються рахунки в системі електронного адміністрування податку на додану вартість.</w:t>
            </w:r>
          </w:p>
          <w:p w:rsidR="008F6E37" w:rsidRPr="008F6E37" w:rsidRDefault="008F6E37" w:rsidP="008F6E37">
            <w:pPr>
              <w:jc w:val="both"/>
              <w:rPr>
                <w:szCs w:val="28"/>
                <w:lang w:val="uk-UA" w:eastAsia="uk-UA"/>
              </w:rPr>
            </w:pPr>
            <w:r w:rsidRPr="008F6E37">
              <w:rPr>
                <w:szCs w:val="28"/>
                <w:lang w:val="uk-UA" w:eastAsia="uk-UA"/>
              </w:rPr>
              <w:t xml:space="preserve">          </w:t>
            </w: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uk-UA"/>
              </w:rPr>
            </w:pPr>
          </w:p>
          <w:p w:rsidR="008F6E37" w:rsidRPr="008F6E37" w:rsidRDefault="008F6E37" w:rsidP="008F6E37">
            <w:pPr>
              <w:jc w:val="both"/>
              <w:rPr>
                <w:szCs w:val="28"/>
                <w:lang w:val="uk-UA" w:eastAsia="ru-RU"/>
              </w:rPr>
            </w:pPr>
            <w:r w:rsidRPr="008F6E37">
              <w:rPr>
                <w:szCs w:val="28"/>
                <w:lang w:val="uk-UA" w:eastAsia="uk-UA"/>
              </w:rPr>
              <w:t xml:space="preserve">     </w:t>
            </w:r>
          </w:p>
        </w:tc>
        <w:tc>
          <w:tcPr>
            <w:tcW w:w="7564" w:type="dxa"/>
          </w:tcPr>
          <w:p w:rsidR="008F6E37" w:rsidRPr="008F6E37" w:rsidRDefault="008F6E37" w:rsidP="008F6E37">
            <w:pPr>
              <w:jc w:val="both"/>
              <w:rPr>
                <w:szCs w:val="28"/>
                <w:lang w:val="uk-UA" w:eastAsia="uk-UA"/>
              </w:rPr>
            </w:pPr>
            <w:r w:rsidRPr="008F6E37">
              <w:rPr>
                <w:szCs w:val="28"/>
                <w:lang w:val="uk-UA" w:eastAsia="uk-UA"/>
              </w:rPr>
              <w:t>200</w:t>
            </w:r>
            <w:r w:rsidRPr="008F6E37">
              <w:rPr>
                <w:szCs w:val="28"/>
                <w:vertAlign w:val="superscript"/>
                <w:lang w:val="uk-UA" w:eastAsia="uk-UA"/>
              </w:rPr>
              <w:t xml:space="preserve"> 1</w:t>
            </w:r>
            <w:r w:rsidRPr="008F6E37">
              <w:rPr>
                <w:szCs w:val="28"/>
                <w:lang w:val="uk-UA" w:eastAsia="uk-UA"/>
              </w:rPr>
              <w:t>.2. Платникам податку автоматично відкриваються рахунки в системі електронного адміністрування податку на додану вартість.</w:t>
            </w:r>
          </w:p>
          <w:p w:rsidR="008F6E37" w:rsidRPr="008F6E37" w:rsidRDefault="008F6E37" w:rsidP="008F6E37">
            <w:pPr>
              <w:autoSpaceDE w:val="0"/>
              <w:autoSpaceDN w:val="0"/>
              <w:adjustRightInd w:val="0"/>
              <w:spacing w:after="150"/>
              <w:ind w:firstLine="450"/>
              <w:jc w:val="both"/>
              <w:rPr>
                <w:szCs w:val="28"/>
                <w:lang w:val="uk-UA" w:eastAsia="ru-RU"/>
              </w:rPr>
            </w:pPr>
            <w:r w:rsidRPr="008F6E37">
              <w:rPr>
                <w:b/>
                <w:color w:val="000000"/>
                <w:szCs w:val="28"/>
                <w:lang w:val="uk-UA" w:eastAsia="uk-UA"/>
              </w:rPr>
              <w:t xml:space="preserve">Розрахунки з бюджетом в системі електронного адміністрування  податку на додану вартість здійснюються з цих рахунків, крім випадків, передбачених цим Кодексом. Суми податку на додану вартість, перераховані до бюджету безпосередньо з поточних рахунків платника податку, відкритих у банках, не зараховуються в рахунок сплати податкових зобов’язань або погашення податкового боргу платника податку крім випадків, передбачених цим Кодексом, а вважаться помилково сплаченими податковими зобов'язаннями, і підлягають поверненню на поточний рахунок платника податків у порядку, встановленому статтею 43 цього Кодексу. </w:t>
            </w:r>
            <w:r w:rsidRPr="008F6E37">
              <w:rPr>
                <w:szCs w:val="28"/>
                <w:lang w:val="uk-UA" w:eastAsia="uk-UA"/>
              </w:rPr>
              <w:t xml:space="preserve">        </w:t>
            </w:r>
          </w:p>
        </w:tc>
      </w:tr>
      <w:tr w:rsidR="008F6E37" w:rsidRPr="008F6E37" w:rsidTr="004B21E2">
        <w:tc>
          <w:tcPr>
            <w:tcW w:w="7564" w:type="dxa"/>
          </w:tcPr>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color w:val="000000"/>
                <w:szCs w:val="28"/>
                <w:lang w:val="uk-UA" w:eastAsia="uk-UA"/>
              </w:rPr>
              <w:t>200</w:t>
            </w:r>
            <w:r w:rsidRPr="008F6E37">
              <w:rPr>
                <w:b/>
                <w:bCs/>
                <w:color w:val="000000"/>
                <w:szCs w:val="28"/>
                <w:vertAlign w:val="superscript"/>
                <w:lang w:val="uk-UA" w:eastAsia="uk-UA"/>
              </w:rPr>
              <w:t>1</w:t>
            </w:r>
            <w:r w:rsidRPr="008F6E37">
              <w:rPr>
                <w:color w:val="000000"/>
                <w:szCs w:val="28"/>
                <w:lang w:val="uk-UA" w:eastAsia="uk-UA"/>
              </w:rPr>
              <w:t>.3. Платник податку має право зареєструвати податкові накладні та/або розрахунки коригування в Єдиному реєстрі податкових накладних на суму податку (</w:t>
            </w:r>
            <w:r w:rsidRPr="008F6E37">
              <w:rPr>
                <w:rFonts w:ascii="Symbol" w:hAnsi="Symbol" w:cs="Symbol"/>
                <w:b/>
                <w:bCs/>
                <w:color w:val="000000"/>
                <w:szCs w:val="28"/>
                <w:lang w:val="uk-UA" w:eastAsia="uk-UA"/>
              </w:rPr>
              <w:t></w:t>
            </w:r>
            <w:r w:rsidRPr="008F6E37">
              <w:rPr>
                <w:color w:val="000000"/>
                <w:szCs w:val="28"/>
                <w:lang w:val="uk-UA" w:eastAsia="uk-UA"/>
              </w:rPr>
              <w:t>Накл), обчислену за такою формулою:</w:t>
            </w:r>
          </w:p>
          <w:p w:rsidR="008F6E37" w:rsidRPr="008F6E37" w:rsidRDefault="008F6E37" w:rsidP="008F6E37">
            <w:pPr>
              <w:autoSpaceDE w:val="0"/>
              <w:autoSpaceDN w:val="0"/>
              <w:adjustRightInd w:val="0"/>
              <w:spacing w:after="150"/>
              <w:ind w:left="450"/>
              <w:jc w:val="both"/>
              <w:rPr>
                <w:color w:val="000000"/>
                <w:szCs w:val="28"/>
                <w:lang w:val="uk-UA" w:eastAsia="uk-UA"/>
              </w:rPr>
            </w:pPr>
            <w:r w:rsidRPr="008F6E37">
              <w:rPr>
                <w:rFonts w:ascii="Symbol" w:hAnsi="Symbol" w:cs="Symbol"/>
                <w:b/>
                <w:bCs/>
                <w:color w:val="000000"/>
                <w:szCs w:val="28"/>
                <w:lang w:val="uk-UA" w:eastAsia="uk-UA"/>
              </w:rPr>
              <w:t></w:t>
            </w:r>
            <w:r w:rsidRPr="008F6E37">
              <w:rPr>
                <w:color w:val="000000"/>
                <w:szCs w:val="28"/>
                <w:lang w:val="uk-UA" w:eastAsia="uk-UA"/>
              </w:rPr>
              <w:t xml:space="preserve">Накл = </w:t>
            </w:r>
            <w:r w:rsidRPr="008F6E37">
              <w:rPr>
                <w:rFonts w:ascii="Symbol" w:hAnsi="Symbol" w:cs="Symbol"/>
                <w:b/>
                <w:bCs/>
                <w:color w:val="000000"/>
                <w:szCs w:val="28"/>
                <w:lang w:val="uk-UA" w:eastAsia="uk-UA"/>
              </w:rPr>
              <w:t></w:t>
            </w:r>
            <w:r w:rsidRPr="008F6E37">
              <w:rPr>
                <w:color w:val="000000"/>
                <w:szCs w:val="28"/>
                <w:lang w:val="uk-UA" w:eastAsia="uk-UA"/>
              </w:rPr>
              <w:t xml:space="preserve">НаклОтр + </w:t>
            </w:r>
            <w:r w:rsidRPr="008F6E37">
              <w:rPr>
                <w:rFonts w:ascii="Symbol" w:hAnsi="Symbol" w:cs="Symbol"/>
                <w:b/>
                <w:bCs/>
                <w:color w:val="000000"/>
                <w:szCs w:val="28"/>
                <w:lang w:val="uk-UA" w:eastAsia="uk-UA"/>
              </w:rPr>
              <w:t></w:t>
            </w:r>
            <w:r w:rsidRPr="008F6E37">
              <w:rPr>
                <w:color w:val="000000"/>
                <w:szCs w:val="28"/>
                <w:lang w:val="uk-UA" w:eastAsia="uk-UA"/>
              </w:rPr>
              <w:t xml:space="preserve">Митн + </w:t>
            </w:r>
            <w:r w:rsidRPr="008F6E37">
              <w:rPr>
                <w:rFonts w:ascii="Symbol" w:hAnsi="Symbol" w:cs="Symbol"/>
                <w:b/>
                <w:bCs/>
                <w:color w:val="000000"/>
                <w:szCs w:val="28"/>
                <w:lang w:val="uk-UA" w:eastAsia="uk-UA"/>
              </w:rPr>
              <w:t></w:t>
            </w:r>
            <w:r w:rsidRPr="008F6E37">
              <w:rPr>
                <w:color w:val="000000"/>
                <w:szCs w:val="28"/>
                <w:lang w:val="uk-UA" w:eastAsia="uk-UA"/>
              </w:rPr>
              <w:t xml:space="preserve">ПопРах + </w:t>
            </w:r>
            <w:r w:rsidRPr="008F6E37">
              <w:rPr>
                <w:rFonts w:ascii="Symbol" w:hAnsi="Symbol" w:cs="Symbol"/>
                <w:b/>
                <w:bCs/>
                <w:color w:val="000000"/>
                <w:szCs w:val="28"/>
                <w:lang w:val="uk-UA" w:eastAsia="uk-UA"/>
              </w:rPr>
              <w:t></w:t>
            </w:r>
            <w:r w:rsidRPr="008F6E37">
              <w:rPr>
                <w:color w:val="000000"/>
                <w:szCs w:val="28"/>
                <w:lang w:val="uk-UA" w:eastAsia="uk-UA"/>
              </w:rPr>
              <w:t xml:space="preserve">Овердрафт - </w:t>
            </w:r>
            <w:r w:rsidRPr="008F6E37">
              <w:rPr>
                <w:rFonts w:ascii="Symbol" w:hAnsi="Symbol" w:cs="Symbol"/>
                <w:b/>
                <w:bCs/>
                <w:color w:val="000000"/>
                <w:szCs w:val="28"/>
                <w:lang w:val="uk-UA" w:eastAsia="uk-UA"/>
              </w:rPr>
              <w:t></w:t>
            </w:r>
            <w:r w:rsidRPr="008F6E37">
              <w:rPr>
                <w:color w:val="000000"/>
                <w:szCs w:val="28"/>
                <w:lang w:val="uk-UA" w:eastAsia="uk-UA"/>
              </w:rPr>
              <w:t xml:space="preserve">НаклВид - </w:t>
            </w:r>
            <w:r w:rsidRPr="008F6E37">
              <w:rPr>
                <w:rFonts w:ascii="Symbol" w:hAnsi="Symbol" w:cs="Symbol"/>
                <w:b/>
                <w:bCs/>
                <w:color w:val="000000"/>
                <w:szCs w:val="28"/>
                <w:lang w:val="uk-UA" w:eastAsia="uk-UA"/>
              </w:rPr>
              <w:t></w:t>
            </w:r>
            <w:r w:rsidRPr="008F6E37">
              <w:rPr>
                <w:color w:val="000000"/>
                <w:szCs w:val="28"/>
                <w:lang w:val="uk-UA" w:eastAsia="uk-UA"/>
              </w:rPr>
              <w:t xml:space="preserve">Відшкод - </w:t>
            </w:r>
            <w:r w:rsidRPr="008F6E37">
              <w:rPr>
                <w:rFonts w:ascii="Symbol" w:hAnsi="Symbol" w:cs="Symbol"/>
                <w:b/>
                <w:bCs/>
                <w:color w:val="000000"/>
                <w:szCs w:val="28"/>
                <w:lang w:val="uk-UA" w:eastAsia="uk-UA"/>
              </w:rPr>
              <w:t></w:t>
            </w:r>
            <w:r w:rsidRPr="008F6E37">
              <w:rPr>
                <w:color w:val="000000"/>
                <w:szCs w:val="28"/>
                <w:lang w:val="uk-UA" w:eastAsia="uk-UA"/>
              </w:rPr>
              <w:t>Перевищ;</w:t>
            </w:r>
          </w:p>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color w:val="000000"/>
                <w:szCs w:val="28"/>
                <w:lang w:val="uk-UA" w:eastAsia="uk-UA"/>
              </w:rPr>
              <w:lastRenderedPageBreak/>
              <w:t>де:</w:t>
            </w:r>
          </w:p>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rFonts w:ascii="Symbol" w:hAnsi="Symbol" w:cs="Symbol"/>
                <w:b/>
                <w:bCs/>
                <w:color w:val="000000"/>
                <w:szCs w:val="28"/>
                <w:lang w:val="uk-UA" w:eastAsia="uk-UA"/>
              </w:rPr>
              <w:t></w:t>
            </w:r>
            <w:r w:rsidRPr="008F6E37">
              <w:rPr>
                <w:rFonts w:ascii="Symbol" w:hAnsi="Symbol" w:cs="Symbol"/>
                <w:b/>
                <w:bCs/>
                <w:color w:val="000000"/>
                <w:szCs w:val="28"/>
                <w:lang w:val="uk-UA" w:eastAsia="uk-UA"/>
              </w:rPr>
              <w:t></w:t>
            </w:r>
            <w:r w:rsidRPr="008F6E37">
              <w:rPr>
                <w:rFonts w:ascii="Symbol" w:hAnsi="Symbol" w:cs="Symbol"/>
                <w:b/>
                <w:bCs/>
                <w:color w:val="000000"/>
                <w:szCs w:val="28"/>
                <w:lang w:val="uk-UA" w:eastAsia="uk-UA"/>
              </w:rPr>
              <w:t></w:t>
            </w:r>
          </w:p>
        </w:tc>
        <w:tc>
          <w:tcPr>
            <w:tcW w:w="7564" w:type="dxa"/>
          </w:tcPr>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color w:val="000000"/>
                <w:szCs w:val="28"/>
                <w:lang w:val="uk-UA" w:eastAsia="uk-UA"/>
              </w:rPr>
              <w:lastRenderedPageBreak/>
              <w:t>200</w:t>
            </w:r>
            <w:r w:rsidRPr="008F6E37">
              <w:rPr>
                <w:b/>
                <w:bCs/>
                <w:color w:val="000000"/>
                <w:szCs w:val="28"/>
                <w:vertAlign w:val="superscript"/>
                <w:lang w:val="uk-UA" w:eastAsia="uk-UA"/>
              </w:rPr>
              <w:t>1</w:t>
            </w:r>
            <w:r w:rsidRPr="008F6E37">
              <w:rPr>
                <w:color w:val="000000"/>
                <w:szCs w:val="28"/>
                <w:lang w:val="uk-UA" w:eastAsia="uk-UA"/>
              </w:rPr>
              <w:t>.3. Платник податку має право зареєструвати податкові накладні та/або розрахунки коригування в Єдиному реєстрі податкових накладних на суму податку (</w:t>
            </w:r>
            <w:r w:rsidRPr="008F6E37">
              <w:rPr>
                <w:rFonts w:ascii="Symbol" w:hAnsi="Symbol" w:cs="Symbol"/>
                <w:b/>
                <w:bCs/>
                <w:color w:val="000000"/>
                <w:szCs w:val="28"/>
                <w:lang w:val="uk-UA" w:eastAsia="uk-UA"/>
              </w:rPr>
              <w:t></w:t>
            </w:r>
            <w:r w:rsidRPr="008F6E37">
              <w:rPr>
                <w:color w:val="000000"/>
                <w:szCs w:val="28"/>
                <w:lang w:val="uk-UA" w:eastAsia="uk-UA"/>
              </w:rPr>
              <w:t>Накл), обчислену за такою формулою:</w:t>
            </w:r>
          </w:p>
          <w:p w:rsidR="008F6E37" w:rsidRPr="008F6E37" w:rsidRDefault="008F6E37" w:rsidP="008F6E37">
            <w:pPr>
              <w:autoSpaceDE w:val="0"/>
              <w:autoSpaceDN w:val="0"/>
              <w:adjustRightInd w:val="0"/>
              <w:spacing w:after="150"/>
              <w:ind w:left="450"/>
              <w:jc w:val="both"/>
              <w:rPr>
                <w:color w:val="000000"/>
                <w:szCs w:val="28"/>
                <w:lang w:val="uk-UA" w:eastAsia="uk-UA"/>
              </w:rPr>
            </w:pPr>
            <w:r w:rsidRPr="008F6E37">
              <w:rPr>
                <w:rFonts w:ascii="Symbol" w:hAnsi="Symbol" w:cs="Symbol"/>
                <w:b/>
                <w:bCs/>
                <w:color w:val="000000"/>
                <w:szCs w:val="28"/>
                <w:lang w:val="uk-UA" w:eastAsia="uk-UA"/>
              </w:rPr>
              <w:t></w:t>
            </w:r>
            <w:r w:rsidRPr="008F6E37">
              <w:rPr>
                <w:color w:val="000000"/>
                <w:szCs w:val="28"/>
                <w:lang w:val="uk-UA" w:eastAsia="uk-UA"/>
              </w:rPr>
              <w:t xml:space="preserve">Накл = </w:t>
            </w:r>
            <w:r w:rsidRPr="008F6E37">
              <w:rPr>
                <w:rFonts w:ascii="Symbol" w:hAnsi="Symbol" w:cs="Symbol"/>
                <w:b/>
                <w:bCs/>
                <w:color w:val="000000"/>
                <w:szCs w:val="28"/>
                <w:lang w:val="uk-UA" w:eastAsia="uk-UA"/>
              </w:rPr>
              <w:t></w:t>
            </w:r>
            <w:r w:rsidRPr="008F6E37">
              <w:rPr>
                <w:color w:val="000000"/>
                <w:szCs w:val="28"/>
                <w:lang w:val="uk-UA" w:eastAsia="uk-UA"/>
              </w:rPr>
              <w:t xml:space="preserve">НаклОтр + </w:t>
            </w:r>
            <w:r w:rsidRPr="008F6E37">
              <w:rPr>
                <w:rFonts w:ascii="Symbol" w:hAnsi="Symbol" w:cs="Symbol"/>
                <w:b/>
                <w:bCs/>
                <w:color w:val="000000"/>
                <w:szCs w:val="28"/>
                <w:lang w:val="uk-UA" w:eastAsia="uk-UA"/>
              </w:rPr>
              <w:t></w:t>
            </w:r>
            <w:r w:rsidRPr="008F6E37">
              <w:rPr>
                <w:color w:val="000000"/>
                <w:szCs w:val="28"/>
                <w:lang w:val="uk-UA" w:eastAsia="uk-UA"/>
              </w:rPr>
              <w:t xml:space="preserve">Митн + </w:t>
            </w:r>
            <w:r w:rsidRPr="008F6E37">
              <w:rPr>
                <w:rFonts w:ascii="Symbol" w:hAnsi="Symbol" w:cs="Symbol"/>
                <w:b/>
                <w:bCs/>
                <w:color w:val="000000"/>
                <w:szCs w:val="28"/>
                <w:lang w:val="uk-UA" w:eastAsia="uk-UA"/>
              </w:rPr>
              <w:t></w:t>
            </w:r>
            <w:r w:rsidRPr="008F6E37">
              <w:rPr>
                <w:color w:val="000000"/>
                <w:szCs w:val="28"/>
                <w:lang w:val="uk-UA" w:eastAsia="uk-UA"/>
              </w:rPr>
              <w:t xml:space="preserve">ПопРах + </w:t>
            </w:r>
            <w:r w:rsidRPr="008F6E37">
              <w:rPr>
                <w:rFonts w:ascii="Symbol" w:hAnsi="Symbol" w:cs="Symbol"/>
                <w:b/>
                <w:bCs/>
                <w:color w:val="000000"/>
                <w:szCs w:val="28"/>
                <w:lang w:val="uk-UA" w:eastAsia="uk-UA"/>
              </w:rPr>
              <w:t></w:t>
            </w:r>
            <w:r w:rsidRPr="008F6E37">
              <w:rPr>
                <w:color w:val="000000"/>
                <w:szCs w:val="28"/>
                <w:lang w:val="uk-UA" w:eastAsia="uk-UA"/>
              </w:rPr>
              <w:t xml:space="preserve">Овердрафт - </w:t>
            </w:r>
            <w:r w:rsidRPr="008F6E37">
              <w:rPr>
                <w:rFonts w:ascii="Symbol" w:hAnsi="Symbol" w:cs="Symbol"/>
                <w:b/>
                <w:bCs/>
                <w:color w:val="000000"/>
                <w:szCs w:val="28"/>
                <w:lang w:val="uk-UA" w:eastAsia="uk-UA"/>
              </w:rPr>
              <w:t></w:t>
            </w:r>
            <w:r w:rsidRPr="008F6E37">
              <w:rPr>
                <w:color w:val="000000"/>
                <w:szCs w:val="28"/>
                <w:lang w:val="uk-UA" w:eastAsia="uk-UA"/>
              </w:rPr>
              <w:t xml:space="preserve">НаклВид - </w:t>
            </w:r>
            <w:r w:rsidRPr="008F6E37">
              <w:rPr>
                <w:rFonts w:ascii="Symbol" w:hAnsi="Symbol" w:cs="Symbol"/>
                <w:b/>
                <w:bCs/>
                <w:color w:val="000000"/>
                <w:szCs w:val="28"/>
                <w:lang w:val="uk-UA" w:eastAsia="uk-UA"/>
              </w:rPr>
              <w:t></w:t>
            </w:r>
            <w:r w:rsidRPr="008F6E37">
              <w:rPr>
                <w:color w:val="000000"/>
                <w:szCs w:val="28"/>
                <w:lang w:val="uk-UA" w:eastAsia="uk-UA"/>
              </w:rPr>
              <w:t xml:space="preserve">Відшкод - </w:t>
            </w:r>
            <w:r w:rsidRPr="008F6E37">
              <w:rPr>
                <w:rFonts w:ascii="Symbol" w:hAnsi="Symbol" w:cs="Symbol"/>
                <w:b/>
                <w:bCs/>
                <w:color w:val="000000"/>
                <w:szCs w:val="28"/>
                <w:lang w:val="uk-UA" w:eastAsia="uk-UA"/>
              </w:rPr>
              <w:t></w:t>
            </w:r>
            <w:r w:rsidRPr="008F6E37">
              <w:rPr>
                <w:color w:val="000000"/>
                <w:szCs w:val="28"/>
                <w:lang w:val="uk-UA" w:eastAsia="uk-UA"/>
              </w:rPr>
              <w:t>Перевищ;</w:t>
            </w:r>
          </w:p>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color w:val="000000"/>
                <w:szCs w:val="28"/>
                <w:lang w:val="uk-UA" w:eastAsia="uk-UA"/>
              </w:rPr>
              <w:lastRenderedPageBreak/>
              <w:t>де:</w:t>
            </w:r>
          </w:p>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rFonts w:ascii="Symbol" w:hAnsi="Symbol" w:cs="Symbol"/>
                <w:b/>
                <w:bCs/>
                <w:color w:val="000000"/>
                <w:szCs w:val="28"/>
                <w:lang w:val="uk-UA" w:eastAsia="uk-UA"/>
              </w:rPr>
              <w:t></w:t>
            </w:r>
            <w:r w:rsidRPr="008F6E37">
              <w:rPr>
                <w:rFonts w:ascii="Symbol" w:hAnsi="Symbol" w:cs="Symbol"/>
                <w:b/>
                <w:bCs/>
                <w:color w:val="000000"/>
                <w:szCs w:val="28"/>
                <w:lang w:val="uk-UA" w:eastAsia="uk-UA"/>
              </w:rPr>
              <w:t></w:t>
            </w:r>
            <w:r w:rsidRPr="008F6E37">
              <w:rPr>
                <w:rFonts w:ascii="Symbol" w:hAnsi="Symbol" w:cs="Symbol"/>
                <w:b/>
                <w:bCs/>
                <w:color w:val="000000"/>
                <w:szCs w:val="28"/>
                <w:lang w:val="uk-UA" w:eastAsia="uk-UA"/>
              </w:rPr>
              <w:t></w:t>
            </w:r>
          </w:p>
        </w:tc>
      </w:tr>
      <w:tr w:rsidR="008F6E37" w:rsidRPr="008F6E37" w:rsidTr="004B21E2">
        <w:tc>
          <w:tcPr>
            <w:tcW w:w="7564" w:type="dxa"/>
          </w:tcPr>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rFonts w:ascii="Symbol" w:hAnsi="Symbol" w:cs="Symbol"/>
                <w:b/>
                <w:bCs/>
                <w:color w:val="000000"/>
                <w:szCs w:val="28"/>
                <w:lang w:val="uk-UA" w:eastAsia="uk-UA"/>
              </w:rPr>
              <w:lastRenderedPageBreak/>
              <w:t></w:t>
            </w:r>
            <w:r w:rsidRPr="008F6E37">
              <w:rPr>
                <w:color w:val="000000"/>
                <w:szCs w:val="28"/>
                <w:lang w:val="uk-UA" w:eastAsia="uk-UA"/>
              </w:rPr>
              <w:t>Перевищ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tc>
        <w:tc>
          <w:tcPr>
            <w:tcW w:w="7564" w:type="dxa"/>
          </w:tcPr>
          <w:p w:rsidR="008F6E37" w:rsidRPr="008F6E37" w:rsidRDefault="008F6E37" w:rsidP="008F6E37">
            <w:pPr>
              <w:autoSpaceDE w:val="0"/>
              <w:autoSpaceDN w:val="0"/>
              <w:adjustRightInd w:val="0"/>
              <w:spacing w:after="150"/>
              <w:ind w:firstLine="450"/>
              <w:jc w:val="both"/>
              <w:rPr>
                <w:color w:val="000000"/>
                <w:szCs w:val="28"/>
                <w:lang w:val="uk-UA" w:eastAsia="uk-UA"/>
              </w:rPr>
            </w:pPr>
            <w:r w:rsidRPr="008F6E37">
              <w:rPr>
                <w:rFonts w:ascii="Symbol" w:hAnsi="Symbol" w:cs="Symbol"/>
                <w:b/>
                <w:bCs/>
                <w:color w:val="000000"/>
                <w:szCs w:val="28"/>
                <w:lang w:val="uk-UA" w:eastAsia="uk-UA"/>
              </w:rPr>
              <w:t></w:t>
            </w:r>
            <w:r w:rsidRPr="008F6E37">
              <w:rPr>
                <w:color w:val="000000"/>
                <w:szCs w:val="28"/>
                <w:lang w:val="uk-UA" w:eastAsia="uk-UA"/>
              </w:rPr>
              <w:t xml:space="preserve">Перевищ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w:t>
            </w:r>
            <w:r w:rsidRPr="008F6E37">
              <w:rPr>
                <w:b/>
                <w:color w:val="000000"/>
                <w:szCs w:val="28"/>
                <w:lang w:val="uk-UA" w:eastAsia="uk-UA"/>
              </w:rPr>
              <w:t>а також</w:t>
            </w:r>
            <w:r w:rsidRPr="008F6E37">
              <w:rPr>
                <w:color w:val="000000"/>
                <w:szCs w:val="28"/>
                <w:lang w:val="uk-UA" w:eastAsia="uk-UA"/>
              </w:rPr>
              <w:t xml:space="preserve"> </w:t>
            </w:r>
            <w:r w:rsidRPr="008F6E37">
              <w:rPr>
                <w:b/>
                <w:color w:val="000000"/>
                <w:szCs w:val="28"/>
                <w:lang w:val="uk-UA" w:eastAsia="uk-UA"/>
              </w:rPr>
              <w:t>перевищення</w:t>
            </w:r>
            <w:r w:rsidRPr="008F6E37">
              <w:rPr>
                <w:color w:val="000000"/>
                <w:szCs w:val="28"/>
                <w:lang w:val="uk-UA" w:eastAsia="uk-UA"/>
              </w:rPr>
              <w:t xml:space="preserve"> </w:t>
            </w:r>
            <w:r w:rsidRPr="008F6E37">
              <w:rPr>
                <w:b/>
                <w:color w:val="000000"/>
                <w:szCs w:val="28"/>
                <w:lang w:val="uk-UA" w:eastAsia="uk-UA"/>
              </w:rPr>
              <w:t>узгоджених сум податкових зобов'язань платника податку окремо за кожний звітний (податковий) період, визначених у податкових повідомленнях-рішеннях</w:t>
            </w:r>
            <w:r w:rsidRPr="008F6E37">
              <w:rPr>
                <w:color w:val="000000"/>
                <w:szCs w:val="28"/>
                <w:lang w:val="uk-UA" w:eastAsia="uk-UA"/>
              </w:rPr>
              <w:t>,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tc>
      </w:tr>
      <w:tr w:rsidR="008F6E37" w:rsidRPr="008F6E37" w:rsidTr="004B21E2">
        <w:tc>
          <w:tcPr>
            <w:tcW w:w="7564" w:type="dxa"/>
          </w:tcPr>
          <w:p w:rsidR="008F6E37" w:rsidRPr="008F6E37" w:rsidRDefault="008F6E37" w:rsidP="008F6E37">
            <w:pPr>
              <w:pStyle w:val="st2"/>
              <w:spacing w:after="60"/>
              <w:ind w:firstLine="403"/>
              <w:rPr>
                <w:rStyle w:val="st101"/>
                <w:rFonts w:cs="Times New Roman"/>
                <w:bCs/>
                <w:sz w:val="28"/>
                <w:szCs w:val="28"/>
                <w:lang w:val="uk-UA"/>
              </w:rPr>
            </w:pPr>
            <w:r w:rsidRPr="008F6E37">
              <w:rPr>
                <w:rStyle w:val="st101"/>
                <w:rFonts w:cs="Times New Roman"/>
                <w:bCs/>
                <w:sz w:val="28"/>
                <w:szCs w:val="28"/>
                <w:lang w:val="uk-UA"/>
              </w:rPr>
              <w:t>Відсутній</w:t>
            </w:r>
          </w:p>
        </w:tc>
        <w:tc>
          <w:tcPr>
            <w:tcW w:w="7564" w:type="dxa"/>
          </w:tcPr>
          <w:p w:rsidR="008F6E37" w:rsidRPr="008F6E37" w:rsidRDefault="008F6E37" w:rsidP="008F6E37">
            <w:pPr>
              <w:pStyle w:val="st2"/>
              <w:rPr>
                <w:rFonts w:ascii="Times New Roman" w:hAnsi="Times New Roman"/>
                <w:b/>
                <w:bCs/>
                <w:color w:val="000000"/>
                <w:sz w:val="28"/>
                <w:szCs w:val="28"/>
                <w:lang w:val="uk-UA"/>
              </w:rPr>
            </w:pPr>
            <w:r w:rsidRPr="008F6E37">
              <w:rPr>
                <w:rFonts w:ascii="Times New Roman" w:hAnsi="Times New Roman" w:cs="Times New Roman"/>
                <w:b/>
                <w:color w:val="000000"/>
                <w:sz w:val="28"/>
                <w:szCs w:val="28"/>
                <w:lang w:val="uk-UA" w:eastAsia="uk-UA"/>
              </w:rPr>
              <w:t>200</w:t>
            </w:r>
            <w:r w:rsidRPr="008F6E37">
              <w:rPr>
                <w:rFonts w:ascii="Times New Roman" w:hAnsi="Times New Roman" w:cs="Times New Roman"/>
                <w:b/>
                <w:bCs/>
                <w:color w:val="000000"/>
                <w:sz w:val="28"/>
                <w:szCs w:val="28"/>
                <w:vertAlign w:val="superscript"/>
                <w:lang w:val="uk-UA" w:eastAsia="uk-UA"/>
              </w:rPr>
              <w:t>1</w:t>
            </w:r>
            <w:r w:rsidRPr="008F6E37">
              <w:rPr>
                <w:rFonts w:ascii="Times New Roman" w:hAnsi="Times New Roman" w:cs="Times New Roman"/>
                <w:b/>
                <w:color w:val="000000"/>
                <w:sz w:val="28"/>
                <w:szCs w:val="28"/>
                <w:lang w:val="uk-UA" w:eastAsia="uk-UA"/>
              </w:rPr>
              <w:t>.9.</w:t>
            </w:r>
            <w:r w:rsidRPr="008F6E37">
              <w:rPr>
                <w:rFonts w:ascii="Times New Roman" w:hAnsi="Times New Roman" w:cs="Times New Roman"/>
                <w:color w:val="000000"/>
                <w:sz w:val="28"/>
                <w:szCs w:val="28"/>
                <w:lang w:val="uk-UA" w:eastAsia="uk-UA"/>
              </w:rPr>
              <w:t xml:space="preserve"> </w:t>
            </w:r>
            <w:r w:rsidRPr="008F6E37">
              <w:rPr>
                <w:rFonts w:ascii="Times New Roman" w:hAnsi="Times New Roman"/>
                <w:b/>
                <w:bCs/>
                <w:color w:val="000000"/>
                <w:sz w:val="28"/>
                <w:szCs w:val="28"/>
                <w:lang w:val="uk-UA"/>
              </w:rPr>
              <w:t xml:space="preserve">У випадку якщо при поданні податкової декларації платник податку вказав податкові зобов'язання з податку на додану вартість, не підтверджені відповідними податковими накладними, зареєстрованими в Єдиному реєстрі податкових накладних, а також узгодження сум донарахованих податкових зобов'язань, визначених у податкових повідомленнях-рішеннях, такий платник податку має право зареєструвати в Єдиному реєстрі податкових накладних відповідні податкові накладні та розрахунки коригування до них на суму, що дорівнює різниці між значенням показника ∑Перевищ та сумою податкового боргу, що виник за податковими зобов’язаннями з цього податку після 1 липня 2015 року, з одночасним зменшенням значення показника ∑Перевищ на суму </w:t>
            </w:r>
            <w:r w:rsidRPr="008F6E37">
              <w:rPr>
                <w:rFonts w:ascii="Times New Roman" w:hAnsi="Times New Roman"/>
                <w:b/>
                <w:bCs/>
                <w:color w:val="000000"/>
                <w:sz w:val="28"/>
                <w:szCs w:val="28"/>
                <w:lang w:val="uk-UA"/>
              </w:rPr>
              <w:lastRenderedPageBreak/>
              <w:t>зареєстрованих відповідно до цього пункту податкових накладних та розрахунків коригування до них, незалежно від значення показника ∑Накл, обрахованого відповідно до пункту 200</w:t>
            </w:r>
            <w:r w:rsidRPr="008F6E37">
              <w:rPr>
                <w:rFonts w:ascii="Times New Roman" w:hAnsi="Times New Roman"/>
                <w:b/>
                <w:bCs/>
                <w:color w:val="000000"/>
                <w:sz w:val="28"/>
                <w:szCs w:val="28"/>
                <w:vertAlign w:val="superscript"/>
                <w:lang w:val="uk-UA"/>
              </w:rPr>
              <w:t>1</w:t>
            </w:r>
            <w:r w:rsidRPr="008F6E37">
              <w:rPr>
                <w:rFonts w:ascii="Times New Roman" w:hAnsi="Times New Roman"/>
                <w:b/>
                <w:bCs/>
                <w:color w:val="000000"/>
                <w:sz w:val="28"/>
                <w:szCs w:val="28"/>
                <w:lang w:val="uk-UA"/>
              </w:rPr>
              <w:t>.3 цієї статті.</w:t>
            </w:r>
          </w:p>
          <w:p w:rsidR="008F6E37" w:rsidRPr="008F6E37" w:rsidRDefault="008F6E37" w:rsidP="008F6E37">
            <w:pPr>
              <w:pStyle w:val="st2"/>
              <w:spacing w:after="60"/>
              <w:ind w:firstLine="403"/>
              <w:rPr>
                <w:rStyle w:val="st101"/>
                <w:rFonts w:cs="Times New Roman"/>
                <w:bCs/>
                <w:sz w:val="28"/>
                <w:szCs w:val="28"/>
                <w:lang w:val="uk-UA"/>
              </w:rPr>
            </w:pPr>
            <w:r w:rsidRPr="008F6E37">
              <w:rPr>
                <w:rFonts w:ascii="Times New Roman" w:hAnsi="Times New Roman" w:cs="Times New Roman"/>
                <w:b/>
                <w:bCs/>
                <w:color w:val="000000"/>
                <w:sz w:val="28"/>
                <w:szCs w:val="28"/>
                <w:lang w:val="uk-UA"/>
              </w:rPr>
              <w:t>Значення показника ∑Перевищ не зменшується за звітні (податкові) періоди щодо яких спливли строки, протягом яких платник податку відповідно до пункту 201.10 статті 201 цього Кодексу має право або відповідно до узгодженого податкового повідомлення рішення повинен зареєструвати податкові накладні та/або розрахунки коригування до податкових накладних у Єдиному реєстрі податкових накладних.</w:t>
            </w:r>
          </w:p>
        </w:tc>
      </w:tr>
      <w:tr w:rsidR="008F6E37" w:rsidRPr="008F6E37" w:rsidTr="004B21E2">
        <w:tc>
          <w:tcPr>
            <w:tcW w:w="7564" w:type="dxa"/>
          </w:tcPr>
          <w:p w:rsidR="008F6E37" w:rsidRPr="008F6E37" w:rsidRDefault="008F6E37" w:rsidP="008F6E37">
            <w:pPr>
              <w:pStyle w:val="st2"/>
              <w:spacing w:after="60"/>
              <w:ind w:firstLine="403"/>
              <w:rPr>
                <w:rStyle w:val="st42"/>
                <w:rFonts w:cs="Times New Roman"/>
                <w:sz w:val="28"/>
                <w:szCs w:val="28"/>
                <w:lang w:val="uk-UA"/>
              </w:rPr>
            </w:pPr>
            <w:r w:rsidRPr="008F6E37">
              <w:rPr>
                <w:rStyle w:val="st101"/>
                <w:rFonts w:cs="Times New Roman"/>
                <w:bCs/>
                <w:sz w:val="28"/>
                <w:szCs w:val="28"/>
                <w:lang w:val="uk-UA"/>
              </w:rPr>
              <w:lastRenderedPageBreak/>
              <w:t>Стаття 201</w:t>
            </w:r>
            <w:r w:rsidRPr="008F6E37">
              <w:rPr>
                <w:rStyle w:val="st101"/>
                <w:rFonts w:cs="Times New Roman"/>
                <w:b w:val="0"/>
                <w:bCs/>
                <w:sz w:val="28"/>
                <w:szCs w:val="28"/>
                <w:lang w:val="uk-UA"/>
              </w:rPr>
              <w:t>.</w:t>
            </w:r>
            <w:r w:rsidRPr="008F6E37">
              <w:rPr>
                <w:rStyle w:val="st42"/>
                <w:rFonts w:cs="Times New Roman"/>
                <w:sz w:val="28"/>
                <w:szCs w:val="28"/>
                <w:lang w:val="uk-UA"/>
              </w:rPr>
              <w:t xml:space="preserve"> Податкова накладна</w:t>
            </w:r>
          </w:p>
        </w:tc>
        <w:tc>
          <w:tcPr>
            <w:tcW w:w="7564" w:type="dxa"/>
          </w:tcPr>
          <w:p w:rsidR="008F6E37" w:rsidRPr="008F6E37" w:rsidRDefault="008F6E37" w:rsidP="008F6E37">
            <w:pPr>
              <w:pStyle w:val="st2"/>
              <w:spacing w:after="60"/>
              <w:ind w:firstLine="403"/>
              <w:rPr>
                <w:rStyle w:val="st101"/>
                <w:rFonts w:cs="Times New Roman"/>
                <w:bCs/>
                <w:sz w:val="28"/>
                <w:szCs w:val="28"/>
                <w:lang w:val="uk-UA"/>
              </w:rPr>
            </w:pPr>
            <w:r w:rsidRPr="008F6E37">
              <w:rPr>
                <w:rStyle w:val="st101"/>
                <w:rFonts w:cs="Times New Roman"/>
                <w:bCs/>
                <w:sz w:val="28"/>
                <w:szCs w:val="28"/>
                <w:lang w:val="uk-UA"/>
              </w:rPr>
              <w:t>Стаття 201</w:t>
            </w:r>
            <w:r w:rsidRPr="008F6E37">
              <w:rPr>
                <w:rStyle w:val="st101"/>
                <w:rFonts w:cs="Times New Roman"/>
                <w:b w:val="0"/>
                <w:bCs/>
                <w:sz w:val="28"/>
                <w:szCs w:val="28"/>
                <w:lang w:val="uk-UA"/>
              </w:rPr>
              <w:t>.</w:t>
            </w:r>
            <w:r w:rsidRPr="008F6E37">
              <w:rPr>
                <w:rStyle w:val="st42"/>
                <w:rFonts w:cs="Times New Roman"/>
                <w:sz w:val="28"/>
                <w:szCs w:val="28"/>
                <w:lang w:val="uk-UA"/>
              </w:rPr>
              <w:t xml:space="preserve"> Податкова накладна</w:t>
            </w:r>
          </w:p>
        </w:tc>
      </w:tr>
      <w:tr w:rsidR="008F6E37" w:rsidRPr="008F6E37" w:rsidTr="004B21E2">
        <w:tc>
          <w:tcPr>
            <w:tcW w:w="7564" w:type="dxa"/>
          </w:tcPr>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w:t>
            </w:r>
          </w:p>
          <w:p w:rsidR="008F6E37" w:rsidRPr="008F6E37" w:rsidRDefault="008F6E37" w:rsidP="008F6E37">
            <w:pPr>
              <w:pStyle w:val="st2"/>
              <w:spacing w:after="0"/>
              <w:rPr>
                <w:rFonts w:ascii="Times New Roman" w:hAnsi="Times New Roman" w:cs="Times New Roman"/>
                <w:b/>
                <w:sz w:val="28"/>
                <w:szCs w:val="28"/>
                <w:lang w:val="uk-UA" w:eastAsia="ru-RU"/>
              </w:rPr>
            </w:pPr>
          </w:p>
          <w:p w:rsidR="008F6E37" w:rsidRPr="008F6E37" w:rsidRDefault="008F6E37" w:rsidP="008F6E37">
            <w:pPr>
              <w:pStyle w:val="st2"/>
              <w:spacing w:after="0"/>
              <w:rPr>
                <w:rFonts w:ascii="Times New Roman" w:hAnsi="Times New Roman" w:cs="Times New Roman"/>
                <w:b/>
                <w:sz w:val="28"/>
                <w:szCs w:val="28"/>
                <w:lang w:val="uk-UA" w:eastAsia="ru-RU"/>
              </w:rPr>
            </w:pPr>
            <w:r w:rsidRPr="008F6E37">
              <w:rPr>
                <w:rFonts w:ascii="Times New Roman" w:hAnsi="Times New Roman" w:cs="Times New Roman"/>
                <w:sz w:val="28"/>
                <w:szCs w:val="28"/>
                <w:lang w:val="uk-UA" w:eastAsia="ru-RU"/>
              </w:rPr>
              <w:t>Платник податку має право зареєструвати податкову накладну та/або розрахунок коригування в Єдиному реєстрі податкових накладних,</w:t>
            </w:r>
            <w:r w:rsidRPr="008F6E37">
              <w:rPr>
                <w:rFonts w:ascii="Times New Roman" w:hAnsi="Times New Roman" w:cs="Times New Roman"/>
                <w:b/>
                <w:sz w:val="28"/>
                <w:szCs w:val="28"/>
                <w:lang w:val="uk-UA" w:eastAsia="ru-RU"/>
              </w:rPr>
              <w:t xml:space="preserve"> в якій загальна сума податку не перевищує суму, обчислену відповідно до пункту 200 1.3 статті 200 1 цього Кодексу.</w:t>
            </w: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w:t>
            </w:r>
          </w:p>
          <w:p w:rsidR="00C716CF" w:rsidRDefault="00C716CF" w:rsidP="008F6E37">
            <w:pPr>
              <w:pStyle w:val="st2"/>
              <w:spacing w:after="0"/>
              <w:rPr>
                <w:rFonts w:ascii="Times New Roman" w:hAnsi="Times New Roman" w:cs="Times New Roman"/>
                <w:sz w:val="28"/>
                <w:szCs w:val="28"/>
                <w:lang w:val="uk-UA" w:eastAsia="ru-RU"/>
              </w:rPr>
            </w:pPr>
          </w:p>
          <w:p w:rsidR="00C716CF" w:rsidRPr="008F6E37" w:rsidRDefault="00C716CF" w:rsidP="00C716CF">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w:t>
            </w: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 xml:space="preserve">Виявлення розбіжностей даних податкової декларації та даних Єдиного реєстру податкових накладних є підставою для проведення контролюючими органами документальної позапланової виїзної перевірки продавця та у відповідних випадках покупця товарів/послуг. </w:t>
            </w: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b/>
                <w:sz w:val="28"/>
                <w:szCs w:val="28"/>
                <w:lang w:val="uk-UA" w:eastAsia="ru-RU"/>
              </w:rPr>
            </w:pPr>
            <w:r w:rsidRPr="008F6E37">
              <w:rPr>
                <w:rFonts w:ascii="Times New Roman" w:hAnsi="Times New Roman" w:cs="Times New Roman"/>
                <w:b/>
                <w:sz w:val="28"/>
                <w:szCs w:val="28"/>
                <w:lang w:val="uk-UA" w:eastAsia="ru-RU"/>
              </w:rPr>
              <w:t>Відсутній</w:t>
            </w: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49420C" w:rsidRDefault="0049420C" w:rsidP="008F6E37">
            <w:pPr>
              <w:pStyle w:val="st2"/>
              <w:spacing w:after="0"/>
              <w:rPr>
                <w:rFonts w:ascii="Times New Roman" w:hAnsi="Times New Roman" w:cs="Times New Roman"/>
                <w:sz w:val="28"/>
                <w:szCs w:val="28"/>
                <w:lang w:val="uk-UA" w:eastAsia="ru-RU"/>
              </w:rPr>
            </w:pPr>
          </w:p>
          <w:p w:rsidR="00C716CF" w:rsidRDefault="00C716CF" w:rsidP="008F6E37">
            <w:pPr>
              <w:pStyle w:val="st2"/>
              <w:spacing w:after="0"/>
              <w:rPr>
                <w:rFonts w:ascii="Times New Roman" w:hAnsi="Times New Roman" w:cs="Times New Roman"/>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До заяви додаються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w:t>
            </w:r>
          </w:p>
          <w:p w:rsidR="008F6E37" w:rsidRPr="008F6E37" w:rsidRDefault="008F6E37" w:rsidP="00C716CF">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lastRenderedPageBreak/>
              <w:t>Протягом 15 календарних днів з дня надходження такої заяви із скаргою контролюючий орган зобов'язаний провести документальну позапланову перевірку зазначеного продавця для з'ясування достовірності та повноти нарахування ним зобов'язань з податку за такою операцією.</w:t>
            </w:r>
          </w:p>
          <w:p w:rsidR="008F6E37" w:rsidRPr="008F6E37" w:rsidRDefault="008F6E37" w:rsidP="008F6E37">
            <w:pPr>
              <w:pStyle w:val="st2"/>
              <w:spacing w:after="0"/>
              <w:rPr>
                <w:rFonts w:ascii="Times New Roman" w:hAnsi="Times New Roman" w:cs="Times New Roman"/>
                <w:sz w:val="28"/>
                <w:szCs w:val="28"/>
                <w:lang w:val="uk-UA" w:eastAsia="ru-RU"/>
              </w:rPr>
            </w:pPr>
          </w:p>
        </w:tc>
        <w:tc>
          <w:tcPr>
            <w:tcW w:w="7564" w:type="dxa"/>
          </w:tcPr>
          <w:p w:rsidR="008F6E37" w:rsidRPr="008F6E37" w:rsidRDefault="008F6E37" w:rsidP="008F6E37">
            <w:pPr>
              <w:pStyle w:val="st2"/>
              <w:spacing w:after="0"/>
              <w:ind w:firstLine="0"/>
              <w:rPr>
                <w:rFonts w:ascii="Times New Roman" w:hAnsi="Times New Roman" w:cs="Times New Roman"/>
                <w:sz w:val="28"/>
                <w:szCs w:val="28"/>
                <w:lang w:val="uk-UA"/>
              </w:rPr>
            </w:pPr>
            <w:r w:rsidRPr="008F6E37">
              <w:rPr>
                <w:rFonts w:ascii="Times New Roman" w:hAnsi="Times New Roman" w:cs="Times New Roman"/>
                <w:sz w:val="28"/>
                <w:szCs w:val="28"/>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F6E37" w:rsidRPr="008F6E37" w:rsidRDefault="008F6E37" w:rsidP="008F6E37">
            <w:pPr>
              <w:ind w:firstLine="459"/>
              <w:jc w:val="both"/>
              <w:rPr>
                <w:b/>
                <w:szCs w:val="28"/>
                <w:lang w:val="uk-UA" w:eastAsia="ru-RU"/>
              </w:rPr>
            </w:pPr>
          </w:p>
          <w:p w:rsidR="00C716CF" w:rsidRPr="008F6E37" w:rsidRDefault="00C716CF" w:rsidP="00C716CF">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w:t>
            </w:r>
          </w:p>
          <w:p w:rsidR="00C716CF" w:rsidRDefault="00C716CF" w:rsidP="008F6E37">
            <w:pPr>
              <w:ind w:firstLine="459"/>
              <w:jc w:val="both"/>
              <w:rPr>
                <w:b/>
                <w:szCs w:val="28"/>
                <w:lang w:val="uk-UA" w:eastAsia="ru-RU"/>
              </w:rPr>
            </w:pPr>
          </w:p>
          <w:p w:rsidR="008F6E37" w:rsidRPr="008F6E37" w:rsidRDefault="008F6E37" w:rsidP="008F6E37">
            <w:pPr>
              <w:pStyle w:val="st2"/>
              <w:spacing w:after="0"/>
              <w:rPr>
                <w:rFonts w:ascii="Times New Roman" w:hAnsi="Times New Roman" w:cs="Times New Roman"/>
                <w:b/>
                <w:sz w:val="28"/>
                <w:szCs w:val="28"/>
                <w:lang w:val="uk-UA" w:eastAsia="ru-RU"/>
              </w:rPr>
            </w:pPr>
            <w:r w:rsidRPr="008F6E37">
              <w:rPr>
                <w:rFonts w:ascii="Times New Roman" w:hAnsi="Times New Roman" w:cs="Times New Roman"/>
                <w:sz w:val="28"/>
                <w:szCs w:val="28"/>
                <w:lang w:val="uk-UA" w:eastAsia="ru-RU"/>
              </w:rPr>
              <w:t>Платник податку має право зареєструвати податкові накладні та/або розрахунки коригування до податкових накладних у Єдиному реєстрі податкових накладних</w:t>
            </w:r>
            <w:r w:rsidRPr="008F6E37">
              <w:rPr>
                <w:rFonts w:ascii="Times New Roman" w:hAnsi="Times New Roman" w:cs="Times New Roman"/>
                <w:b/>
                <w:sz w:val="28"/>
                <w:szCs w:val="28"/>
                <w:lang w:val="uk-UA" w:eastAsia="ru-RU"/>
              </w:rPr>
              <w:t xml:space="preserve"> протягом 12 календарних місяців з дати закінчення звітного (податкового) періоду, в якому виникли  податкові зобов’язання, відображені у відповідних податкових накладних та/або розрахунках коригування.</w:t>
            </w:r>
          </w:p>
          <w:p w:rsidR="008F6E37" w:rsidRPr="008F6E37" w:rsidRDefault="008F6E37" w:rsidP="008F6E37">
            <w:pPr>
              <w:pStyle w:val="st2"/>
              <w:spacing w:after="0"/>
              <w:rPr>
                <w:rFonts w:ascii="Times New Roman" w:hAnsi="Times New Roman" w:cs="Times New Roman"/>
                <w:b/>
                <w:sz w:val="28"/>
                <w:szCs w:val="28"/>
                <w:lang w:val="uk-UA" w:eastAsia="ru-RU"/>
              </w:rPr>
            </w:pP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w:t>
            </w: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 xml:space="preserve">Виявлення розбіжностей даних податкової декларації та даних Єдиного реєстру податкових накладних є підставою для проведення контролюючими органами документальної позапланової виїзної перевірки продавця та у відповідних випадках покупця товарів/послуг. </w:t>
            </w:r>
          </w:p>
          <w:p w:rsidR="008F6E37" w:rsidRPr="008F6E37" w:rsidRDefault="008F6E37" w:rsidP="008F6E37">
            <w:pPr>
              <w:pStyle w:val="st2"/>
              <w:spacing w:after="0"/>
              <w:rPr>
                <w:rFonts w:ascii="Times New Roman" w:hAnsi="Times New Roman"/>
                <w:b/>
                <w:color w:val="000000"/>
                <w:sz w:val="28"/>
                <w:szCs w:val="28"/>
                <w:lang w:val="uk-UA" w:eastAsia="uk-UA"/>
              </w:rPr>
            </w:pPr>
            <w:r w:rsidRPr="008F6E37">
              <w:rPr>
                <w:rFonts w:ascii="Times New Roman" w:hAnsi="Times New Roman"/>
                <w:b/>
                <w:color w:val="000000"/>
                <w:sz w:val="28"/>
                <w:szCs w:val="28"/>
                <w:lang w:val="uk-UA" w:eastAsia="uk-UA"/>
              </w:rPr>
              <w:t>За результатами такої перевірки контролюючий орган приймає рішення про донарахування суми податкових зобов'язань з податку/виправлення помилок,  допущених при зазначенні реквізитів податкової накладної, а також у випадку прийняття такого рішення в межах строку, протягом якого платник податку має право зареєструвати податкові накладні та/або розрахунки коригування до податкових накладних у Єдиному реєстрі податкових накладних – про необхідність, складення та реєстрації податкової накладної/розрахунку коригування в Єдиному реєстрі податкових накладних.</w:t>
            </w:r>
          </w:p>
          <w:p w:rsidR="008F6E37" w:rsidRPr="008F6E37" w:rsidRDefault="008F6E37" w:rsidP="008F6E37">
            <w:pPr>
              <w:pStyle w:val="st2"/>
              <w:spacing w:after="0"/>
              <w:rPr>
                <w:rFonts w:ascii="Times New Roman" w:hAnsi="Times New Roman"/>
                <w:b/>
                <w:color w:val="000000"/>
                <w:sz w:val="28"/>
                <w:szCs w:val="28"/>
                <w:lang w:val="uk-UA" w:eastAsia="uk-UA"/>
              </w:rPr>
            </w:pPr>
            <w:r w:rsidRPr="008F6E37">
              <w:rPr>
                <w:rFonts w:ascii="Times New Roman" w:hAnsi="Times New Roman"/>
                <w:b/>
                <w:color w:val="000000"/>
                <w:sz w:val="28"/>
                <w:szCs w:val="28"/>
                <w:lang w:val="uk-UA" w:eastAsia="uk-UA"/>
              </w:rPr>
              <w:t>Про прийняття рішення контролюючий орган повідомляє платника шляхом вручення йому відповідного податкового повідомлення-рішення.</w:t>
            </w:r>
          </w:p>
          <w:p w:rsidR="008F6E37" w:rsidRPr="008F6E37" w:rsidRDefault="008F6E37" w:rsidP="008F6E37">
            <w:pPr>
              <w:pStyle w:val="st2"/>
              <w:spacing w:after="0"/>
              <w:rPr>
                <w:rFonts w:ascii="Times New Roman" w:hAnsi="Times New Roman"/>
                <w:b/>
                <w:color w:val="000000"/>
                <w:sz w:val="28"/>
                <w:szCs w:val="28"/>
                <w:lang w:val="uk-UA" w:eastAsia="uk-UA"/>
              </w:rPr>
            </w:pPr>
            <w:r w:rsidRPr="008F6E37">
              <w:rPr>
                <w:rFonts w:ascii="Times New Roman" w:hAnsi="Times New Roman"/>
                <w:b/>
                <w:color w:val="000000"/>
                <w:sz w:val="28"/>
                <w:szCs w:val="28"/>
                <w:lang w:val="uk-UA" w:eastAsia="uk-UA"/>
              </w:rPr>
              <w:t>Платник податку протягом 15 календарних днів з дня узгодження податкового повідомлення–рішення повинен:</w:t>
            </w:r>
          </w:p>
          <w:p w:rsidR="008F6E37" w:rsidRPr="008F6E37" w:rsidRDefault="008F6E37" w:rsidP="008F6E37">
            <w:pPr>
              <w:pStyle w:val="st2"/>
              <w:spacing w:after="0"/>
              <w:rPr>
                <w:rFonts w:ascii="Times New Roman" w:hAnsi="Times New Roman"/>
                <w:b/>
                <w:color w:val="000000"/>
                <w:sz w:val="28"/>
                <w:szCs w:val="28"/>
                <w:lang w:val="uk-UA" w:eastAsia="uk-UA"/>
              </w:rPr>
            </w:pPr>
            <w:r w:rsidRPr="008F6E37">
              <w:rPr>
                <w:rFonts w:ascii="Times New Roman" w:hAnsi="Times New Roman"/>
                <w:b/>
                <w:color w:val="000000"/>
                <w:sz w:val="28"/>
                <w:szCs w:val="28"/>
                <w:lang w:val="uk-UA" w:eastAsia="uk-UA"/>
              </w:rPr>
              <w:t xml:space="preserve">при донарахуванні суми податкових зобов'язань з податку – після сплати таких зобов'язань скласти та зареєструвати в Єдиному реєстрі податкових накладних у порядку, встановленому цим Кодексом, відповідну </w:t>
            </w:r>
            <w:r w:rsidRPr="008F6E37">
              <w:rPr>
                <w:rFonts w:ascii="Times New Roman" w:hAnsi="Times New Roman"/>
                <w:b/>
                <w:color w:val="000000"/>
                <w:sz w:val="28"/>
                <w:szCs w:val="28"/>
                <w:lang w:val="uk-UA" w:eastAsia="uk-UA"/>
              </w:rPr>
              <w:lastRenderedPageBreak/>
              <w:t xml:space="preserve">податкову накладну/розрахунок коригування; </w:t>
            </w:r>
          </w:p>
          <w:p w:rsidR="008F6E37" w:rsidRPr="008F6E37" w:rsidRDefault="008F6E37" w:rsidP="008F6E37">
            <w:pPr>
              <w:pStyle w:val="st2"/>
              <w:spacing w:after="0"/>
              <w:rPr>
                <w:rFonts w:ascii="Times New Roman" w:hAnsi="Times New Roman" w:cs="Times New Roman"/>
                <w:b/>
                <w:color w:val="000000"/>
                <w:sz w:val="28"/>
                <w:szCs w:val="28"/>
                <w:lang w:val="uk-UA" w:eastAsia="uk-UA"/>
              </w:rPr>
            </w:pPr>
            <w:r w:rsidRPr="008F6E37">
              <w:rPr>
                <w:rFonts w:ascii="Times New Roman" w:hAnsi="Times New Roman" w:cs="Times New Roman"/>
                <w:b/>
                <w:color w:val="000000"/>
                <w:sz w:val="28"/>
                <w:szCs w:val="28"/>
                <w:lang w:val="uk-UA" w:eastAsia="uk-UA"/>
              </w:rPr>
              <w:t>при виправлені помилок, допущених при зазначенні реквізитів податкової накладної, - скласти розрахунок коригування до такої податкової накладної та зареєструвати його Єдиному реєстрі податкових накладних у порядку, встановленому цим Кодексом.</w:t>
            </w:r>
          </w:p>
          <w:p w:rsidR="008F6E37" w:rsidRPr="008F6E37" w:rsidRDefault="008F6E37" w:rsidP="008F6E37">
            <w:pPr>
              <w:pStyle w:val="st2"/>
              <w:spacing w:after="0"/>
              <w:rPr>
                <w:rFonts w:ascii="Times New Roman" w:hAnsi="Times New Roman" w:cs="Times New Roman"/>
                <w:b/>
                <w:color w:val="000000"/>
                <w:sz w:val="28"/>
                <w:szCs w:val="28"/>
                <w:lang w:val="uk-UA" w:eastAsia="uk-UA"/>
              </w:rPr>
            </w:pP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 xml:space="preserve">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Таке право зберігається за ним протягом </w:t>
            </w:r>
            <w:r w:rsidRPr="008F6E37">
              <w:rPr>
                <w:rFonts w:ascii="Times New Roman" w:hAnsi="Times New Roman" w:cs="Times New Roman"/>
                <w:b/>
                <w:sz w:val="28"/>
                <w:szCs w:val="28"/>
                <w:lang w:val="uk-UA" w:eastAsia="ru-RU"/>
              </w:rPr>
              <w:t>11 календарних місяців</w:t>
            </w:r>
            <w:r w:rsidRPr="008F6E37">
              <w:rPr>
                <w:rFonts w:ascii="Times New Roman" w:hAnsi="Times New Roman" w:cs="Times New Roman"/>
                <w:sz w:val="28"/>
                <w:szCs w:val="28"/>
                <w:lang w:val="uk-UA" w:eastAsia="ru-RU"/>
              </w:rPr>
              <w:t xml:space="preserve"> </w:t>
            </w:r>
            <w:r w:rsidRPr="008F6E37">
              <w:rPr>
                <w:rFonts w:ascii="Times New Roman" w:hAnsi="Times New Roman" w:cs="Times New Roman"/>
                <w:b/>
                <w:sz w:val="28"/>
                <w:szCs w:val="28"/>
                <w:lang w:val="uk-UA" w:eastAsia="ru-RU"/>
              </w:rPr>
              <w:t>з дати закінчення звітного (податкового) періоду</w:t>
            </w:r>
            <w:r w:rsidRPr="008F6E37">
              <w:rPr>
                <w:rFonts w:ascii="Times New Roman" w:hAnsi="Times New Roman" w:cs="Times New Roman"/>
                <w:sz w:val="28"/>
                <w:szCs w:val="28"/>
                <w:lang w:val="uk-UA" w:eastAsia="ru-RU"/>
              </w:rPr>
              <w:t>, у якому не надано податкову накладну або допущено 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До заяви додаються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w:t>
            </w:r>
          </w:p>
          <w:p w:rsidR="008F6E37" w:rsidRPr="008F6E37" w:rsidRDefault="008F6E37" w:rsidP="008F6E37">
            <w:pPr>
              <w:pStyle w:val="st2"/>
              <w:spacing w:after="0"/>
              <w:rPr>
                <w:rFonts w:ascii="Times New Roman" w:hAnsi="Times New Roman" w:cs="Times New Roman"/>
                <w:sz w:val="28"/>
                <w:szCs w:val="28"/>
                <w:lang w:val="uk-UA" w:eastAsia="ru-RU"/>
              </w:rPr>
            </w:pPr>
            <w:r w:rsidRPr="008F6E37">
              <w:rPr>
                <w:rFonts w:ascii="Times New Roman" w:hAnsi="Times New Roman" w:cs="Times New Roman"/>
                <w:sz w:val="28"/>
                <w:szCs w:val="28"/>
                <w:lang w:val="uk-UA" w:eastAsia="ru-RU"/>
              </w:rPr>
              <w:t xml:space="preserve">Протягом 15 календарних днів з дня надходження такої </w:t>
            </w:r>
            <w:r w:rsidRPr="008F6E37">
              <w:rPr>
                <w:rFonts w:ascii="Times New Roman" w:hAnsi="Times New Roman" w:cs="Times New Roman"/>
                <w:sz w:val="28"/>
                <w:szCs w:val="28"/>
                <w:lang w:val="uk-UA" w:eastAsia="ru-RU"/>
              </w:rPr>
              <w:lastRenderedPageBreak/>
              <w:t>заяви із скаргою контролюючий орган зобов'язаний провести документальну позапланову перевірку зазначеного продавця для з'ясування достовірності та повноти нарахування ним зобов'язань з податку за такою операцією.</w:t>
            </w:r>
          </w:p>
          <w:p w:rsidR="008F6E37" w:rsidRPr="008F6E37" w:rsidRDefault="008F6E37" w:rsidP="00C716CF">
            <w:pPr>
              <w:pStyle w:val="st2"/>
              <w:spacing w:after="0"/>
              <w:ind w:firstLine="0"/>
              <w:rPr>
                <w:rStyle w:val="st101"/>
                <w:rFonts w:cs="Times New Roman"/>
                <w:b w:val="0"/>
                <w:bCs/>
                <w:sz w:val="28"/>
                <w:szCs w:val="28"/>
                <w:lang w:val="uk-UA"/>
              </w:rPr>
            </w:pPr>
          </w:p>
        </w:tc>
      </w:tr>
      <w:tr w:rsidR="008F6E37" w:rsidRPr="008F6E37" w:rsidTr="004B21E2">
        <w:tc>
          <w:tcPr>
            <w:tcW w:w="7564" w:type="dxa"/>
          </w:tcPr>
          <w:p w:rsidR="008F6E37" w:rsidRPr="008F6E37" w:rsidRDefault="008F6E37" w:rsidP="008F6E37">
            <w:pPr>
              <w:rPr>
                <w:szCs w:val="28"/>
                <w:lang w:val="uk-UA"/>
              </w:rPr>
            </w:pPr>
          </w:p>
        </w:tc>
        <w:tc>
          <w:tcPr>
            <w:tcW w:w="7564" w:type="dxa"/>
          </w:tcPr>
          <w:p w:rsidR="008F6E37" w:rsidRPr="008F6E37" w:rsidRDefault="008F6E37" w:rsidP="008F6E37">
            <w:pPr>
              <w:rPr>
                <w:szCs w:val="28"/>
                <w:lang w:val="uk-UA"/>
              </w:rPr>
            </w:pPr>
            <w:r w:rsidRPr="008F6E37">
              <w:rPr>
                <w:b/>
                <w:szCs w:val="28"/>
                <w:lang w:val="uk-UA"/>
              </w:rPr>
              <w:t>РОЗДІЛ ХХ ПЕРЕХІДНІ ПОЛОЖЕННЯ</w:t>
            </w:r>
          </w:p>
        </w:tc>
      </w:tr>
      <w:tr w:rsidR="008F6E37" w:rsidRPr="008F6E37" w:rsidTr="004B21E2">
        <w:tc>
          <w:tcPr>
            <w:tcW w:w="7564" w:type="dxa"/>
          </w:tcPr>
          <w:p w:rsidR="008F6E37" w:rsidRPr="008F6E37" w:rsidRDefault="008F6E37" w:rsidP="008F6E37">
            <w:pPr>
              <w:rPr>
                <w:szCs w:val="28"/>
                <w:lang w:val="uk-UA"/>
              </w:rPr>
            </w:pPr>
          </w:p>
        </w:tc>
        <w:tc>
          <w:tcPr>
            <w:tcW w:w="7564" w:type="dxa"/>
          </w:tcPr>
          <w:p w:rsidR="008F6E37" w:rsidRPr="008F6E37" w:rsidRDefault="008F6E37" w:rsidP="008F6E37">
            <w:pPr>
              <w:rPr>
                <w:szCs w:val="28"/>
                <w:lang w:val="uk-UA"/>
              </w:rPr>
            </w:pPr>
            <w:r w:rsidRPr="008F6E37">
              <w:rPr>
                <w:b/>
                <w:szCs w:val="28"/>
                <w:lang w:val="uk-UA"/>
              </w:rPr>
              <w:t xml:space="preserve">Підрозділ 2. </w:t>
            </w:r>
            <w:r w:rsidRPr="008F6E37">
              <w:rPr>
                <w:szCs w:val="28"/>
                <w:lang w:val="uk-UA"/>
              </w:rPr>
              <w:t>Особливості справляння податку на додану вартість</w:t>
            </w:r>
          </w:p>
        </w:tc>
      </w:tr>
      <w:tr w:rsidR="008F6E37" w:rsidRPr="008F6E37" w:rsidTr="004B21E2">
        <w:tc>
          <w:tcPr>
            <w:tcW w:w="7564" w:type="dxa"/>
          </w:tcPr>
          <w:p w:rsidR="008F6E37" w:rsidRPr="008F6E37" w:rsidRDefault="008F6E37" w:rsidP="008F6E37">
            <w:pPr>
              <w:rPr>
                <w:szCs w:val="28"/>
                <w:lang w:val="uk-UA"/>
              </w:rPr>
            </w:pPr>
            <w:bookmarkStart w:id="0" w:name="_GoBack"/>
            <w:bookmarkEnd w:id="0"/>
          </w:p>
        </w:tc>
        <w:tc>
          <w:tcPr>
            <w:tcW w:w="7564" w:type="dxa"/>
          </w:tcPr>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 xml:space="preserve">50. Платник податку протягом року з дня набрання чинності Закону України "Про внесення змін до Податкового кодексу України щодо ________" може подати до контролюючого органу заяву про уточнення значення показника </w:t>
            </w:r>
            <w:r w:rsidRPr="008F6E37">
              <w:rPr>
                <w:b/>
                <w:bCs/>
                <w:szCs w:val="28"/>
                <w:shd w:val="clear" w:color="auto" w:fill="FFFFFF"/>
                <w:lang w:val="uk-UA"/>
              </w:rPr>
              <w:t></w:t>
            </w:r>
            <w:r w:rsidRPr="008F6E37">
              <w:rPr>
                <w:b/>
                <w:szCs w:val="28"/>
                <w:shd w:val="clear" w:color="auto" w:fill="FFFFFF"/>
                <w:lang w:val="uk-UA"/>
              </w:rPr>
              <w:t>ПопРах.</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У заяві платника податку вказуються такі відомості:</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звітний (податковий) період, що уточнюється;</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повне найменування (прізвище, ім'я, по батькові) платника податків згідно з реєстраційними документами;</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код платника податків згідно з Єдиним державним реєстром підприємств та організацій України або податковий номер;</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lastRenderedPageBreak/>
              <w:t>місцезнаходження (місце проживання) платника податків;</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найменування контролюючого органу, до якого подається звітність;</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дата подання заяви;</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сума коштів, перерахованих з поточного рахунка платника податку, відкритого у банку, до бюджету в рахунок сплати податкових зобов’язань з цього податку і сума цих коштів, повернутих з бюджету на поточний рахунок платника податку, відкритий у банку;</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перелік податкових зобов'язань, в рахунок сплати яких перераховано кошти з поточного рахунка платника податку, відкритого у банку, до бюджету;</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підписи платника податку - фізичної особи та/або посадових осіб платника податку, засвідчені печаткою платника податку (за наявності).</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Форма заяви затверджується центральним органом виконавчої влади, що забезпечує формування та реалізує державну фінансову політику.</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 xml:space="preserve">Контролюючий орган, до якого подана заява, протягом місяця з дня її отримання, здійснює перевірку достовірності даних, зазначених у заяві. У разі підтвердження за результатами перевірки достовірності даних, зазначених у заяві, контролюючий орган приймає рішення щодо узгодження заяви, яке надсилається платникові податку. </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 xml:space="preserve">У день узгодження заяви контролюючим органом збільшується значення показника </w:t>
            </w:r>
            <w:r w:rsidRPr="008F6E37">
              <w:rPr>
                <w:b/>
                <w:bCs/>
                <w:szCs w:val="28"/>
                <w:shd w:val="clear" w:color="auto" w:fill="FFFFFF"/>
                <w:lang w:val="uk-UA"/>
              </w:rPr>
              <w:t></w:t>
            </w:r>
            <w:r w:rsidRPr="008F6E37">
              <w:rPr>
                <w:b/>
                <w:szCs w:val="28"/>
                <w:shd w:val="clear" w:color="auto" w:fill="FFFFFF"/>
                <w:lang w:val="uk-UA"/>
              </w:rPr>
              <w:t xml:space="preserve">ПопРах на суму коштів, перерахованих з поточного рахунка платника </w:t>
            </w:r>
            <w:r w:rsidRPr="008F6E37">
              <w:rPr>
                <w:b/>
                <w:szCs w:val="28"/>
                <w:shd w:val="clear" w:color="auto" w:fill="FFFFFF"/>
                <w:lang w:val="uk-UA"/>
              </w:rPr>
              <w:lastRenderedPageBreak/>
              <w:t xml:space="preserve">податку, відкритого у банку, до бюджету в рахунок сплати податкових зобов’язань з цього податку і зменшує його значення на суму цих коштів, повернутих з бюджету на поточний рахунок платника податку, відкритий у банку. </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 xml:space="preserve">Після коригування показника </w:t>
            </w:r>
            <w:r w:rsidRPr="008F6E37">
              <w:rPr>
                <w:rFonts w:ascii="Symbol" w:hAnsi="Symbol" w:cs="Symbol"/>
                <w:b/>
                <w:bCs/>
                <w:color w:val="000000"/>
                <w:szCs w:val="28"/>
                <w:lang w:val="uk-UA" w:eastAsia="uk-UA"/>
              </w:rPr>
              <w:t></w:t>
            </w:r>
            <w:r w:rsidRPr="008F6E37">
              <w:rPr>
                <w:b/>
                <w:szCs w:val="28"/>
                <w:shd w:val="clear" w:color="auto" w:fill="FFFFFF"/>
                <w:lang w:val="uk-UA"/>
              </w:rPr>
              <w:t xml:space="preserve">ПопРах значення показника </w:t>
            </w:r>
            <w:r w:rsidRPr="008F6E37">
              <w:rPr>
                <w:rFonts w:ascii="Symbol" w:hAnsi="Symbol" w:cs="Symbol"/>
                <w:b/>
                <w:bCs/>
                <w:color w:val="000000"/>
                <w:szCs w:val="28"/>
                <w:lang w:val="uk-UA" w:eastAsia="uk-UA"/>
              </w:rPr>
              <w:t></w:t>
            </w:r>
            <w:r w:rsidRPr="008F6E37">
              <w:rPr>
                <w:b/>
                <w:color w:val="000000"/>
                <w:szCs w:val="28"/>
                <w:lang w:val="uk-UA" w:eastAsia="uk-UA"/>
              </w:rPr>
              <w:t xml:space="preserve">Перевищ збільшується на суму різниці, що склалася внаслідок такого коригування, а у </w:t>
            </w:r>
            <w:r w:rsidRPr="008F6E37">
              <w:rPr>
                <w:b/>
                <w:bCs/>
                <w:color w:val="000000"/>
                <w:szCs w:val="28"/>
                <w:lang w:val="uk-UA"/>
              </w:rPr>
              <w:t>платника податку виникає право у порядку, визначеному пунктом 200</w:t>
            </w:r>
            <w:r w:rsidRPr="008F6E37">
              <w:rPr>
                <w:b/>
                <w:bCs/>
                <w:color w:val="000000"/>
                <w:szCs w:val="28"/>
                <w:vertAlign w:val="superscript"/>
                <w:lang w:val="uk-UA"/>
              </w:rPr>
              <w:t>1</w:t>
            </w:r>
            <w:r w:rsidRPr="008F6E37">
              <w:rPr>
                <w:b/>
                <w:bCs/>
                <w:color w:val="000000"/>
                <w:szCs w:val="28"/>
                <w:lang w:val="uk-UA"/>
              </w:rPr>
              <w:t>.9 статті 200</w:t>
            </w:r>
            <w:r w:rsidRPr="008F6E37">
              <w:rPr>
                <w:b/>
                <w:bCs/>
                <w:color w:val="000000"/>
                <w:szCs w:val="28"/>
                <w:vertAlign w:val="superscript"/>
                <w:lang w:val="uk-UA"/>
              </w:rPr>
              <w:t>1</w:t>
            </w:r>
            <w:r w:rsidRPr="008F6E37">
              <w:rPr>
                <w:b/>
                <w:bCs/>
                <w:color w:val="000000"/>
                <w:szCs w:val="28"/>
                <w:lang w:val="uk-UA"/>
              </w:rPr>
              <w:t xml:space="preserve"> цього Кодексу, зареєструвати в Єдиному реєстрі податкових накладних відповідні податкові накладні та розрахунки коригування до них.</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Виключно у разі виявлення за результатами перевірки  недостовірних даних у заяві контролюючий орган приймає рішення про неузгодження заяви із зазначеннями вичерпного переліку зауважень до заяви, яке  надсилається платникові податку і може бути оскаржене відповідно до статті 56 цього Кодексу.</w:t>
            </w:r>
          </w:p>
          <w:p w:rsidR="008F6E37" w:rsidRPr="008F6E37" w:rsidRDefault="008F6E37" w:rsidP="008F6E37">
            <w:pPr>
              <w:ind w:firstLine="743"/>
              <w:jc w:val="both"/>
              <w:rPr>
                <w:b/>
                <w:szCs w:val="28"/>
                <w:shd w:val="clear" w:color="auto" w:fill="FFFFFF"/>
                <w:lang w:val="uk-UA"/>
              </w:rPr>
            </w:pPr>
            <w:r w:rsidRPr="008F6E37">
              <w:rPr>
                <w:b/>
                <w:szCs w:val="28"/>
                <w:shd w:val="clear" w:color="auto" w:fill="FFFFFF"/>
                <w:lang w:val="uk-UA"/>
              </w:rPr>
              <w:t>Платник податку протягом місця з дня отримання рішення контролюючого органу про неузгодження заяви може виправити із врахуванням зауважень контролюючого органу дані, зазначені у заяві та повторно надіслати її контролюючому органу. У день отримання повторно поданої заяви контролюючий орган перевіряє врахування зауважень, що стали підставою доля неузгодження заяви і у разі їх врахування здійснює коригування відповідно до абзацу чотирнадцятого цього пункту.</w:t>
            </w:r>
          </w:p>
          <w:p w:rsidR="008F6E37" w:rsidRPr="008F6E37" w:rsidRDefault="008F6E37" w:rsidP="008F6E37">
            <w:pPr>
              <w:jc w:val="both"/>
              <w:rPr>
                <w:b/>
                <w:szCs w:val="28"/>
                <w:shd w:val="clear" w:color="auto" w:fill="FFFFFF"/>
                <w:lang w:val="uk-UA"/>
              </w:rPr>
            </w:pPr>
            <w:r w:rsidRPr="008F6E37">
              <w:rPr>
                <w:b/>
                <w:szCs w:val="28"/>
                <w:shd w:val="clear" w:color="auto" w:fill="FFFFFF"/>
                <w:lang w:val="uk-UA"/>
              </w:rPr>
              <w:t xml:space="preserve">У випадку виявлення </w:t>
            </w:r>
            <w:bookmarkStart w:id="1" w:name="n1179"/>
            <w:bookmarkStart w:id="2" w:name="n1180"/>
            <w:bookmarkStart w:id="3" w:name="n1181"/>
            <w:bookmarkStart w:id="4" w:name="n1182"/>
            <w:bookmarkStart w:id="5" w:name="n1183"/>
            <w:bookmarkStart w:id="6" w:name="n1184"/>
            <w:bookmarkStart w:id="7" w:name="n1185"/>
            <w:bookmarkStart w:id="8" w:name="n1186"/>
            <w:bookmarkStart w:id="9" w:name="n1187"/>
            <w:bookmarkStart w:id="10" w:name="n1188"/>
            <w:bookmarkStart w:id="11" w:name="n1189"/>
            <w:bookmarkStart w:id="12" w:name="n1190"/>
            <w:bookmarkEnd w:id="1"/>
            <w:bookmarkEnd w:id="2"/>
            <w:bookmarkEnd w:id="3"/>
            <w:bookmarkEnd w:id="4"/>
            <w:bookmarkEnd w:id="5"/>
            <w:bookmarkEnd w:id="6"/>
            <w:bookmarkEnd w:id="7"/>
            <w:bookmarkEnd w:id="8"/>
            <w:bookmarkEnd w:id="9"/>
            <w:bookmarkEnd w:id="10"/>
            <w:bookmarkEnd w:id="11"/>
            <w:bookmarkEnd w:id="12"/>
            <w:r w:rsidRPr="008F6E37">
              <w:rPr>
                <w:b/>
                <w:szCs w:val="28"/>
                <w:shd w:val="clear" w:color="auto" w:fill="FFFFFF"/>
                <w:lang w:val="uk-UA"/>
              </w:rPr>
              <w:t xml:space="preserve">після здійснення операцій, </w:t>
            </w:r>
            <w:r w:rsidRPr="008F6E37">
              <w:rPr>
                <w:b/>
                <w:szCs w:val="28"/>
                <w:shd w:val="clear" w:color="auto" w:fill="FFFFFF"/>
                <w:lang w:val="uk-UA"/>
              </w:rPr>
              <w:lastRenderedPageBreak/>
              <w:t xml:space="preserve">передбачених абзацом чотирнадцятим цього пункту, надміру сплачених до бюджету податкових зобов'язань, на які було збільшено показник  </w:t>
            </w:r>
            <w:r w:rsidRPr="008F6E37">
              <w:rPr>
                <w:b/>
                <w:bCs/>
                <w:szCs w:val="28"/>
                <w:shd w:val="clear" w:color="auto" w:fill="FFFFFF"/>
                <w:lang w:val="uk-UA"/>
              </w:rPr>
              <w:t></w:t>
            </w:r>
            <w:r w:rsidRPr="008F6E37">
              <w:rPr>
                <w:b/>
                <w:szCs w:val="28"/>
                <w:shd w:val="clear" w:color="auto" w:fill="FFFFFF"/>
                <w:lang w:val="uk-UA"/>
              </w:rPr>
              <w:t>ПопРах, такі надміру сплачені суми податкових зобов'язань підлягають поверненню виключно на рахунки платників в системі електронного адміністрування податку на додану вартість.</w:t>
            </w:r>
          </w:p>
        </w:tc>
      </w:tr>
    </w:tbl>
    <w:p w:rsidR="004B21E2" w:rsidRPr="008F6E37" w:rsidRDefault="004B21E2">
      <w:pPr>
        <w:rPr>
          <w:szCs w:val="28"/>
          <w:lang w:val="uk-UA"/>
        </w:rPr>
      </w:pPr>
    </w:p>
    <w:sectPr w:rsidR="004B21E2" w:rsidRPr="008F6E37" w:rsidSect="004B21E2">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TTimes/Cyrillic"/>
    <w:panose1 w:val="02020603050405020304"/>
    <w:charset w:val="00"/>
    <w:family w:val="auto"/>
    <w:pitch w:val="variable"/>
    <w:sig w:usb0="E0002AFF" w:usb1="C0007841" w:usb2="00000009" w:usb3="00000000" w:csb0="000001FF" w:csb1="00000000"/>
  </w:font>
  <w:font w:name="Calibri">
    <w:altName w:val="Century Gothic"/>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ourier New">
    <w:altName w:val="Courier"/>
    <w:panose1 w:val="02070309020205020404"/>
    <w:charset w:val="00"/>
    <w:family w:val="auto"/>
    <w:pitch w:val="variable"/>
    <w:sig w:usb0="E0002AFF" w:usb1="C0007843" w:usb2="00000009" w:usb3="00000000" w:csb0="000001FF" w:csb1="00000000"/>
  </w:font>
  <w:font w:name="Arial">
    <w:altName w:val="Times New Roman"/>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E2"/>
    <w:rsid w:val="003C6B71"/>
    <w:rsid w:val="0049420C"/>
    <w:rsid w:val="004B21E2"/>
    <w:rsid w:val="005204CF"/>
    <w:rsid w:val="008F6548"/>
    <w:rsid w:val="008F6E37"/>
    <w:rsid w:val="00C716CF"/>
    <w:rsid w:val="00F9629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3">
    <w:name w:val="heading 3"/>
    <w:aliases w:val="Heading 3 Char"/>
    <w:basedOn w:val="a"/>
    <w:next w:val="a"/>
    <w:link w:val="30"/>
    <w:qFormat/>
    <w:rsid w:val="008F6E37"/>
    <w:pPr>
      <w:keepNext/>
      <w:keepLines/>
      <w:autoSpaceDE w:val="0"/>
      <w:autoSpaceDN w:val="0"/>
      <w:spacing w:before="200" w:after="0" w:line="240" w:lineRule="auto"/>
      <w:ind w:firstLine="709"/>
      <w:jc w:val="both"/>
      <w:outlineLvl w:val="2"/>
    </w:pPr>
    <w:rPr>
      <w:rFonts w:ascii="Calibri Light" w:eastAsia="Times New Roman" w:hAnsi="Calibri Light" w:cs="Times New Roman"/>
      <w:b/>
      <w:bCs/>
      <w:color w:val="5B9BD5"/>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F9629E"/>
    <w:rPr>
      <w:rFonts w:cs="Times New Roman"/>
    </w:rPr>
  </w:style>
  <w:style w:type="paragraph" w:customStyle="1" w:styleId="rvps2">
    <w:name w:val="rvps2"/>
    <w:basedOn w:val="a"/>
    <w:uiPriority w:val="99"/>
    <w:rsid w:val="00F9629E"/>
    <w:pPr>
      <w:spacing w:before="100" w:beforeAutospacing="1" w:after="100" w:afterAutospacing="1" w:line="240" w:lineRule="auto"/>
    </w:pPr>
    <w:rPr>
      <w:rFonts w:eastAsia="Times New Roman" w:cs="Times New Roman"/>
      <w:sz w:val="24"/>
      <w:szCs w:val="24"/>
      <w:lang w:eastAsia="ru-RU"/>
    </w:rPr>
  </w:style>
  <w:style w:type="paragraph" w:customStyle="1" w:styleId="st2">
    <w:name w:val="st2"/>
    <w:uiPriority w:val="99"/>
    <w:rsid w:val="00F9629E"/>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st42">
    <w:name w:val="st42"/>
    <w:uiPriority w:val="99"/>
    <w:rsid w:val="003C6B71"/>
    <w:rPr>
      <w:rFonts w:ascii="Times New Roman" w:hAnsi="Times New Roman"/>
      <w:color w:val="000000"/>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
    <w:uiPriority w:val="99"/>
    <w:rsid w:val="003C6B71"/>
    <w:rPr>
      <w:rFonts w:eastAsia="Times New Roman" w:cs="Times New Roman"/>
      <w:sz w:val="24"/>
      <w:szCs w:val="24"/>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4"/>
    <w:uiPriority w:val="99"/>
    <w:locked/>
    <w:rsid w:val="003C6B71"/>
    <w:rPr>
      <w:rFonts w:eastAsia="Times New Roman" w:cs="Times New Roman"/>
      <w:sz w:val="24"/>
      <w:szCs w:val="24"/>
      <w:lang w:val="ru-RU"/>
    </w:rPr>
  </w:style>
  <w:style w:type="character" w:customStyle="1" w:styleId="st101">
    <w:name w:val="st101"/>
    <w:uiPriority w:val="99"/>
    <w:rsid w:val="003C6B71"/>
    <w:rPr>
      <w:rFonts w:ascii="Times New Roman" w:hAnsi="Times New Roman"/>
      <w:b/>
      <w:color w:val="000000"/>
    </w:rPr>
  </w:style>
  <w:style w:type="paragraph" w:customStyle="1" w:styleId="10">
    <w:name w:val="Звичайний1"/>
    <w:uiPriority w:val="99"/>
    <w:rsid w:val="008F6E37"/>
    <w:pPr>
      <w:spacing w:after="0" w:line="276" w:lineRule="auto"/>
    </w:pPr>
    <w:rPr>
      <w:rFonts w:ascii="Arial" w:eastAsia="Times New Roman" w:hAnsi="Arial" w:cs="Arial"/>
      <w:color w:val="000000"/>
      <w:sz w:val="22"/>
      <w:szCs w:val="20"/>
      <w:lang w:eastAsia="uk-UA"/>
    </w:rPr>
  </w:style>
  <w:style w:type="character" w:customStyle="1" w:styleId="30">
    <w:name w:val="Заголовок 3 Знак"/>
    <w:aliases w:val="Heading 3 Char Знак"/>
    <w:basedOn w:val="a0"/>
    <w:link w:val="3"/>
    <w:rsid w:val="008F6E37"/>
    <w:rPr>
      <w:rFonts w:ascii="Calibri Light" w:eastAsia="Times New Roman" w:hAnsi="Calibri Light" w:cs="Times New Roman"/>
      <w:b/>
      <w:bCs/>
      <w:color w:val="5B9BD5"/>
      <w:szCs w:val="28"/>
      <w:lang w:val="x-none"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3">
    <w:name w:val="heading 3"/>
    <w:aliases w:val="Heading 3 Char"/>
    <w:basedOn w:val="a"/>
    <w:next w:val="a"/>
    <w:link w:val="30"/>
    <w:qFormat/>
    <w:rsid w:val="008F6E37"/>
    <w:pPr>
      <w:keepNext/>
      <w:keepLines/>
      <w:autoSpaceDE w:val="0"/>
      <w:autoSpaceDN w:val="0"/>
      <w:spacing w:before="200" w:after="0" w:line="240" w:lineRule="auto"/>
      <w:ind w:firstLine="709"/>
      <w:jc w:val="both"/>
      <w:outlineLvl w:val="2"/>
    </w:pPr>
    <w:rPr>
      <w:rFonts w:ascii="Calibri Light" w:eastAsia="Times New Roman" w:hAnsi="Calibri Light" w:cs="Times New Roman"/>
      <w:b/>
      <w:bCs/>
      <w:color w:val="5B9BD5"/>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F9629E"/>
    <w:rPr>
      <w:rFonts w:cs="Times New Roman"/>
    </w:rPr>
  </w:style>
  <w:style w:type="paragraph" w:customStyle="1" w:styleId="rvps2">
    <w:name w:val="rvps2"/>
    <w:basedOn w:val="a"/>
    <w:uiPriority w:val="99"/>
    <w:rsid w:val="00F9629E"/>
    <w:pPr>
      <w:spacing w:before="100" w:beforeAutospacing="1" w:after="100" w:afterAutospacing="1" w:line="240" w:lineRule="auto"/>
    </w:pPr>
    <w:rPr>
      <w:rFonts w:eastAsia="Times New Roman" w:cs="Times New Roman"/>
      <w:sz w:val="24"/>
      <w:szCs w:val="24"/>
      <w:lang w:eastAsia="ru-RU"/>
    </w:rPr>
  </w:style>
  <w:style w:type="paragraph" w:customStyle="1" w:styleId="st2">
    <w:name w:val="st2"/>
    <w:uiPriority w:val="99"/>
    <w:rsid w:val="00F9629E"/>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st42">
    <w:name w:val="st42"/>
    <w:uiPriority w:val="99"/>
    <w:rsid w:val="003C6B71"/>
    <w:rPr>
      <w:rFonts w:ascii="Times New Roman" w:hAnsi="Times New Roman"/>
      <w:color w:val="000000"/>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
    <w:uiPriority w:val="99"/>
    <w:rsid w:val="003C6B71"/>
    <w:rPr>
      <w:rFonts w:eastAsia="Times New Roman" w:cs="Times New Roman"/>
      <w:sz w:val="24"/>
      <w:szCs w:val="24"/>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4"/>
    <w:uiPriority w:val="99"/>
    <w:locked/>
    <w:rsid w:val="003C6B71"/>
    <w:rPr>
      <w:rFonts w:eastAsia="Times New Roman" w:cs="Times New Roman"/>
      <w:sz w:val="24"/>
      <w:szCs w:val="24"/>
      <w:lang w:val="ru-RU"/>
    </w:rPr>
  </w:style>
  <w:style w:type="character" w:customStyle="1" w:styleId="st101">
    <w:name w:val="st101"/>
    <w:uiPriority w:val="99"/>
    <w:rsid w:val="003C6B71"/>
    <w:rPr>
      <w:rFonts w:ascii="Times New Roman" w:hAnsi="Times New Roman"/>
      <w:b/>
      <w:color w:val="000000"/>
    </w:rPr>
  </w:style>
  <w:style w:type="paragraph" w:customStyle="1" w:styleId="10">
    <w:name w:val="Звичайний1"/>
    <w:uiPriority w:val="99"/>
    <w:rsid w:val="008F6E37"/>
    <w:pPr>
      <w:spacing w:after="0" w:line="276" w:lineRule="auto"/>
    </w:pPr>
    <w:rPr>
      <w:rFonts w:ascii="Arial" w:eastAsia="Times New Roman" w:hAnsi="Arial" w:cs="Arial"/>
      <w:color w:val="000000"/>
      <w:sz w:val="22"/>
      <w:szCs w:val="20"/>
      <w:lang w:eastAsia="uk-UA"/>
    </w:rPr>
  </w:style>
  <w:style w:type="character" w:customStyle="1" w:styleId="30">
    <w:name w:val="Заголовок 3 Знак"/>
    <w:aliases w:val="Heading 3 Char Знак"/>
    <w:basedOn w:val="a0"/>
    <w:link w:val="3"/>
    <w:rsid w:val="008F6E37"/>
    <w:rPr>
      <w:rFonts w:ascii="Calibri Light" w:eastAsia="Times New Roman" w:hAnsi="Calibri Light" w:cs="Times New Roman"/>
      <w:b/>
      <w:bCs/>
      <w:color w:val="5B9BD5"/>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3E03-6772-A34F-A363-20B8174F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4670</Words>
  <Characters>26619</Characters>
  <Application>Microsoft Macintosh Word</Application>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Закревський Андрій Станіславович</dc:creator>
  <cp:keywords/>
  <dc:description/>
  <cp:lastModifiedBy>Mikhail Sokolov</cp:lastModifiedBy>
  <cp:revision>2</cp:revision>
  <dcterms:created xsi:type="dcterms:W3CDTF">2016-08-02T12:10:00Z</dcterms:created>
  <dcterms:modified xsi:type="dcterms:W3CDTF">2016-08-02T12:10:00Z</dcterms:modified>
</cp:coreProperties>
</file>