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tblGrid>
      <w:tr w:rsidR="004F7D26" w:rsidTr="004F7D26">
        <w:tc>
          <w:tcPr>
            <w:tcW w:w="5046" w:type="dxa"/>
          </w:tcPr>
          <w:p w:rsidR="004F7D26" w:rsidRDefault="004F7D26" w:rsidP="004F7D26">
            <w:pPr>
              <w:rPr>
                <w:rFonts w:ascii="Garamond" w:hAnsi="Garamond"/>
                <w:b/>
                <w:sz w:val="24"/>
                <w:szCs w:val="24"/>
                <w:lang w:val="ru-RU"/>
              </w:rPr>
            </w:pPr>
            <w:bookmarkStart w:id="0" w:name="_GoBack"/>
            <w:bookmarkEnd w:id="0"/>
            <w:r>
              <w:rPr>
                <w:rFonts w:ascii="Garamond" w:hAnsi="Garamond"/>
                <w:b/>
                <w:sz w:val="24"/>
                <w:szCs w:val="24"/>
                <w:lang w:val="uk-UA"/>
              </w:rPr>
              <w:t xml:space="preserve">Додаток до листа Американської торгівельної палати стосовно систем пожежогасіння та </w:t>
            </w:r>
            <w:r w:rsidRPr="00226F2A">
              <w:rPr>
                <w:rFonts w:ascii="Garamond" w:hAnsi="Garamond"/>
                <w:b/>
                <w:sz w:val="24"/>
                <w:szCs w:val="24"/>
                <w:lang w:val="ru-RU"/>
              </w:rPr>
              <w:t xml:space="preserve">систем </w:t>
            </w:r>
            <w:proofErr w:type="spellStart"/>
            <w:r w:rsidRPr="00226F2A">
              <w:rPr>
                <w:rFonts w:ascii="Garamond" w:hAnsi="Garamond"/>
                <w:b/>
                <w:sz w:val="24"/>
                <w:szCs w:val="24"/>
                <w:lang w:val="ru-RU"/>
              </w:rPr>
              <w:t>раннього</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виявлення</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надзвичайних</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ситуацій</w:t>
            </w:r>
            <w:proofErr w:type="spellEnd"/>
          </w:p>
          <w:p w:rsidR="004F7D26" w:rsidRDefault="004F7D26" w:rsidP="004F7D26">
            <w:pPr>
              <w:rPr>
                <w:rFonts w:ascii="Garamond" w:hAnsi="Garamond"/>
                <w:b/>
                <w:sz w:val="24"/>
                <w:szCs w:val="24"/>
                <w:lang w:val="uk-UA"/>
              </w:rPr>
            </w:pPr>
            <w:proofErr w:type="spellStart"/>
            <w:r>
              <w:rPr>
                <w:rFonts w:ascii="Garamond" w:hAnsi="Garamond"/>
                <w:b/>
                <w:sz w:val="24"/>
                <w:szCs w:val="24"/>
                <w:lang w:val="ru-RU"/>
              </w:rPr>
              <w:t>Від</w:t>
            </w:r>
            <w:proofErr w:type="spellEnd"/>
            <w:r>
              <w:rPr>
                <w:rFonts w:ascii="Garamond" w:hAnsi="Garamond"/>
                <w:b/>
                <w:sz w:val="24"/>
                <w:szCs w:val="24"/>
                <w:lang w:val="ru-RU"/>
              </w:rPr>
              <w:t xml:space="preserve"> 18 лютого 2016 року №1</w:t>
            </w:r>
          </w:p>
          <w:p w:rsidR="004F7D26" w:rsidRDefault="004F7D26" w:rsidP="00D9577A">
            <w:pPr>
              <w:jc w:val="center"/>
              <w:rPr>
                <w:rFonts w:ascii="Garamond" w:hAnsi="Garamond"/>
                <w:b/>
                <w:sz w:val="24"/>
                <w:szCs w:val="24"/>
                <w:lang w:val="uk-UA"/>
              </w:rPr>
            </w:pPr>
          </w:p>
        </w:tc>
      </w:tr>
    </w:tbl>
    <w:p w:rsidR="00A94D64" w:rsidRPr="00A0707F" w:rsidRDefault="00AF75D4" w:rsidP="00D9577A">
      <w:pPr>
        <w:jc w:val="center"/>
        <w:rPr>
          <w:rFonts w:ascii="Garamond" w:hAnsi="Garamond"/>
          <w:b/>
          <w:sz w:val="24"/>
          <w:szCs w:val="24"/>
          <w:lang w:val="uk-UA"/>
        </w:rPr>
      </w:pPr>
      <w:r w:rsidRPr="00A0707F">
        <w:rPr>
          <w:rFonts w:ascii="Garamond" w:hAnsi="Garamond"/>
          <w:b/>
          <w:sz w:val="24"/>
          <w:szCs w:val="24"/>
          <w:lang w:val="uk-UA"/>
        </w:rPr>
        <w:t xml:space="preserve">Облаштування </w:t>
      </w:r>
      <w:proofErr w:type="spellStart"/>
      <w:r w:rsidRPr="00A0707F">
        <w:rPr>
          <w:rFonts w:ascii="Garamond" w:hAnsi="Garamond"/>
          <w:b/>
          <w:sz w:val="24"/>
          <w:szCs w:val="24"/>
          <w:lang w:val="uk-UA"/>
        </w:rPr>
        <w:t>електрощитків</w:t>
      </w:r>
      <w:proofErr w:type="spellEnd"/>
      <w:r w:rsidRPr="00A0707F">
        <w:rPr>
          <w:rFonts w:ascii="Garamond" w:hAnsi="Garamond"/>
          <w:b/>
          <w:sz w:val="24"/>
          <w:szCs w:val="24"/>
          <w:lang w:val="uk-UA"/>
        </w:rPr>
        <w:t xml:space="preserve">, групових </w:t>
      </w:r>
      <w:proofErr w:type="spellStart"/>
      <w:r w:rsidRPr="00A0707F">
        <w:rPr>
          <w:rFonts w:ascii="Garamond" w:hAnsi="Garamond"/>
          <w:b/>
          <w:sz w:val="24"/>
          <w:szCs w:val="24"/>
          <w:lang w:val="uk-UA"/>
        </w:rPr>
        <w:t>електрощитків</w:t>
      </w:r>
      <w:proofErr w:type="spellEnd"/>
      <w:r w:rsidRPr="00A0707F">
        <w:rPr>
          <w:rFonts w:ascii="Garamond" w:hAnsi="Garamond"/>
          <w:b/>
          <w:sz w:val="24"/>
          <w:szCs w:val="24"/>
          <w:lang w:val="uk-UA"/>
        </w:rPr>
        <w:t xml:space="preserve"> автономними системами пожежогасіння</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 xml:space="preserve">Наказом Міністерства України з питань надзвичайних ситуацій та у справах захисту населення від наслідків Чорнобильської катастрофи від </w:t>
      </w:r>
      <w:r>
        <w:rPr>
          <w:rFonts w:ascii="Garamond" w:hAnsi="Garamond"/>
          <w:sz w:val="24"/>
          <w:szCs w:val="24"/>
          <w:lang w:val="uk-UA"/>
        </w:rPr>
        <w:t>06.12.2005 №</w:t>
      </w:r>
      <w:r w:rsidRPr="00D4045D">
        <w:rPr>
          <w:rFonts w:ascii="Garamond" w:hAnsi="Garamond"/>
          <w:sz w:val="24"/>
          <w:szCs w:val="24"/>
          <w:lang w:val="uk-UA"/>
        </w:rPr>
        <w:t xml:space="preserve"> 376 затверджено Інструкцію щодо вимог пожежної безпеки під час проектування автозаправних станцій, згідно з п.4.11</w:t>
      </w:r>
      <w:r w:rsidR="00CE0024">
        <w:rPr>
          <w:rFonts w:ascii="Garamond" w:hAnsi="Garamond"/>
          <w:sz w:val="24"/>
          <w:szCs w:val="24"/>
          <w:lang w:val="uk-UA"/>
        </w:rPr>
        <w:t xml:space="preserve"> (далі – Інструкція)</w:t>
      </w:r>
      <w:r w:rsidRPr="00D4045D">
        <w:rPr>
          <w:rFonts w:ascii="Garamond" w:hAnsi="Garamond"/>
          <w:sz w:val="24"/>
          <w:szCs w:val="24"/>
          <w:lang w:val="uk-UA"/>
        </w:rPr>
        <w:t xml:space="preserve"> якої </w:t>
      </w:r>
      <w:r w:rsidR="00CE0024">
        <w:rPr>
          <w:rFonts w:ascii="Garamond" w:hAnsi="Garamond"/>
          <w:sz w:val="24"/>
          <w:szCs w:val="24"/>
          <w:lang w:val="uk-UA"/>
        </w:rPr>
        <w:t>«</w:t>
      </w:r>
      <w:r w:rsidRPr="00D4045D">
        <w:rPr>
          <w:rFonts w:ascii="Garamond" w:hAnsi="Garamond"/>
          <w:sz w:val="24"/>
          <w:szCs w:val="24"/>
          <w:lang w:val="uk-UA"/>
        </w:rPr>
        <w:t>усі приміщення АЗС, за винятком приміщень категорії Д та приміщень з мокрим процесом (санітарні вузли, душові, приміщення для миття автомобілів тощо), повинні бути обладнані автоматичними установками пожежної сигналізації</w:t>
      </w:r>
      <w:r w:rsidR="00E754D4">
        <w:rPr>
          <w:rFonts w:ascii="Garamond" w:hAnsi="Garamond"/>
          <w:sz w:val="24"/>
          <w:szCs w:val="24"/>
          <w:lang w:val="uk-UA"/>
        </w:rPr>
        <w:t>»</w:t>
      </w:r>
      <w:r w:rsidRPr="00D4045D">
        <w:rPr>
          <w:rFonts w:ascii="Garamond" w:hAnsi="Garamond"/>
          <w:sz w:val="24"/>
          <w:szCs w:val="24"/>
          <w:lang w:val="uk-UA"/>
        </w:rPr>
        <w:t>.</w:t>
      </w:r>
      <w:bookmarkStart w:id="1" w:name="o227"/>
      <w:bookmarkEnd w:id="1"/>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 xml:space="preserve">Приміщення категорії В площею понад 20 кв.м, складські приміщення з наявністю легкозаймистих речовин та горючих речовин незалежно від площі, приміщення постів технічного обслуговування площею понад 100 кв.м, а також приміщення БП АЗС, АГЗС об'ємом 500 куб.м та більше, у яких розміщується обладнання для перекачування скрапленого вуглеводневого газу, </w:t>
      </w:r>
      <w:r w:rsidR="00CE0024">
        <w:rPr>
          <w:rFonts w:ascii="Garamond" w:hAnsi="Garamond"/>
          <w:sz w:val="24"/>
          <w:szCs w:val="24"/>
          <w:lang w:val="uk-UA"/>
        </w:rPr>
        <w:t>яка</w:t>
      </w:r>
      <w:r w:rsidRPr="00D4045D">
        <w:rPr>
          <w:rFonts w:ascii="Garamond" w:hAnsi="Garamond"/>
          <w:sz w:val="24"/>
          <w:szCs w:val="24"/>
          <w:lang w:val="uk-UA"/>
        </w:rPr>
        <w:t xml:space="preserve"> входить до складу технологічної системи АЗС, повинні бути обладнані автоматичними установками пожежогасіння. Торговельний зал підприємства з продажу легкозаймистих речовин та горючих речовин слід відносити до складських приміщень під час визначення необхідності обладнання автоматичними установками пожежогасіння.</w:t>
      </w:r>
      <w:bookmarkStart w:id="2" w:name="o228"/>
      <w:bookmarkEnd w:id="2"/>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CE0024">
        <w:rPr>
          <w:rFonts w:ascii="Garamond" w:hAnsi="Garamond"/>
          <w:sz w:val="24"/>
          <w:szCs w:val="24"/>
          <w:lang w:val="uk-UA"/>
        </w:rPr>
        <w:t>Дозволяється застосовувати автономні установки пожежогасіння.</w:t>
      </w:r>
      <w:r w:rsidRPr="00D4045D">
        <w:rPr>
          <w:rFonts w:ascii="Garamond" w:hAnsi="Garamond"/>
          <w:sz w:val="24"/>
          <w:szCs w:val="24"/>
          <w:lang w:val="uk-UA"/>
        </w:rPr>
        <w:t xml:space="preserve"> Якщо автономна установка пожежогасіння не забезпечує подавання сигналу про пожежу, то обладнані нею приміщення додатково обладнуються автоматичною пожежною сигналізацією. Автономні установки пожежогасіння слід застосовувати для захисту приміщень, площа або об'єм яких не перевищує значень показників «захищувана площа» або «захищуваний об'єм» відповідної установки</w:t>
      </w:r>
      <w:r w:rsidR="00CE0024">
        <w:rPr>
          <w:rFonts w:ascii="Garamond" w:hAnsi="Garamond"/>
          <w:sz w:val="24"/>
          <w:szCs w:val="24"/>
          <w:lang w:val="uk-UA"/>
        </w:rPr>
        <w:t>»</w:t>
      </w:r>
      <w:r w:rsidRPr="00D4045D">
        <w:rPr>
          <w:rFonts w:ascii="Garamond" w:hAnsi="Garamond"/>
          <w:sz w:val="24"/>
          <w:szCs w:val="24"/>
          <w:lang w:val="uk-UA"/>
        </w:rPr>
        <w:t xml:space="preserve"> (значення показника «захищувана площа», очевидно, визначається за паспортом одного модуля, визначеного відповідно до вимог ДСТУ 3972, м2).</w:t>
      </w:r>
    </w:p>
    <w:p w:rsidR="00D4045D" w:rsidRPr="00CE0024" w:rsidRDefault="00CE0024" w:rsidP="00D4045D">
      <w:pPr>
        <w:tabs>
          <w:tab w:val="left" w:pos="709"/>
        </w:tabs>
        <w:spacing w:after="0" w:line="240" w:lineRule="auto"/>
        <w:ind w:firstLine="426"/>
        <w:jc w:val="both"/>
        <w:rPr>
          <w:rFonts w:ascii="Garamond" w:hAnsi="Garamond"/>
          <w:b/>
          <w:sz w:val="24"/>
          <w:szCs w:val="24"/>
          <w:lang w:val="uk-UA"/>
        </w:rPr>
      </w:pPr>
      <w:r w:rsidRPr="00CE0024">
        <w:rPr>
          <w:rFonts w:ascii="Garamond" w:hAnsi="Garamond"/>
          <w:b/>
          <w:sz w:val="24"/>
          <w:szCs w:val="24"/>
          <w:lang w:val="uk-UA"/>
        </w:rPr>
        <w:t>Слід наголосити, що згідно з пу</w:t>
      </w:r>
      <w:r w:rsidR="00E754D4">
        <w:rPr>
          <w:rFonts w:ascii="Garamond" w:hAnsi="Garamond"/>
          <w:b/>
          <w:sz w:val="24"/>
          <w:szCs w:val="24"/>
          <w:lang w:val="uk-UA"/>
        </w:rPr>
        <w:t>н</w:t>
      </w:r>
      <w:r w:rsidRPr="00CE0024">
        <w:rPr>
          <w:rFonts w:ascii="Garamond" w:hAnsi="Garamond"/>
          <w:b/>
          <w:sz w:val="24"/>
          <w:szCs w:val="24"/>
          <w:lang w:val="uk-UA"/>
        </w:rPr>
        <w:t xml:space="preserve">ктом 1.3 </w:t>
      </w:r>
      <w:r w:rsidR="00D4045D" w:rsidRPr="00CE0024">
        <w:rPr>
          <w:rFonts w:ascii="Garamond" w:hAnsi="Garamond"/>
          <w:b/>
          <w:sz w:val="24"/>
          <w:szCs w:val="24"/>
          <w:lang w:val="uk-UA"/>
        </w:rPr>
        <w:t xml:space="preserve">цієї Інструкції </w:t>
      </w:r>
      <w:r w:rsidRPr="00CE0024">
        <w:rPr>
          <w:rFonts w:ascii="Garamond" w:hAnsi="Garamond"/>
          <w:b/>
          <w:sz w:val="24"/>
          <w:szCs w:val="24"/>
          <w:lang w:val="uk-UA"/>
        </w:rPr>
        <w:t xml:space="preserve">її вимоги </w:t>
      </w:r>
      <w:r w:rsidR="00D4045D" w:rsidRPr="00CE0024">
        <w:rPr>
          <w:rFonts w:ascii="Garamond" w:hAnsi="Garamond"/>
          <w:b/>
          <w:sz w:val="24"/>
          <w:szCs w:val="24"/>
          <w:lang w:val="uk-UA"/>
        </w:rPr>
        <w:t>поширюються лише на проектування АЗС. В них не закріплено імперативної норми щодо необхідності встановлення автономних установок пожежогасіння на АЗС, які уже функціонують.</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Натомість,</w:t>
      </w:r>
      <w:r w:rsidR="00CE0024">
        <w:rPr>
          <w:rFonts w:ascii="Garamond" w:hAnsi="Garamond"/>
          <w:sz w:val="24"/>
          <w:szCs w:val="24"/>
          <w:lang w:val="uk-UA"/>
        </w:rPr>
        <w:t xml:space="preserve"> п</w:t>
      </w:r>
      <w:r w:rsidR="00CE0024" w:rsidRPr="00A0707F">
        <w:rPr>
          <w:rFonts w:ascii="Garamond" w:hAnsi="Garamond"/>
          <w:sz w:val="24"/>
          <w:szCs w:val="24"/>
          <w:lang w:val="uk-UA"/>
        </w:rPr>
        <w:t xml:space="preserve">ідпункт 1.16 пункту 1 розділу </w:t>
      </w:r>
      <w:r w:rsidR="00CE0024">
        <w:rPr>
          <w:rFonts w:ascii="Garamond" w:hAnsi="Garamond"/>
          <w:sz w:val="24"/>
          <w:szCs w:val="24"/>
          <w:lang w:val="uk-UA"/>
        </w:rPr>
        <w:t>І</w:t>
      </w:r>
      <w:r w:rsidR="00CE0024" w:rsidRPr="00A0707F">
        <w:rPr>
          <w:rFonts w:ascii="Garamond" w:hAnsi="Garamond"/>
          <w:sz w:val="24"/>
          <w:szCs w:val="24"/>
        </w:rPr>
        <w:t>V</w:t>
      </w:r>
      <w:r w:rsidR="00CE0024" w:rsidRPr="00A0707F">
        <w:rPr>
          <w:rFonts w:ascii="Garamond" w:hAnsi="Garamond"/>
          <w:sz w:val="24"/>
          <w:szCs w:val="24"/>
          <w:lang w:val="uk-UA"/>
        </w:rPr>
        <w:t xml:space="preserve"> </w:t>
      </w:r>
      <w:r w:rsidR="00CE0024">
        <w:rPr>
          <w:rFonts w:ascii="Garamond" w:hAnsi="Garamond"/>
          <w:sz w:val="24"/>
          <w:szCs w:val="24"/>
          <w:lang w:val="uk-UA"/>
        </w:rPr>
        <w:t>Правил</w:t>
      </w:r>
      <w:r w:rsidR="00CE0024" w:rsidRPr="00A0707F">
        <w:rPr>
          <w:rFonts w:ascii="Garamond" w:hAnsi="Garamond"/>
          <w:sz w:val="24"/>
          <w:szCs w:val="24"/>
          <w:lang w:val="uk-UA"/>
        </w:rPr>
        <w:t xml:space="preserve"> пожежно</w:t>
      </w:r>
      <w:r w:rsidR="00CE0024">
        <w:rPr>
          <w:rFonts w:ascii="Garamond" w:hAnsi="Garamond"/>
          <w:sz w:val="24"/>
          <w:szCs w:val="24"/>
          <w:lang w:val="uk-UA"/>
        </w:rPr>
        <w:t>ї безпеки в Україні, затверджених</w:t>
      </w:r>
      <w:r w:rsidR="00CE0024" w:rsidRPr="00A0707F">
        <w:rPr>
          <w:rFonts w:ascii="Garamond" w:hAnsi="Garamond"/>
          <w:sz w:val="24"/>
          <w:szCs w:val="24"/>
          <w:lang w:val="uk-UA"/>
        </w:rPr>
        <w:t xml:space="preserve"> наказом МВС від </w:t>
      </w:r>
      <w:r w:rsidR="00CE0024">
        <w:rPr>
          <w:rFonts w:ascii="Garamond" w:hAnsi="Garamond"/>
          <w:sz w:val="24"/>
          <w:szCs w:val="24"/>
          <w:lang w:val="uk-UA"/>
        </w:rPr>
        <w:t>30.12.2014 №1417 і зареєстрованих</w:t>
      </w:r>
      <w:r w:rsidR="00CE0024" w:rsidRPr="00A0707F">
        <w:rPr>
          <w:rFonts w:ascii="Garamond" w:hAnsi="Garamond"/>
          <w:sz w:val="24"/>
          <w:szCs w:val="24"/>
          <w:lang w:val="uk-UA"/>
        </w:rPr>
        <w:t xml:space="preserve"> в Мін`юсті 05.03.2015 за №252/26697, </w:t>
      </w:r>
      <w:r w:rsidR="00CE0024">
        <w:rPr>
          <w:rFonts w:ascii="Garamond" w:hAnsi="Garamond"/>
          <w:sz w:val="24"/>
          <w:szCs w:val="24"/>
          <w:lang w:val="uk-UA"/>
        </w:rPr>
        <w:t xml:space="preserve">містить вимогу щодо захисту електрощитів, групових електрощитків автономними системами пожежогасіння. При цьому, у підпункті 1.2 пункту 1 розділу </w:t>
      </w:r>
      <w:r w:rsidR="00CE0024" w:rsidRPr="00A0707F">
        <w:rPr>
          <w:rFonts w:ascii="Garamond" w:hAnsi="Garamond"/>
          <w:sz w:val="24"/>
          <w:szCs w:val="24"/>
        </w:rPr>
        <w:t>V</w:t>
      </w:r>
      <w:r w:rsidR="00CE0024">
        <w:rPr>
          <w:rFonts w:ascii="Garamond" w:hAnsi="Garamond"/>
          <w:sz w:val="24"/>
          <w:szCs w:val="24"/>
          <w:lang w:val="uk-UA"/>
        </w:rPr>
        <w:t xml:space="preserve"> чітко зазначено, що будинки, приміщення та споруди повинні обладнуватись системами протипожежного захисту відповідно до ДБН В.2.5-56:2010 «Інженерне обладнання будинків і споруд. Системи пожежного захисту».</w:t>
      </w:r>
    </w:p>
    <w:p w:rsidR="00D4045D" w:rsidRPr="00D4045D" w:rsidRDefault="00CE0024" w:rsidP="00D4045D">
      <w:pPr>
        <w:tabs>
          <w:tab w:val="left" w:pos="709"/>
        </w:tabs>
        <w:spacing w:after="0" w:line="240" w:lineRule="auto"/>
        <w:ind w:firstLine="426"/>
        <w:jc w:val="both"/>
        <w:rPr>
          <w:rFonts w:ascii="Garamond" w:hAnsi="Garamond"/>
          <w:sz w:val="24"/>
          <w:szCs w:val="24"/>
          <w:lang w:val="uk-UA"/>
        </w:rPr>
      </w:pPr>
      <w:r>
        <w:rPr>
          <w:rFonts w:ascii="Garamond" w:hAnsi="Garamond"/>
          <w:sz w:val="24"/>
          <w:szCs w:val="24"/>
          <w:lang w:val="uk-UA"/>
        </w:rPr>
        <w:t>Так, в</w:t>
      </w:r>
      <w:r w:rsidR="00D4045D" w:rsidRPr="00D4045D">
        <w:rPr>
          <w:rFonts w:ascii="Garamond" w:hAnsi="Garamond"/>
          <w:sz w:val="24"/>
          <w:szCs w:val="24"/>
          <w:lang w:val="uk-UA"/>
        </w:rPr>
        <w:t xml:space="preserve"> п.1.16. Правил пожежної безпеки зазначено, що електрощити, групові електрощитки повинні бути захищені автономними системами пожежогасіння та оснащуватися схемою підключення споживачів з пояснювальними написами і вказаним значенням номінального струму апарата захисту (плавкої вставки).</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 xml:space="preserve">Визначення поняття автономних систем пожежогасіння закріплено в чинних з 01.07.2015 р. ДБН В.2.5-56-2014 «Системи протипожежного захисту», що заміняє ДБН В.2.5-56:2010 та СНиП 2.04.05-91 (розділи 5 та 22). Зазначений ДБН встановлює вимоги до автоматичних та автономних </w:t>
      </w:r>
      <w:r w:rsidRPr="00D4045D">
        <w:rPr>
          <w:rFonts w:ascii="Garamond" w:hAnsi="Garamond"/>
          <w:sz w:val="24"/>
          <w:szCs w:val="24"/>
          <w:lang w:val="uk-UA"/>
        </w:rPr>
        <w:lastRenderedPageBreak/>
        <w:t xml:space="preserve">систем пожежогасіння за видами вогнегасної речовини, </w:t>
      </w:r>
      <w:r w:rsidR="00CE0024">
        <w:rPr>
          <w:rFonts w:ascii="Garamond" w:hAnsi="Garamond"/>
          <w:sz w:val="24"/>
          <w:szCs w:val="24"/>
          <w:lang w:val="uk-UA"/>
        </w:rPr>
        <w:t>і визначає у</w:t>
      </w:r>
      <w:r w:rsidRPr="00D4045D">
        <w:rPr>
          <w:rFonts w:ascii="Garamond" w:hAnsi="Garamond"/>
          <w:sz w:val="24"/>
          <w:szCs w:val="24"/>
          <w:lang w:val="uk-UA"/>
        </w:rPr>
        <w:t xml:space="preserve"> </w:t>
      </w:r>
      <w:r w:rsidR="00CE0024">
        <w:rPr>
          <w:rFonts w:ascii="Garamond" w:hAnsi="Garamond"/>
          <w:sz w:val="24"/>
          <w:szCs w:val="24"/>
          <w:lang w:val="uk-UA"/>
        </w:rPr>
        <w:t>п. 3.2, що «</w:t>
      </w:r>
      <w:r w:rsidRPr="00D4045D">
        <w:rPr>
          <w:rFonts w:ascii="Garamond" w:hAnsi="Garamond"/>
          <w:sz w:val="24"/>
          <w:szCs w:val="24"/>
          <w:lang w:val="uk-UA"/>
        </w:rPr>
        <w:t>автономна система пожежогасіння локального застосування (СПГа) - система пожежогасіння, яка виконує функції виявлення ознак горіння та подавання вогнегасної речовини без втручання людини незалежно від зовнішніх джерел живлення та систем управління і призначена для подавання і розподіляння вогнегасної речовини по частині простору або поверхні об’єкта протипожежного захисту.</w:t>
      </w:r>
      <w:r w:rsidR="00CE0024">
        <w:rPr>
          <w:rFonts w:ascii="Garamond" w:hAnsi="Garamond"/>
          <w:sz w:val="24"/>
          <w:szCs w:val="24"/>
          <w:lang w:val="uk-UA"/>
        </w:rPr>
        <w:t>»</w:t>
      </w:r>
    </w:p>
    <w:p w:rsidR="00C6072C" w:rsidRDefault="00CE0024" w:rsidP="00D4045D">
      <w:pPr>
        <w:tabs>
          <w:tab w:val="left" w:pos="709"/>
        </w:tabs>
        <w:spacing w:after="0" w:line="240" w:lineRule="auto"/>
        <w:ind w:firstLine="426"/>
        <w:jc w:val="both"/>
        <w:rPr>
          <w:rFonts w:ascii="Garamond" w:hAnsi="Garamond"/>
          <w:sz w:val="24"/>
          <w:szCs w:val="24"/>
          <w:lang w:val="uk-UA"/>
        </w:rPr>
      </w:pPr>
      <w:r>
        <w:rPr>
          <w:rFonts w:ascii="Garamond" w:hAnsi="Garamond"/>
          <w:sz w:val="24"/>
          <w:szCs w:val="24"/>
          <w:lang w:val="uk-UA"/>
        </w:rPr>
        <w:t>Пункт 1.1 ДБН В.2.5-56:2014 встановлює сферою свого застосування проектування, монтування, перевіряння систем і підтримання експлуатаційної придатності систем протипожежного захисту будинків, споруд, приміщень та устаткування різного призначенняч під час нового будівництва, реконструкції, технічного переоснащення, капітального ремонту цих об</w:t>
      </w:r>
      <w:r w:rsidRPr="00E17752">
        <w:rPr>
          <w:rFonts w:ascii="Garamond" w:hAnsi="Garamond"/>
          <w:sz w:val="24"/>
          <w:szCs w:val="24"/>
          <w:lang w:val="uk-UA"/>
        </w:rPr>
        <w:t>`</w:t>
      </w:r>
      <w:r>
        <w:rPr>
          <w:rFonts w:ascii="Garamond" w:hAnsi="Garamond"/>
          <w:sz w:val="24"/>
          <w:szCs w:val="24"/>
          <w:lang w:val="uk-UA"/>
        </w:rPr>
        <w:t>єктів.</w:t>
      </w:r>
      <w:r w:rsidR="00D4045D" w:rsidRPr="00D4045D">
        <w:rPr>
          <w:rFonts w:ascii="Garamond" w:hAnsi="Garamond"/>
          <w:sz w:val="24"/>
          <w:szCs w:val="24"/>
          <w:lang w:val="uk-UA"/>
        </w:rPr>
        <w:t xml:space="preserve"> </w:t>
      </w:r>
    </w:p>
    <w:p w:rsidR="00C6072C" w:rsidRPr="00C6072C" w:rsidRDefault="00C6072C" w:rsidP="00C6072C">
      <w:pPr>
        <w:tabs>
          <w:tab w:val="left" w:pos="709"/>
        </w:tabs>
        <w:spacing w:after="0" w:line="240" w:lineRule="auto"/>
        <w:ind w:firstLine="426"/>
        <w:jc w:val="both"/>
        <w:rPr>
          <w:rFonts w:ascii="Garamond" w:hAnsi="Garamond"/>
          <w:sz w:val="24"/>
          <w:szCs w:val="24"/>
          <w:lang w:val="uk-UA"/>
        </w:rPr>
      </w:pPr>
      <w:r w:rsidRPr="00C6072C">
        <w:rPr>
          <w:rFonts w:ascii="Garamond" w:hAnsi="Garamond"/>
          <w:sz w:val="24"/>
          <w:szCs w:val="24"/>
          <w:lang w:val="uk-UA"/>
        </w:rPr>
        <w:t xml:space="preserve">Таким чином, </w:t>
      </w:r>
      <w:r>
        <w:rPr>
          <w:rFonts w:ascii="Garamond" w:hAnsi="Garamond"/>
          <w:b/>
          <w:sz w:val="24"/>
          <w:szCs w:val="24"/>
          <w:lang w:val="uk-UA"/>
        </w:rPr>
        <w:t xml:space="preserve">ДБН В.2.5-56:2014 </w:t>
      </w:r>
      <w:r w:rsidR="007A7B3D">
        <w:rPr>
          <w:rFonts w:ascii="Garamond" w:hAnsi="Garamond"/>
          <w:b/>
          <w:sz w:val="24"/>
          <w:szCs w:val="24"/>
          <w:lang w:val="uk-UA"/>
        </w:rPr>
        <w:t>не місти</w:t>
      </w:r>
      <w:r w:rsidRPr="00C6072C">
        <w:rPr>
          <w:rFonts w:ascii="Garamond" w:hAnsi="Garamond"/>
          <w:b/>
          <w:sz w:val="24"/>
          <w:szCs w:val="24"/>
          <w:lang w:val="uk-UA"/>
        </w:rPr>
        <w:t>ть прямих вимог щодо облаштування автономними системами пожежогасіння електрощитів, группових електрощитків на існуючих об`єктах, які були запроектовані, побудовані та введені в експлуатацію належним чином  відповідно до законодавства України</w:t>
      </w:r>
      <w:r w:rsidRPr="00C6072C">
        <w:rPr>
          <w:rFonts w:ascii="Garamond" w:hAnsi="Garamond"/>
          <w:sz w:val="24"/>
          <w:szCs w:val="24"/>
          <w:lang w:val="uk-UA"/>
        </w:rPr>
        <w:t>.</w:t>
      </w:r>
    </w:p>
    <w:p w:rsidR="00D4045D" w:rsidRPr="007A7B3D" w:rsidRDefault="00D4045D" w:rsidP="00D4045D">
      <w:pPr>
        <w:tabs>
          <w:tab w:val="left" w:pos="709"/>
        </w:tabs>
        <w:spacing w:after="0" w:line="240" w:lineRule="auto"/>
        <w:ind w:firstLine="426"/>
        <w:jc w:val="both"/>
        <w:rPr>
          <w:rFonts w:ascii="Garamond" w:hAnsi="Garamond"/>
          <w:sz w:val="24"/>
          <w:szCs w:val="24"/>
          <w:lang w:val="uk-UA"/>
        </w:rPr>
      </w:pPr>
      <w:r w:rsidRPr="007A7B3D">
        <w:rPr>
          <w:rFonts w:ascii="Garamond" w:hAnsi="Garamond"/>
          <w:sz w:val="24"/>
          <w:szCs w:val="24"/>
          <w:lang w:val="uk-UA"/>
        </w:rPr>
        <w:t>Отже, існує законодавча неузгодженість. Інструкція щодо вимог пожежної безпеки під час проектування АЗС є актом спеціальної дії і тому повинні застосовуватись її положення, але лише щодо АЗС, які проектуються. Щодо вже наявних АЗС, то в Правилах пожежної безпеки, які є актом загальної дії, але набрали чинності після зазначеної Інструкції, є вимога про те, що електрощити, групові електрощитки повинні бути захищені автономними системами пожежогасіння. І, навіть якщо на стадії проектування АЗС електрощитки не будуть захищені автономними системами пожежогасіння, то після спорудження АЗС та введення її в експлуатацію згідно з Правилами пожежної безпеки зазначені системи мали б бути встановлені.</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Виходячи з викладеного вище, можна вказати на наявність суперечності в результатах нормотворчої діяльності уповноважених органів державної влади.</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Так, згідно з ч.2 ст.17 Кодексу цивільного захисту, центральний орган виконавчої влади, який забезпечує формування та реалізує державну політику у сфері цивільного захисту затверджує загальнодержавні правила техногенної та пожежної безпеки, а також вимоги, інструкції і методики, інші нормативно-правові акти у сфері техногенної та пожежної безпеки, які є обов’язковими для всіх підприємств, установ, організацій.</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Відповідно до Положення про Міністерство внутрішніх справ, затвердженого постановою Кабінету Міністрів України від 28 жовтня 2015 р. № 878, МВС є головним органом у системі центральних органів виконавчої влади, що забезпечує формування державної політики, зокрема, у сфері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Згідно з Положенням про Державну службу України з надзвичайних с</w:t>
      </w:r>
      <w:r w:rsidR="007A7B3D">
        <w:rPr>
          <w:rFonts w:ascii="Garamond" w:hAnsi="Garamond"/>
          <w:sz w:val="24"/>
          <w:szCs w:val="24"/>
          <w:lang w:val="uk-UA"/>
        </w:rPr>
        <w:t>итуацій</w:t>
      </w:r>
      <w:r w:rsidRPr="00D4045D">
        <w:rPr>
          <w:rFonts w:ascii="Garamond" w:hAnsi="Garamond"/>
          <w:sz w:val="24"/>
          <w:szCs w:val="24"/>
          <w:lang w:val="uk-UA"/>
        </w:rPr>
        <w:t>, затвердженим Указом Президента України  від 16 січня 2013 року № 20/2013, ДСНС України входить до системи органів виконавчої влади і забезпечує реалізацію державної політики у сферах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профілактики травматизму невиробничого характеру, а також гідрометеорологічної діяльності.</w:t>
      </w:r>
    </w:p>
    <w:p w:rsidR="00D4045D" w:rsidRPr="007A7B3D" w:rsidRDefault="00D4045D" w:rsidP="00C6072C">
      <w:pPr>
        <w:tabs>
          <w:tab w:val="left" w:pos="709"/>
        </w:tabs>
        <w:spacing w:after="0" w:line="240" w:lineRule="auto"/>
        <w:ind w:firstLine="426"/>
        <w:jc w:val="both"/>
        <w:rPr>
          <w:rFonts w:ascii="Garamond" w:hAnsi="Garamond"/>
          <w:i/>
          <w:sz w:val="24"/>
          <w:szCs w:val="24"/>
          <w:lang w:val="uk-UA"/>
        </w:rPr>
      </w:pPr>
      <w:r w:rsidRPr="007A7B3D">
        <w:rPr>
          <w:rFonts w:ascii="Garamond" w:hAnsi="Garamond"/>
          <w:i/>
          <w:sz w:val="24"/>
          <w:szCs w:val="24"/>
          <w:lang w:val="uk-UA"/>
        </w:rPr>
        <w:t xml:space="preserve">А отже, два профільні органи, один з яких забезпечує формування державної політики у сфері пожежної безпеки, а інший її реалізує, у затверджених ними нормативно-правових актах висловлюють різні позиції щодо необхідності обладнання АЗС автономними системами пожежогасіння. </w:t>
      </w:r>
    </w:p>
    <w:p w:rsidR="00D4045D" w:rsidRPr="00D4045D" w:rsidRDefault="00C6072C" w:rsidP="00C6072C">
      <w:pPr>
        <w:tabs>
          <w:tab w:val="left" w:pos="709"/>
        </w:tabs>
        <w:spacing w:after="0" w:line="240" w:lineRule="auto"/>
        <w:ind w:firstLine="426"/>
        <w:jc w:val="both"/>
        <w:rPr>
          <w:rFonts w:ascii="Garamond" w:hAnsi="Garamond"/>
          <w:sz w:val="24"/>
          <w:szCs w:val="24"/>
          <w:lang w:val="uk-UA"/>
        </w:rPr>
      </w:pPr>
      <w:r>
        <w:rPr>
          <w:rFonts w:ascii="Garamond" w:hAnsi="Garamond"/>
          <w:sz w:val="24"/>
          <w:szCs w:val="24"/>
          <w:lang w:val="uk-UA"/>
        </w:rPr>
        <w:t>При цьому з технічної точки зору слід наголосити на наступному</w:t>
      </w:r>
      <w:r w:rsidR="00D4045D" w:rsidRPr="00D4045D">
        <w:rPr>
          <w:rFonts w:ascii="Garamond" w:hAnsi="Garamond"/>
          <w:sz w:val="24"/>
          <w:szCs w:val="24"/>
          <w:lang w:val="uk-UA"/>
        </w:rPr>
        <w:t>:</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lastRenderedPageBreak/>
        <w:t>І. Горючими матеріалами є оболонка (ізоляція) проводів та, можливо, корпусу апаратів (лічильник, апарати захисту тощо), при цьому клемні коробки (панелі) - з негорючого або важкогорючого матеріалу).</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ІІ. В більшості випадків пожежа у електрошафах не розвивається (припиняє дію джерело запалювання – відбувається</w:t>
      </w:r>
      <w:r w:rsidR="00E754D4">
        <w:rPr>
          <w:rFonts w:ascii="Garamond" w:hAnsi="Garamond"/>
          <w:sz w:val="24"/>
          <w:szCs w:val="24"/>
          <w:lang w:val="uk-UA"/>
        </w:rPr>
        <w:t xml:space="preserve"> </w:t>
      </w:r>
      <w:r w:rsidRPr="00D4045D">
        <w:rPr>
          <w:rFonts w:ascii="Garamond" w:hAnsi="Garamond"/>
          <w:sz w:val="24"/>
          <w:szCs w:val="24"/>
          <w:lang w:val="uk-UA"/>
        </w:rPr>
        <w:t xml:space="preserve"> зняття напруги через спрацювання автоматики, зниження концентрації кисню в замкнутому просторі тощо). Розповсюдженню вогню по ізоляції проводів перешкоджає герметизація виходу із електрошафи або конструктивне огородження приміщення.</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ІІІ. Після пожежі частково або повністю буде пошкоджено ізоляцію проводів та корпусу апаратів. В будь-якому разі буде необхідна їх заміна (як з гасінням, так без гасіння пожежі).</w:t>
      </w:r>
    </w:p>
    <w:p w:rsidR="00D4045D" w:rsidRPr="00C6072C" w:rsidRDefault="00D4045D" w:rsidP="00D4045D">
      <w:pPr>
        <w:tabs>
          <w:tab w:val="left" w:pos="709"/>
        </w:tabs>
        <w:spacing w:after="0" w:line="240" w:lineRule="auto"/>
        <w:ind w:firstLine="426"/>
        <w:jc w:val="both"/>
        <w:rPr>
          <w:rFonts w:ascii="Garamond" w:hAnsi="Garamond"/>
          <w:sz w:val="24"/>
          <w:szCs w:val="24"/>
          <w:lang w:val="uk-UA"/>
        </w:rPr>
      </w:pPr>
      <w:r w:rsidRPr="00C6072C">
        <w:rPr>
          <w:rFonts w:ascii="Garamond" w:hAnsi="Garamond"/>
          <w:sz w:val="24"/>
          <w:szCs w:val="24"/>
          <w:lang w:val="uk-UA"/>
        </w:rPr>
        <w:t>Отже, ймовірність розвитку, розповсюдження та заподіяння збитків пожежею в електрошафі (електрощитку) наднизька, у зв’язку з чим відсутня економічна доцільність встановлення автономних систем пожежогасіння.</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Економічна ефективність захисту від пожежі повинна ґрунтуватись на прийнятному співвідношенні наявних витрат на встановлення відповідних систем протипожежного захисту та потенційно врятованих завдяки їм цінностей (людське  життя, матеріальні цінності, час перерви у повноцінній роботі тощо). Проте, встановлення «технічної навали систем захисту», які не є ефективними та подекуди дублюють одна одну, є економічно необґрунтованим.</w:t>
      </w:r>
    </w:p>
    <w:p w:rsidR="00AA04DE" w:rsidRDefault="00C6072C" w:rsidP="00C6072C">
      <w:pPr>
        <w:tabs>
          <w:tab w:val="left" w:pos="709"/>
        </w:tabs>
        <w:spacing w:after="0" w:line="240" w:lineRule="auto"/>
        <w:ind w:firstLine="426"/>
        <w:jc w:val="both"/>
        <w:rPr>
          <w:rFonts w:ascii="Garamond" w:hAnsi="Garamond"/>
          <w:sz w:val="24"/>
          <w:szCs w:val="24"/>
          <w:lang w:val="uk-UA"/>
        </w:rPr>
      </w:pPr>
      <w:r>
        <w:rPr>
          <w:rFonts w:ascii="Garamond" w:hAnsi="Garamond"/>
          <w:sz w:val="24"/>
          <w:szCs w:val="24"/>
          <w:lang w:val="uk-UA"/>
        </w:rPr>
        <w:t>Водночас  наявн</w:t>
      </w:r>
      <w:r w:rsidR="00BF069D">
        <w:rPr>
          <w:rFonts w:ascii="Garamond" w:hAnsi="Garamond"/>
          <w:sz w:val="24"/>
          <w:szCs w:val="24"/>
          <w:lang w:val="uk-UA"/>
        </w:rPr>
        <w:t>і</w:t>
      </w:r>
      <w:r>
        <w:rPr>
          <w:rFonts w:ascii="Garamond" w:hAnsi="Garamond"/>
          <w:sz w:val="24"/>
          <w:szCs w:val="24"/>
          <w:lang w:val="uk-UA"/>
        </w:rPr>
        <w:t>ст</w:t>
      </w:r>
      <w:r w:rsidR="00BF069D">
        <w:rPr>
          <w:rFonts w:ascii="Garamond" w:hAnsi="Garamond"/>
          <w:sz w:val="24"/>
          <w:szCs w:val="24"/>
          <w:lang w:val="uk-UA"/>
        </w:rPr>
        <w:t>ь</w:t>
      </w:r>
      <w:r>
        <w:rPr>
          <w:rFonts w:ascii="Garamond" w:hAnsi="Garamond"/>
          <w:sz w:val="24"/>
          <w:szCs w:val="24"/>
          <w:lang w:val="uk-UA"/>
        </w:rPr>
        <w:t xml:space="preserve"> таких регуляторних колізій та неоднозначного розуміння норм права учасниками ринку, інвесторами та контролюючими/регуляторними органами призводить до погіршення інстиційного клімату в Україні, та зокрема ускладенням ситуації щодо ведення господарської діяльності національними та міжнародними інвесторами у зв</w:t>
      </w:r>
      <w:r w:rsidRPr="00C6072C">
        <w:rPr>
          <w:rFonts w:ascii="Garamond" w:hAnsi="Garamond"/>
          <w:sz w:val="24"/>
          <w:szCs w:val="24"/>
          <w:lang w:val="uk-UA"/>
        </w:rPr>
        <w:t>’</w:t>
      </w:r>
      <w:r>
        <w:rPr>
          <w:rFonts w:ascii="Garamond" w:hAnsi="Garamond"/>
          <w:sz w:val="24"/>
          <w:szCs w:val="24"/>
          <w:lang w:val="uk-UA"/>
        </w:rPr>
        <w:t>язку з</w:t>
      </w:r>
      <w:r w:rsidR="00AA04DE">
        <w:rPr>
          <w:rFonts w:ascii="Garamond" w:hAnsi="Garamond"/>
          <w:sz w:val="24"/>
          <w:szCs w:val="24"/>
          <w:lang w:val="uk-UA"/>
        </w:rPr>
        <w:t>:</w:t>
      </w:r>
      <w:r w:rsidR="00EE16E5">
        <w:rPr>
          <w:rFonts w:ascii="Garamond" w:hAnsi="Garamond"/>
          <w:sz w:val="24"/>
          <w:szCs w:val="24"/>
          <w:lang w:val="uk-UA"/>
        </w:rPr>
        <w:t xml:space="preserve"> </w:t>
      </w:r>
    </w:p>
    <w:p w:rsidR="00AA04DE" w:rsidRPr="008A372A" w:rsidRDefault="00EE16E5" w:rsidP="008A372A">
      <w:pPr>
        <w:pStyle w:val="ListParagraph"/>
        <w:numPr>
          <w:ilvl w:val="0"/>
          <w:numId w:val="2"/>
        </w:numPr>
        <w:tabs>
          <w:tab w:val="left" w:pos="709"/>
        </w:tabs>
        <w:spacing w:after="0" w:line="240" w:lineRule="auto"/>
        <w:jc w:val="both"/>
        <w:rPr>
          <w:rFonts w:ascii="Garamond" w:hAnsi="Garamond"/>
          <w:sz w:val="24"/>
          <w:szCs w:val="24"/>
          <w:lang w:val="uk-UA"/>
        </w:rPr>
      </w:pPr>
      <w:r w:rsidRPr="008A372A">
        <w:rPr>
          <w:rFonts w:ascii="Garamond" w:hAnsi="Garamond"/>
          <w:sz w:val="24"/>
          <w:szCs w:val="24"/>
          <w:lang w:val="uk-UA"/>
        </w:rPr>
        <w:t xml:space="preserve">непередбачуваними </w:t>
      </w:r>
      <w:r w:rsidR="00C6072C" w:rsidRPr="008A372A">
        <w:rPr>
          <w:rFonts w:ascii="Garamond" w:hAnsi="Garamond"/>
          <w:sz w:val="24"/>
          <w:szCs w:val="24"/>
          <w:lang w:val="uk-UA"/>
        </w:rPr>
        <w:t>(</w:t>
      </w:r>
      <w:r w:rsidRPr="008A372A">
        <w:rPr>
          <w:rFonts w:ascii="Garamond" w:hAnsi="Garamond"/>
          <w:sz w:val="24"/>
          <w:szCs w:val="24"/>
          <w:lang w:val="uk-UA"/>
        </w:rPr>
        <w:t>додатковими</w:t>
      </w:r>
      <w:r w:rsidR="00C6072C" w:rsidRPr="008A372A">
        <w:rPr>
          <w:rFonts w:ascii="Garamond" w:hAnsi="Garamond"/>
          <w:sz w:val="24"/>
          <w:szCs w:val="24"/>
          <w:lang w:val="uk-UA"/>
        </w:rPr>
        <w:t>)</w:t>
      </w:r>
      <w:r w:rsidRPr="008A372A">
        <w:rPr>
          <w:rFonts w:ascii="Garamond" w:hAnsi="Garamond"/>
          <w:sz w:val="24"/>
          <w:szCs w:val="24"/>
          <w:lang w:val="uk-UA"/>
        </w:rPr>
        <w:t xml:space="preserve"> </w:t>
      </w:r>
      <w:r w:rsidR="009F107B" w:rsidRPr="008A372A">
        <w:rPr>
          <w:rFonts w:ascii="Garamond" w:hAnsi="Garamond"/>
          <w:sz w:val="24"/>
          <w:szCs w:val="24"/>
          <w:lang w:val="uk-UA"/>
        </w:rPr>
        <w:t xml:space="preserve">значними фінансовими </w:t>
      </w:r>
      <w:r w:rsidRPr="008A372A">
        <w:rPr>
          <w:rFonts w:ascii="Garamond" w:hAnsi="Garamond"/>
          <w:sz w:val="24"/>
          <w:szCs w:val="24"/>
          <w:lang w:val="uk-UA"/>
        </w:rPr>
        <w:t>витратами</w:t>
      </w:r>
      <w:r w:rsidR="00AA04DE" w:rsidRPr="008A372A">
        <w:rPr>
          <w:rFonts w:ascii="Garamond" w:hAnsi="Garamond"/>
          <w:sz w:val="24"/>
          <w:szCs w:val="24"/>
          <w:lang w:val="uk-UA"/>
        </w:rPr>
        <w:t xml:space="preserve">; </w:t>
      </w:r>
    </w:p>
    <w:p w:rsidR="00AA04DE" w:rsidRPr="008A372A" w:rsidRDefault="00AA04DE" w:rsidP="008A372A">
      <w:pPr>
        <w:pStyle w:val="ListParagraph"/>
        <w:numPr>
          <w:ilvl w:val="0"/>
          <w:numId w:val="2"/>
        </w:numPr>
        <w:tabs>
          <w:tab w:val="left" w:pos="709"/>
        </w:tabs>
        <w:spacing w:after="0" w:line="240" w:lineRule="auto"/>
        <w:jc w:val="both"/>
        <w:rPr>
          <w:rFonts w:ascii="Garamond" w:hAnsi="Garamond"/>
          <w:sz w:val="24"/>
          <w:szCs w:val="24"/>
          <w:lang w:val="uk-UA"/>
        </w:rPr>
      </w:pPr>
      <w:r w:rsidRPr="008A372A">
        <w:rPr>
          <w:rFonts w:ascii="Garamond" w:hAnsi="Garamond"/>
          <w:sz w:val="24"/>
          <w:szCs w:val="24"/>
          <w:lang w:val="uk-UA"/>
        </w:rPr>
        <w:t>невизначенністю та недосконалістю нормативно-правової бази для здійснення своєї діяльності, а саме: коли немає чітких визначень сфери та порядку застосування вимог нових нормативних документів та відсутні відповідні державні будівельні норми;</w:t>
      </w:r>
    </w:p>
    <w:p w:rsidR="0023586C" w:rsidRPr="008A372A" w:rsidRDefault="00EE16E5" w:rsidP="008A372A">
      <w:pPr>
        <w:pStyle w:val="ListParagraph"/>
        <w:numPr>
          <w:ilvl w:val="0"/>
          <w:numId w:val="2"/>
        </w:numPr>
        <w:tabs>
          <w:tab w:val="left" w:pos="709"/>
        </w:tabs>
        <w:spacing w:after="0" w:line="240" w:lineRule="auto"/>
        <w:jc w:val="both"/>
        <w:rPr>
          <w:rFonts w:ascii="Garamond" w:hAnsi="Garamond"/>
          <w:sz w:val="24"/>
          <w:szCs w:val="24"/>
          <w:lang w:val="uk-UA"/>
        </w:rPr>
      </w:pPr>
      <w:r w:rsidRPr="008A372A">
        <w:rPr>
          <w:rFonts w:ascii="Garamond" w:hAnsi="Garamond"/>
          <w:sz w:val="24"/>
          <w:szCs w:val="24"/>
          <w:lang w:val="uk-UA"/>
        </w:rPr>
        <w:t>санкціями з боку контролюючих органів, оскільки перед прийняття</w:t>
      </w:r>
      <w:r w:rsidR="009F107B" w:rsidRPr="008A372A">
        <w:rPr>
          <w:rFonts w:ascii="Garamond" w:hAnsi="Garamond"/>
          <w:sz w:val="24"/>
          <w:szCs w:val="24"/>
          <w:lang w:val="uk-UA"/>
        </w:rPr>
        <w:t xml:space="preserve">м </w:t>
      </w:r>
      <w:proofErr w:type="spellStart"/>
      <w:r w:rsidRPr="008A372A">
        <w:rPr>
          <w:rFonts w:ascii="Garamond" w:hAnsi="Garamond"/>
          <w:sz w:val="24"/>
          <w:szCs w:val="24"/>
          <w:lang w:val="uk-UA"/>
        </w:rPr>
        <w:t>акт</w:t>
      </w:r>
      <w:r w:rsidR="00BF069D">
        <w:rPr>
          <w:rFonts w:ascii="Garamond" w:hAnsi="Garamond"/>
          <w:sz w:val="24"/>
          <w:szCs w:val="24"/>
          <w:lang w:val="uk-UA"/>
        </w:rPr>
        <w:t>а</w:t>
      </w:r>
      <w:proofErr w:type="spellEnd"/>
      <w:r w:rsidRPr="008A372A">
        <w:rPr>
          <w:rFonts w:ascii="Garamond" w:hAnsi="Garamond"/>
          <w:sz w:val="24"/>
          <w:szCs w:val="24"/>
          <w:lang w:val="uk-UA"/>
        </w:rPr>
        <w:t xml:space="preserve"> не було проведено жодних консультацій</w:t>
      </w:r>
      <w:r w:rsidR="009F107B" w:rsidRPr="008A372A">
        <w:rPr>
          <w:rFonts w:ascii="Garamond" w:hAnsi="Garamond"/>
          <w:sz w:val="24"/>
          <w:szCs w:val="24"/>
          <w:lang w:val="uk-UA"/>
        </w:rPr>
        <w:t xml:space="preserve"> з бізнес спільнотою, а також</w:t>
      </w:r>
      <w:r w:rsidRPr="008A372A">
        <w:rPr>
          <w:rFonts w:ascii="Garamond" w:hAnsi="Garamond"/>
          <w:sz w:val="24"/>
          <w:szCs w:val="24"/>
          <w:lang w:val="uk-UA"/>
        </w:rPr>
        <w:t xml:space="preserve"> нов</w:t>
      </w:r>
      <w:r w:rsidR="0023586C" w:rsidRPr="008A372A">
        <w:rPr>
          <w:rFonts w:ascii="Garamond" w:hAnsi="Garamond"/>
          <w:sz w:val="24"/>
          <w:szCs w:val="24"/>
          <w:lang w:val="uk-UA"/>
        </w:rPr>
        <w:t>о</w:t>
      </w:r>
      <w:r w:rsidRPr="008A372A">
        <w:rPr>
          <w:rFonts w:ascii="Garamond" w:hAnsi="Garamond"/>
          <w:sz w:val="24"/>
          <w:szCs w:val="24"/>
          <w:lang w:val="uk-UA"/>
        </w:rPr>
        <w:t xml:space="preserve">веденним регуляторним актом не встановлено періоду для </w:t>
      </w:r>
      <w:r w:rsidR="00C6072C" w:rsidRPr="008A372A">
        <w:rPr>
          <w:rFonts w:ascii="Garamond" w:hAnsi="Garamond"/>
          <w:sz w:val="24"/>
          <w:szCs w:val="24"/>
          <w:lang w:val="uk-UA"/>
        </w:rPr>
        <w:t>відповідної імплементації</w:t>
      </w:r>
      <w:r w:rsidR="0023586C" w:rsidRPr="008A372A">
        <w:rPr>
          <w:rFonts w:ascii="Garamond" w:hAnsi="Garamond"/>
          <w:sz w:val="24"/>
          <w:szCs w:val="24"/>
          <w:lang w:val="uk-UA"/>
        </w:rPr>
        <w:t>;</w:t>
      </w:r>
    </w:p>
    <w:p w:rsidR="00EE16E5" w:rsidRPr="008A372A" w:rsidRDefault="0023586C" w:rsidP="008A372A">
      <w:pPr>
        <w:pStyle w:val="ListParagraph"/>
        <w:numPr>
          <w:ilvl w:val="0"/>
          <w:numId w:val="2"/>
        </w:numPr>
        <w:tabs>
          <w:tab w:val="left" w:pos="709"/>
        </w:tabs>
        <w:spacing w:after="0" w:line="240" w:lineRule="auto"/>
        <w:jc w:val="both"/>
        <w:rPr>
          <w:rFonts w:ascii="Garamond" w:hAnsi="Garamond"/>
          <w:sz w:val="24"/>
          <w:szCs w:val="24"/>
          <w:lang w:val="uk-UA"/>
        </w:rPr>
      </w:pPr>
      <w:r w:rsidRPr="008A372A">
        <w:rPr>
          <w:rFonts w:ascii="Garamond" w:hAnsi="Garamond"/>
          <w:sz w:val="24"/>
          <w:szCs w:val="24"/>
          <w:lang w:val="uk-UA"/>
        </w:rPr>
        <w:t>відсутністю конкурентного ринку щодо авт</w:t>
      </w:r>
      <w:r w:rsidR="00C6072C" w:rsidRPr="008A372A">
        <w:rPr>
          <w:rFonts w:ascii="Garamond" w:hAnsi="Garamond"/>
          <w:sz w:val="24"/>
          <w:szCs w:val="24"/>
          <w:lang w:val="uk-UA"/>
        </w:rPr>
        <w:t>ономних систем пожежогасіння</w:t>
      </w:r>
      <w:r w:rsidR="009F107B" w:rsidRPr="008A372A">
        <w:rPr>
          <w:rFonts w:ascii="Garamond" w:hAnsi="Garamond"/>
          <w:sz w:val="24"/>
          <w:szCs w:val="24"/>
          <w:lang w:val="uk-UA"/>
        </w:rPr>
        <w:t xml:space="preserve">. </w:t>
      </w:r>
    </w:p>
    <w:p w:rsidR="00AF75D4" w:rsidRPr="008A372A" w:rsidRDefault="007A7B3D" w:rsidP="00B2654D">
      <w:pPr>
        <w:tabs>
          <w:tab w:val="left" w:pos="709"/>
        </w:tabs>
        <w:spacing w:after="0" w:line="240" w:lineRule="auto"/>
        <w:ind w:firstLine="450"/>
        <w:jc w:val="both"/>
        <w:rPr>
          <w:rFonts w:ascii="Garamond" w:hAnsi="Garamond"/>
          <w:sz w:val="24"/>
          <w:szCs w:val="24"/>
          <w:lang w:val="uk-UA"/>
        </w:rPr>
      </w:pPr>
      <w:r w:rsidRPr="008A372A">
        <w:rPr>
          <w:rFonts w:ascii="Garamond" w:hAnsi="Garamond"/>
          <w:sz w:val="24"/>
          <w:szCs w:val="24"/>
          <w:lang w:val="uk-UA"/>
        </w:rPr>
        <w:t xml:space="preserve">Ураховуючи викладене, звертаємось </w:t>
      </w:r>
      <w:r w:rsidR="008A372A" w:rsidRPr="008A372A">
        <w:rPr>
          <w:rFonts w:ascii="Garamond" w:hAnsi="Garamond"/>
          <w:sz w:val="24"/>
          <w:szCs w:val="24"/>
          <w:lang w:val="uk-UA"/>
        </w:rPr>
        <w:t xml:space="preserve">з проханням уніфікувати норми законодавства в частині </w:t>
      </w:r>
      <w:r w:rsidR="008A372A">
        <w:rPr>
          <w:rFonts w:ascii="Garamond" w:hAnsi="Garamond"/>
          <w:sz w:val="24"/>
          <w:szCs w:val="24"/>
          <w:lang w:val="uk-UA"/>
        </w:rPr>
        <w:t>о</w:t>
      </w:r>
      <w:r w:rsidR="008A372A" w:rsidRPr="008A372A">
        <w:rPr>
          <w:rFonts w:ascii="Garamond" w:hAnsi="Garamond"/>
          <w:sz w:val="24"/>
          <w:szCs w:val="24"/>
          <w:lang w:val="uk-UA"/>
        </w:rPr>
        <w:t>блаштування електрощитків, групових електрощитків автономними системами пожежогасіння</w:t>
      </w:r>
      <w:r w:rsidR="008A372A">
        <w:rPr>
          <w:rFonts w:ascii="Garamond" w:hAnsi="Garamond"/>
          <w:sz w:val="24"/>
          <w:szCs w:val="24"/>
          <w:lang w:val="uk-UA"/>
        </w:rPr>
        <w:t xml:space="preserve"> та вилучити норми щодо необхідності встановлення зазначеного обладнання на АЗС як такого, що </w:t>
      </w:r>
      <w:r w:rsidR="0079666D">
        <w:rPr>
          <w:rFonts w:ascii="Garamond" w:hAnsi="Garamond"/>
          <w:sz w:val="24"/>
          <w:szCs w:val="24"/>
          <w:lang w:val="uk-UA"/>
        </w:rPr>
        <w:t xml:space="preserve">не </w:t>
      </w:r>
      <w:r w:rsidR="008A372A">
        <w:rPr>
          <w:rFonts w:ascii="Garamond" w:hAnsi="Garamond"/>
          <w:sz w:val="24"/>
          <w:szCs w:val="24"/>
          <w:lang w:val="uk-UA"/>
        </w:rPr>
        <w:t>несе в собі економічного ефекту та не виправдовує понесення додаткових витрат.</w:t>
      </w:r>
    </w:p>
    <w:p w:rsidR="007A7B3D" w:rsidRPr="008A372A" w:rsidRDefault="007A7B3D" w:rsidP="008A372A">
      <w:pPr>
        <w:tabs>
          <w:tab w:val="left" w:pos="709"/>
        </w:tabs>
        <w:spacing w:after="0" w:line="240" w:lineRule="auto"/>
        <w:jc w:val="both"/>
        <w:rPr>
          <w:rFonts w:ascii="Garamond" w:hAnsi="Garamond"/>
          <w:sz w:val="24"/>
          <w:szCs w:val="24"/>
          <w:lang w:val="uk-UA"/>
        </w:rPr>
      </w:pPr>
    </w:p>
    <w:p w:rsidR="00DA2CEA" w:rsidRDefault="00DA2CEA">
      <w:pPr>
        <w:rPr>
          <w:rFonts w:ascii="Garamond" w:hAnsi="Garamond"/>
          <w:b/>
          <w:sz w:val="24"/>
          <w:szCs w:val="24"/>
          <w:lang w:val="uk-UA"/>
        </w:rPr>
      </w:pPr>
      <w:r>
        <w:rPr>
          <w:rFonts w:ascii="Garamond" w:hAnsi="Garamond"/>
          <w:b/>
          <w:sz w:val="24"/>
          <w:szCs w:val="24"/>
          <w:lang w:val="uk-UA"/>
        </w:rPr>
        <w:br w:type="page"/>
      </w:r>
    </w:p>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tblGrid>
      <w:tr w:rsidR="004F7D26" w:rsidTr="00223216">
        <w:tc>
          <w:tcPr>
            <w:tcW w:w="5046" w:type="dxa"/>
          </w:tcPr>
          <w:p w:rsidR="004F7D26" w:rsidRDefault="004F7D26" w:rsidP="00223216">
            <w:pPr>
              <w:rPr>
                <w:rFonts w:ascii="Garamond" w:hAnsi="Garamond"/>
                <w:b/>
                <w:sz w:val="24"/>
                <w:szCs w:val="24"/>
                <w:lang w:val="ru-RU"/>
              </w:rPr>
            </w:pPr>
            <w:r>
              <w:rPr>
                <w:rFonts w:ascii="Garamond" w:hAnsi="Garamond"/>
                <w:b/>
                <w:sz w:val="24"/>
                <w:szCs w:val="24"/>
                <w:lang w:val="uk-UA"/>
              </w:rPr>
              <w:lastRenderedPageBreak/>
              <w:t xml:space="preserve">Додаток до листа Американської торгівельної палати стосовно систем пожежогасіння та </w:t>
            </w:r>
            <w:r w:rsidRPr="00226F2A">
              <w:rPr>
                <w:rFonts w:ascii="Garamond" w:hAnsi="Garamond"/>
                <w:b/>
                <w:sz w:val="24"/>
                <w:szCs w:val="24"/>
                <w:lang w:val="ru-RU"/>
              </w:rPr>
              <w:t xml:space="preserve">систем </w:t>
            </w:r>
            <w:proofErr w:type="spellStart"/>
            <w:r w:rsidRPr="00226F2A">
              <w:rPr>
                <w:rFonts w:ascii="Garamond" w:hAnsi="Garamond"/>
                <w:b/>
                <w:sz w:val="24"/>
                <w:szCs w:val="24"/>
                <w:lang w:val="ru-RU"/>
              </w:rPr>
              <w:t>раннього</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виявлення</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надзвичайних</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ситуацій</w:t>
            </w:r>
            <w:proofErr w:type="spellEnd"/>
          </w:p>
          <w:p w:rsidR="004F7D26" w:rsidRDefault="004F7D26" w:rsidP="00223216">
            <w:pPr>
              <w:rPr>
                <w:rFonts w:ascii="Garamond" w:hAnsi="Garamond"/>
                <w:b/>
                <w:sz w:val="24"/>
                <w:szCs w:val="24"/>
                <w:lang w:val="uk-UA"/>
              </w:rPr>
            </w:pPr>
            <w:proofErr w:type="spellStart"/>
            <w:r>
              <w:rPr>
                <w:rFonts w:ascii="Garamond" w:hAnsi="Garamond"/>
                <w:b/>
                <w:sz w:val="24"/>
                <w:szCs w:val="24"/>
                <w:lang w:val="ru-RU"/>
              </w:rPr>
              <w:t>Від</w:t>
            </w:r>
            <w:proofErr w:type="spellEnd"/>
            <w:r>
              <w:rPr>
                <w:rFonts w:ascii="Garamond" w:hAnsi="Garamond"/>
                <w:b/>
                <w:sz w:val="24"/>
                <w:szCs w:val="24"/>
                <w:lang w:val="ru-RU"/>
              </w:rPr>
              <w:t xml:space="preserve"> 18 лютого 2016 року №2</w:t>
            </w:r>
          </w:p>
          <w:p w:rsidR="004F7D26" w:rsidRDefault="004F7D26" w:rsidP="00223216">
            <w:pPr>
              <w:jc w:val="center"/>
              <w:rPr>
                <w:rFonts w:ascii="Garamond" w:hAnsi="Garamond"/>
                <w:b/>
                <w:sz w:val="24"/>
                <w:szCs w:val="24"/>
                <w:lang w:val="uk-UA"/>
              </w:rPr>
            </w:pPr>
          </w:p>
        </w:tc>
      </w:tr>
    </w:tbl>
    <w:p w:rsidR="004F7D26" w:rsidRDefault="004F7D26" w:rsidP="00B2654D">
      <w:pPr>
        <w:jc w:val="center"/>
        <w:rPr>
          <w:rFonts w:ascii="Garamond" w:hAnsi="Garamond"/>
          <w:b/>
          <w:sz w:val="24"/>
          <w:szCs w:val="24"/>
          <w:lang w:val="uk-UA"/>
        </w:rPr>
      </w:pPr>
    </w:p>
    <w:p w:rsidR="00B2654D" w:rsidRPr="00226F2A" w:rsidRDefault="00B2654D" w:rsidP="00B2654D">
      <w:pPr>
        <w:jc w:val="center"/>
        <w:rPr>
          <w:rFonts w:ascii="Garamond" w:hAnsi="Garamond"/>
          <w:b/>
          <w:sz w:val="24"/>
          <w:szCs w:val="24"/>
          <w:lang w:val="ru-RU"/>
        </w:rPr>
      </w:pPr>
      <w:r w:rsidRPr="00226F2A">
        <w:rPr>
          <w:rFonts w:ascii="Garamond" w:hAnsi="Garamond"/>
          <w:b/>
          <w:sz w:val="24"/>
          <w:szCs w:val="24"/>
          <w:lang w:val="ru-RU"/>
        </w:rPr>
        <w:t xml:space="preserve">Про </w:t>
      </w:r>
      <w:proofErr w:type="spellStart"/>
      <w:r w:rsidRPr="00226F2A">
        <w:rPr>
          <w:rFonts w:ascii="Garamond" w:hAnsi="Garamond"/>
          <w:b/>
          <w:sz w:val="24"/>
          <w:szCs w:val="24"/>
          <w:lang w:val="ru-RU"/>
        </w:rPr>
        <w:t>необхідність</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встановлення</w:t>
      </w:r>
      <w:proofErr w:type="spellEnd"/>
      <w:r w:rsidRPr="00226F2A">
        <w:rPr>
          <w:rFonts w:ascii="Garamond" w:hAnsi="Garamond"/>
          <w:b/>
          <w:sz w:val="24"/>
          <w:szCs w:val="24"/>
          <w:lang w:val="ru-RU"/>
        </w:rPr>
        <w:t xml:space="preserve"> систем </w:t>
      </w:r>
      <w:proofErr w:type="spellStart"/>
      <w:r w:rsidRPr="00226F2A">
        <w:rPr>
          <w:rFonts w:ascii="Garamond" w:hAnsi="Garamond"/>
          <w:b/>
          <w:sz w:val="24"/>
          <w:szCs w:val="24"/>
          <w:lang w:val="ru-RU"/>
        </w:rPr>
        <w:t>раннього</w:t>
      </w:r>
      <w:proofErr w:type="spellEnd"/>
      <w:r w:rsidRPr="00226F2A">
        <w:rPr>
          <w:rFonts w:ascii="Garamond" w:hAnsi="Garamond"/>
          <w:b/>
          <w:sz w:val="24"/>
          <w:szCs w:val="24"/>
          <w:lang w:val="ru-RU"/>
        </w:rPr>
        <w:t xml:space="preserve"> виявлення надзвичайних ситуацій та оповіщення людей у разі їх виникнення</w:t>
      </w:r>
    </w:p>
    <w:p w:rsidR="004514BE" w:rsidRPr="00D33C4B" w:rsidRDefault="00B90E79" w:rsidP="004514BE">
      <w:pPr>
        <w:tabs>
          <w:tab w:val="left" w:pos="709"/>
        </w:tabs>
        <w:spacing w:after="0" w:line="240" w:lineRule="auto"/>
        <w:ind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З технічної точки зору, с</w:t>
      </w:r>
      <w:r w:rsidR="004514BE" w:rsidRPr="00D33C4B">
        <w:rPr>
          <w:rFonts w:ascii="Garamond" w:hAnsi="Garamond" w:cs="Times New Roman"/>
          <w:color w:val="000000" w:themeColor="text1"/>
          <w:sz w:val="24"/>
          <w:szCs w:val="24"/>
          <w:lang w:val="ru-RU"/>
        </w:rPr>
        <w:t xml:space="preserve">истеми раннього виявлення </w:t>
      </w:r>
      <w:r w:rsidR="00B2654D" w:rsidRPr="00D33C4B">
        <w:rPr>
          <w:rFonts w:ascii="Garamond" w:hAnsi="Garamond" w:cs="Times New Roman"/>
          <w:color w:val="000000" w:themeColor="text1"/>
          <w:sz w:val="24"/>
          <w:szCs w:val="24"/>
          <w:lang w:val="ru-RU"/>
        </w:rPr>
        <w:t>надзвичайних ситуацій (</w:t>
      </w:r>
      <w:r w:rsidR="004514BE" w:rsidRPr="00D33C4B">
        <w:rPr>
          <w:rFonts w:ascii="Garamond" w:hAnsi="Garamond" w:cs="Times New Roman"/>
          <w:color w:val="000000" w:themeColor="text1"/>
          <w:sz w:val="24"/>
          <w:szCs w:val="24"/>
          <w:lang w:val="ru-RU"/>
        </w:rPr>
        <w:t xml:space="preserve">далі </w:t>
      </w:r>
      <w:r w:rsidR="00B2654D" w:rsidRPr="00D33C4B">
        <w:rPr>
          <w:rFonts w:ascii="Garamond" w:hAnsi="Garamond" w:cs="Times New Roman"/>
          <w:color w:val="000000" w:themeColor="text1"/>
          <w:sz w:val="24"/>
          <w:szCs w:val="24"/>
          <w:lang w:val="ru-RU"/>
        </w:rPr>
        <w:t xml:space="preserve">– </w:t>
      </w:r>
      <w:r w:rsidR="004514BE" w:rsidRPr="00D33C4B">
        <w:rPr>
          <w:rFonts w:ascii="Garamond" w:hAnsi="Garamond" w:cs="Times New Roman"/>
          <w:color w:val="000000" w:themeColor="text1"/>
          <w:sz w:val="24"/>
          <w:szCs w:val="24"/>
          <w:lang w:val="ru-RU"/>
        </w:rPr>
        <w:t xml:space="preserve">СРВНС) дублюють функції наявного обладнання, </w:t>
      </w:r>
      <w:r w:rsidR="00B2654D" w:rsidRPr="00D33C4B">
        <w:rPr>
          <w:rFonts w:ascii="Garamond" w:hAnsi="Garamond" w:cs="Times New Roman"/>
          <w:color w:val="000000" w:themeColor="text1"/>
          <w:sz w:val="24"/>
          <w:szCs w:val="24"/>
          <w:lang w:val="ru-RU"/>
        </w:rPr>
        <w:t>яким комплектуються сучасні АЗС, зокрема</w:t>
      </w:r>
      <w:r w:rsidR="004514BE" w:rsidRPr="00D33C4B">
        <w:rPr>
          <w:rFonts w:ascii="Garamond" w:hAnsi="Garamond" w:cs="Times New Roman"/>
          <w:color w:val="000000" w:themeColor="text1"/>
          <w:sz w:val="24"/>
          <w:szCs w:val="24"/>
          <w:lang w:val="ru-RU"/>
        </w:rPr>
        <w:t xml:space="preserve">: </w:t>
      </w:r>
    </w:p>
    <w:p w:rsidR="004514BE" w:rsidRPr="00D33C4B" w:rsidRDefault="004514BE" w:rsidP="004514BE">
      <w:pPr>
        <w:pStyle w:val="ListParagraph"/>
        <w:numPr>
          <w:ilvl w:val="0"/>
          <w:numId w:val="3"/>
        </w:numPr>
        <w:tabs>
          <w:tab w:val="left" w:pos="709"/>
          <w:tab w:val="left" w:pos="851"/>
        </w:tabs>
        <w:spacing w:after="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локальними системами оповіщення (камерами спостереження, гучномовним зв’язком, переговорним пристроєм «оператор-молодший оператор», звуковою сигналізацією, телефонним зв’язком, установкою автоматичної пожежної сигналізації та автоматичного пожежогасіння з виведенням сигналу на пульт цілодобового спостереження); </w:t>
      </w:r>
    </w:p>
    <w:p w:rsidR="004514BE" w:rsidRPr="00D33C4B" w:rsidRDefault="004514BE" w:rsidP="004514BE">
      <w:pPr>
        <w:pStyle w:val="ListParagraph"/>
        <w:numPr>
          <w:ilvl w:val="0"/>
          <w:numId w:val="3"/>
        </w:numPr>
        <w:tabs>
          <w:tab w:val="left" w:pos="709"/>
          <w:tab w:val="left" w:pos="851"/>
        </w:tabs>
        <w:spacing w:after="16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технологічною та промисловою автоматикою (автоматичними системами контролю допустимих рівнів, кількості, температури, тиску, нафтопродукту у резервуарі (рівнемірами);</w:t>
      </w:r>
    </w:p>
    <w:p w:rsidR="004514BE" w:rsidRPr="00D33C4B" w:rsidRDefault="004514BE" w:rsidP="004514BE">
      <w:pPr>
        <w:pStyle w:val="ListParagraph"/>
        <w:numPr>
          <w:ilvl w:val="0"/>
          <w:numId w:val="3"/>
        </w:numPr>
        <w:tabs>
          <w:tab w:val="left" w:pos="709"/>
          <w:tab w:val="left" w:pos="851"/>
        </w:tabs>
        <w:spacing w:after="16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переносними засобами контролю наявності парів газу (автоматичними газоаналізаторами), запобіжними та дихальними клапанами; </w:t>
      </w:r>
    </w:p>
    <w:p w:rsidR="004514BE" w:rsidRPr="00D33C4B" w:rsidRDefault="004514BE" w:rsidP="004514BE">
      <w:pPr>
        <w:pStyle w:val="ListParagraph"/>
        <w:numPr>
          <w:ilvl w:val="0"/>
          <w:numId w:val="3"/>
        </w:numPr>
        <w:tabs>
          <w:tab w:val="left" w:pos="709"/>
          <w:tab w:val="left" w:pos="851"/>
        </w:tabs>
        <w:spacing w:after="16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технологічним обладнанням підвищеної вибухової безпеки (двостінні резервуари з міжстінним простором, заповненим рідким азотом, легкорозривними роз’ємами на заправних шлангах ПРК, з системою захисту від переповнення баку автомобіля нафтопродуктом) та іншими. </w:t>
      </w:r>
    </w:p>
    <w:p w:rsidR="004514BE" w:rsidRPr="00D33C4B" w:rsidRDefault="00B2654D" w:rsidP="004514BE">
      <w:pPr>
        <w:pStyle w:val="ListParagraph"/>
        <w:tabs>
          <w:tab w:val="left" w:pos="709"/>
        </w:tabs>
        <w:spacing w:after="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Отже,</w:t>
      </w:r>
      <w:r w:rsidR="004514BE" w:rsidRPr="00D33C4B">
        <w:rPr>
          <w:rFonts w:ascii="Garamond" w:hAnsi="Garamond" w:cs="Times New Roman"/>
          <w:color w:val="000000" w:themeColor="text1"/>
          <w:sz w:val="24"/>
          <w:szCs w:val="24"/>
          <w:lang w:val="ru-RU"/>
        </w:rPr>
        <w:t xml:space="preserve"> встановлення СРВНС дублює уже встановлені та діючі вищевказані системи захисту. В деяких випадках СРВНС підключається до встановлених та діючих систем оповіщення, пожежної та технологічної автоматики. </w:t>
      </w:r>
    </w:p>
    <w:p w:rsidR="004514BE" w:rsidRPr="00D33C4B" w:rsidRDefault="00B2654D" w:rsidP="004514BE">
      <w:pPr>
        <w:tabs>
          <w:tab w:val="left" w:pos="709"/>
        </w:tabs>
        <w:spacing w:after="0" w:line="240" w:lineRule="auto"/>
        <w:ind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Крім того, с</w:t>
      </w:r>
      <w:r w:rsidR="004514BE" w:rsidRPr="00D33C4B">
        <w:rPr>
          <w:rFonts w:ascii="Garamond" w:hAnsi="Garamond" w:cs="Times New Roman"/>
          <w:color w:val="000000" w:themeColor="text1"/>
          <w:sz w:val="24"/>
          <w:szCs w:val="24"/>
          <w:lang w:val="ru-RU"/>
        </w:rPr>
        <w:t>татистика інцидентів на АЗС, які б вимагали встановлення СРВНС, не підтверджує реальну необхідність їх встановлення. Така необхідність здебільшого зумовлена коме</w:t>
      </w:r>
      <w:r w:rsidR="00B90E79" w:rsidRPr="00D33C4B">
        <w:rPr>
          <w:rFonts w:ascii="Garamond" w:hAnsi="Garamond" w:cs="Times New Roman"/>
          <w:color w:val="000000" w:themeColor="text1"/>
          <w:sz w:val="24"/>
          <w:szCs w:val="24"/>
          <w:lang w:val="ru-RU"/>
        </w:rPr>
        <w:t>рційною метою цієї ініціативи, у</w:t>
      </w:r>
      <w:r w:rsidR="004514BE" w:rsidRPr="00D33C4B">
        <w:rPr>
          <w:rFonts w:ascii="Garamond" w:hAnsi="Garamond" w:cs="Times New Roman"/>
          <w:color w:val="000000" w:themeColor="text1"/>
          <w:sz w:val="24"/>
          <w:szCs w:val="24"/>
          <w:lang w:val="ru-RU"/>
        </w:rPr>
        <w:t>раховуючи</w:t>
      </w:r>
      <w:r w:rsidR="00B90E79" w:rsidRPr="00D33C4B">
        <w:rPr>
          <w:rFonts w:ascii="Garamond" w:hAnsi="Garamond" w:cs="Times New Roman"/>
          <w:color w:val="000000" w:themeColor="text1"/>
          <w:sz w:val="24"/>
          <w:szCs w:val="24"/>
          <w:lang w:val="ru-RU"/>
        </w:rPr>
        <w:t xml:space="preserve"> малогабаритність об’єкта АЗС, при цьому </w:t>
      </w:r>
      <w:r w:rsidR="004514BE" w:rsidRPr="00D33C4B">
        <w:rPr>
          <w:rFonts w:ascii="Garamond" w:hAnsi="Garamond" w:cs="Times New Roman"/>
          <w:color w:val="000000" w:themeColor="text1"/>
          <w:sz w:val="24"/>
          <w:szCs w:val="24"/>
          <w:lang w:val="ru-RU"/>
        </w:rPr>
        <w:t xml:space="preserve">СРВНС мали би надсилати відповідний сигнал на пульт пожежної охорони, проте, комунікацій із цим пультом бракує майже по всій країні – тобто, сигналізувати нікуди. </w:t>
      </w:r>
    </w:p>
    <w:p w:rsidR="00B90E79" w:rsidRPr="00D33C4B" w:rsidRDefault="004514BE" w:rsidP="00B90E79">
      <w:pPr>
        <w:tabs>
          <w:tab w:val="left" w:pos="709"/>
        </w:tabs>
        <w:spacing w:after="0" w:line="240" w:lineRule="auto"/>
        <w:ind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Відповідно до ч.1 ст.53 Кодексу цивільного захисту України, </w:t>
      </w:r>
      <w:r w:rsidRPr="00D33C4B">
        <w:rPr>
          <w:rFonts w:ascii="Garamond" w:hAnsi="Garamond" w:cs="Times New Roman"/>
          <w:b/>
          <w:i/>
          <w:color w:val="000000" w:themeColor="text1"/>
          <w:sz w:val="24"/>
          <w:szCs w:val="24"/>
          <w:lang w:val="ru-RU"/>
        </w:rPr>
        <w:t xml:space="preserve"> </w:t>
      </w:r>
      <w:r w:rsidRPr="00D33C4B">
        <w:rPr>
          <w:rFonts w:ascii="Garamond" w:hAnsi="Garamond" w:cs="Times New Roman"/>
          <w:color w:val="000000" w:themeColor="text1"/>
          <w:sz w:val="24"/>
          <w:szCs w:val="24"/>
          <w:lang w:val="ru-RU"/>
        </w:rPr>
        <w:t xml:space="preserve">на об’єктах </w:t>
      </w:r>
      <w:proofErr w:type="gramStart"/>
      <w:r w:rsidRPr="00D33C4B">
        <w:rPr>
          <w:rFonts w:ascii="Garamond" w:hAnsi="Garamond" w:cs="Times New Roman"/>
          <w:color w:val="000000" w:themeColor="text1"/>
          <w:sz w:val="24"/>
          <w:szCs w:val="24"/>
          <w:lang w:val="ru-RU"/>
        </w:rPr>
        <w:t>п</w:t>
      </w:r>
      <w:proofErr w:type="gramEnd"/>
      <w:r w:rsidRPr="00D33C4B">
        <w:rPr>
          <w:rFonts w:ascii="Garamond" w:hAnsi="Garamond" w:cs="Times New Roman"/>
          <w:color w:val="000000" w:themeColor="text1"/>
          <w:sz w:val="24"/>
          <w:szCs w:val="24"/>
          <w:lang w:val="ru-RU"/>
        </w:rPr>
        <w:t>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СРВНС та оповіщення населення у разі їх виникнення.</w:t>
      </w:r>
      <w:r w:rsidR="00B90E79" w:rsidRPr="00D33C4B">
        <w:rPr>
          <w:rFonts w:ascii="Garamond" w:hAnsi="Garamond" w:cs="Times New Roman"/>
          <w:color w:val="000000" w:themeColor="text1"/>
          <w:sz w:val="24"/>
          <w:szCs w:val="24"/>
          <w:lang w:val="ru-RU"/>
        </w:rPr>
        <w:t xml:space="preserve"> Таким чином, Закон України «Про об’єкти </w:t>
      </w:r>
      <w:proofErr w:type="gramStart"/>
      <w:r w:rsidR="00B90E79" w:rsidRPr="00D33C4B">
        <w:rPr>
          <w:rFonts w:ascii="Garamond" w:hAnsi="Garamond" w:cs="Times New Roman"/>
          <w:color w:val="000000" w:themeColor="text1"/>
          <w:sz w:val="24"/>
          <w:szCs w:val="24"/>
          <w:lang w:val="ru-RU"/>
        </w:rPr>
        <w:t>п</w:t>
      </w:r>
      <w:proofErr w:type="gramEnd"/>
      <w:r w:rsidR="00B90E79" w:rsidRPr="00D33C4B">
        <w:rPr>
          <w:rFonts w:ascii="Garamond" w:hAnsi="Garamond" w:cs="Times New Roman"/>
          <w:color w:val="000000" w:themeColor="text1"/>
          <w:sz w:val="24"/>
          <w:szCs w:val="24"/>
          <w:lang w:val="ru-RU"/>
        </w:rPr>
        <w:t>ідвищеної небезпеки»</w:t>
      </w:r>
      <w:r w:rsidR="009E70E2">
        <w:rPr>
          <w:rFonts w:ascii="Garamond" w:hAnsi="Garamond" w:cs="Times New Roman"/>
          <w:color w:val="000000" w:themeColor="text1"/>
          <w:sz w:val="24"/>
          <w:szCs w:val="24"/>
          <w:lang w:val="ru-RU"/>
        </w:rPr>
        <w:t xml:space="preserve"> </w:t>
      </w:r>
      <w:r w:rsidR="00B90E79" w:rsidRPr="00D33C4B">
        <w:rPr>
          <w:rFonts w:ascii="Garamond" w:hAnsi="Garamond" w:cs="Times New Roman"/>
          <w:color w:val="000000" w:themeColor="text1"/>
          <w:sz w:val="24"/>
          <w:szCs w:val="24"/>
          <w:lang w:val="ru-RU"/>
        </w:rPr>
        <w:t xml:space="preserve"> фактично прирівняв АЗС до таких промислових об’єктів, як хімічні заводи й атомні електростанції. </w:t>
      </w:r>
    </w:p>
    <w:p w:rsidR="004514BE" w:rsidRPr="00D33C4B" w:rsidRDefault="004514BE" w:rsidP="004514BE">
      <w:pPr>
        <w:tabs>
          <w:tab w:val="left" w:pos="709"/>
        </w:tabs>
        <w:spacing w:after="0" w:line="240" w:lineRule="auto"/>
        <w:ind w:firstLine="426"/>
        <w:jc w:val="both"/>
        <w:rPr>
          <w:rFonts w:ascii="Garamond" w:hAnsi="Garamond" w:cs="Times New Roman"/>
          <w:b/>
          <w:i/>
          <w:color w:val="000000" w:themeColor="text1"/>
          <w:sz w:val="24"/>
          <w:szCs w:val="24"/>
          <w:lang w:val="ru-RU"/>
        </w:rPr>
      </w:pPr>
      <w:r w:rsidRPr="00D33C4B">
        <w:rPr>
          <w:rFonts w:ascii="Garamond" w:hAnsi="Garamond" w:cs="Times New Roman"/>
          <w:color w:val="000000" w:themeColor="text1"/>
          <w:sz w:val="24"/>
          <w:szCs w:val="24"/>
          <w:lang w:val="ru-RU"/>
        </w:rPr>
        <w:t xml:space="preserve">Ч.4 ст.53 цього ж Кодексу передбачає, що 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w:t>
      </w:r>
      <w:r w:rsidRPr="00D33C4B">
        <w:rPr>
          <w:rFonts w:ascii="Garamond" w:hAnsi="Garamond" w:cs="Times New Roman"/>
          <w:b/>
          <w:color w:val="000000" w:themeColor="text1"/>
          <w:sz w:val="24"/>
          <w:szCs w:val="24"/>
          <w:lang w:val="ru-RU"/>
        </w:rPr>
        <w:t xml:space="preserve">визначаються правилами, </w:t>
      </w:r>
      <w:r w:rsidRPr="00D33C4B">
        <w:rPr>
          <w:rFonts w:ascii="Garamond" w:hAnsi="Garamond" w:cs="Times New Roman"/>
          <w:color w:val="000000" w:themeColor="text1"/>
          <w:sz w:val="24"/>
          <w:szCs w:val="24"/>
          <w:lang w:val="ru-RU"/>
        </w:rPr>
        <w:t>що затверджуються центральним органом виконавчої влади, який забезпечує формування та реалізує державну політику у сфері цивільного захисту</w:t>
      </w:r>
      <w:r w:rsidR="00B90E79" w:rsidRPr="00D33C4B">
        <w:rPr>
          <w:rFonts w:ascii="Garamond" w:hAnsi="Garamond" w:cs="Times New Roman"/>
          <w:color w:val="000000" w:themeColor="text1"/>
          <w:sz w:val="24"/>
          <w:szCs w:val="24"/>
          <w:lang w:val="ru-RU"/>
        </w:rPr>
        <w:t xml:space="preserve"> (</w:t>
      </w:r>
      <w:r w:rsidRPr="00D33C4B">
        <w:rPr>
          <w:rFonts w:ascii="Garamond" w:hAnsi="Garamond" w:cs="Times New Roman"/>
          <w:color w:val="000000" w:themeColor="text1"/>
          <w:sz w:val="24"/>
          <w:szCs w:val="24"/>
          <w:lang w:val="ru-RU"/>
        </w:rPr>
        <w:t xml:space="preserve">далі </w:t>
      </w:r>
      <w:r w:rsidR="00B90E79" w:rsidRPr="00D33C4B">
        <w:rPr>
          <w:rFonts w:ascii="Garamond" w:hAnsi="Garamond" w:cs="Times New Roman"/>
          <w:color w:val="000000" w:themeColor="text1"/>
          <w:sz w:val="24"/>
          <w:szCs w:val="24"/>
          <w:lang w:val="ru-RU"/>
        </w:rPr>
        <w:t xml:space="preserve">– </w:t>
      </w:r>
      <w:r w:rsidRPr="00D33C4B">
        <w:rPr>
          <w:rFonts w:ascii="Garamond" w:hAnsi="Garamond" w:cs="Times New Roman"/>
          <w:b/>
          <w:color w:val="000000" w:themeColor="text1"/>
          <w:sz w:val="24"/>
          <w:szCs w:val="24"/>
          <w:lang w:val="ru-RU"/>
        </w:rPr>
        <w:t>Правила</w:t>
      </w:r>
      <w:r w:rsidRPr="00D33C4B">
        <w:rPr>
          <w:rFonts w:ascii="Garamond" w:hAnsi="Garamond" w:cs="Times New Roman"/>
          <w:color w:val="000000" w:themeColor="text1"/>
          <w:sz w:val="24"/>
          <w:szCs w:val="24"/>
          <w:lang w:val="ru-RU"/>
        </w:rPr>
        <w:t>)</w:t>
      </w:r>
      <w:r w:rsidRPr="00D33C4B">
        <w:rPr>
          <w:rFonts w:ascii="Garamond" w:hAnsi="Garamond" w:cs="Times New Roman"/>
          <w:i/>
          <w:color w:val="000000" w:themeColor="text1"/>
          <w:sz w:val="24"/>
          <w:szCs w:val="24"/>
          <w:lang w:val="ru-RU"/>
        </w:rPr>
        <w:t>.</w:t>
      </w:r>
    </w:p>
    <w:p w:rsidR="004514BE" w:rsidRPr="00D33C4B" w:rsidRDefault="004514BE" w:rsidP="004514BE">
      <w:pPr>
        <w:tabs>
          <w:tab w:val="left" w:pos="709"/>
        </w:tabs>
        <w:spacing w:after="0" w:line="240" w:lineRule="auto"/>
        <w:ind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Зазначені вище Правила </w:t>
      </w:r>
      <w:r w:rsidRPr="00D33C4B">
        <w:rPr>
          <w:rFonts w:ascii="Garamond" w:hAnsi="Garamond" w:cs="Times New Roman"/>
          <w:b/>
          <w:color w:val="000000" w:themeColor="text1"/>
          <w:sz w:val="24"/>
          <w:szCs w:val="24"/>
          <w:lang w:val="ru-RU"/>
        </w:rPr>
        <w:t>підлягають державній реєстрації</w:t>
      </w:r>
      <w:r w:rsidRPr="00D33C4B">
        <w:rPr>
          <w:rFonts w:ascii="Garamond" w:hAnsi="Garamond" w:cs="Times New Roman"/>
          <w:color w:val="000000" w:themeColor="text1"/>
          <w:sz w:val="24"/>
          <w:szCs w:val="24"/>
          <w:lang w:val="ru-RU"/>
        </w:rPr>
        <w:t xml:space="preserve"> відповідно до Положення про державну реєстрацію нормативно-правових актів міністерств, інших органів виконавчої влади, затвердженого постановою КМУ від 28 грудня 1992 р. № 731</w:t>
      </w:r>
      <w:r w:rsidR="00B90E79" w:rsidRPr="00D33C4B">
        <w:rPr>
          <w:rFonts w:ascii="Garamond" w:hAnsi="Garamond" w:cs="Times New Roman"/>
          <w:color w:val="000000" w:themeColor="text1"/>
          <w:sz w:val="24"/>
          <w:szCs w:val="24"/>
          <w:lang w:val="ru-RU"/>
        </w:rPr>
        <w:t xml:space="preserve"> (</w:t>
      </w:r>
      <w:r w:rsidRPr="00D33C4B">
        <w:rPr>
          <w:rFonts w:ascii="Garamond" w:hAnsi="Garamond" w:cs="Times New Roman"/>
          <w:color w:val="000000" w:themeColor="text1"/>
          <w:sz w:val="24"/>
          <w:szCs w:val="24"/>
          <w:lang w:val="ru-RU"/>
        </w:rPr>
        <w:t xml:space="preserve">далі </w:t>
      </w:r>
      <w:r w:rsidR="00B90E79" w:rsidRPr="00D33C4B">
        <w:rPr>
          <w:rFonts w:ascii="Garamond" w:hAnsi="Garamond" w:cs="Times New Roman"/>
          <w:color w:val="000000" w:themeColor="text1"/>
          <w:sz w:val="24"/>
          <w:szCs w:val="24"/>
          <w:lang w:val="ru-RU"/>
        </w:rPr>
        <w:t xml:space="preserve">– </w:t>
      </w:r>
      <w:r w:rsidRPr="00D33C4B">
        <w:rPr>
          <w:rFonts w:ascii="Garamond" w:hAnsi="Garamond" w:cs="Times New Roman"/>
          <w:color w:val="000000" w:themeColor="text1"/>
          <w:sz w:val="24"/>
          <w:szCs w:val="24"/>
          <w:lang w:val="ru-RU"/>
        </w:rPr>
        <w:t xml:space="preserve">Положення). Згідно з п.1 Положення, державна реєстрація нормативно-правового акта полягає у </w:t>
      </w:r>
      <w:r w:rsidRPr="00D33C4B">
        <w:rPr>
          <w:rFonts w:ascii="Garamond" w:hAnsi="Garamond" w:cs="Times New Roman"/>
          <w:b/>
          <w:color w:val="000000" w:themeColor="text1"/>
          <w:sz w:val="24"/>
          <w:szCs w:val="24"/>
          <w:lang w:val="ru-RU"/>
        </w:rPr>
        <w:t>проведенні правової експертизи на відповідність</w:t>
      </w:r>
      <w:r w:rsidRPr="00D33C4B">
        <w:rPr>
          <w:rFonts w:ascii="Garamond" w:hAnsi="Garamond" w:cs="Times New Roman"/>
          <w:color w:val="000000" w:themeColor="text1"/>
          <w:sz w:val="24"/>
          <w:szCs w:val="24"/>
          <w:lang w:val="ru-RU"/>
        </w:rPr>
        <w:t xml:space="preserve"> його Конституції та законодавству України, Конвенції про захист </w:t>
      </w:r>
      <w:r w:rsidRPr="00D33C4B">
        <w:rPr>
          <w:rFonts w:ascii="Garamond" w:hAnsi="Garamond" w:cs="Times New Roman"/>
          <w:color w:val="000000" w:themeColor="text1"/>
          <w:sz w:val="24"/>
          <w:szCs w:val="24"/>
          <w:lang w:val="ru-RU"/>
        </w:rPr>
        <w:lastRenderedPageBreak/>
        <w:t xml:space="preserve">прав людини і основоположних свобод 1950 року і протоколам до неї, міжнародним договорам України, згоду на обов'язковість яких надано Верховною Радою України, та </w:t>
      </w:r>
      <w:r w:rsidRPr="00D33C4B">
        <w:rPr>
          <w:rFonts w:ascii="Garamond" w:hAnsi="Garamond" w:cs="Times New Roman"/>
          <w:color w:val="000000" w:themeColor="text1"/>
          <w:sz w:val="24"/>
          <w:szCs w:val="24"/>
        </w:rPr>
        <w:t>acquis</w:t>
      </w:r>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rPr>
        <w:t>communautaire</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антикорупційної</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експертизи</w:t>
      </w:r>
      <w:proofErr w:type="spellEnd"/>
      <w:r w:rsidRPr="00D33C4B">
        <w:rPr>
          <w:rFonts w:ascii="Garamond" w:hAnsi="Garamond" w:cs="Times New Roman"/>
          <w:color w:val="000000" w:themeColor="text1"/>
          <w:sz w:val="24"/>
          <w:szCs w:val="24"/>
          <w:lang w:val="ru-RU"/>
        </w:rPr>
        <w:t>, а також з урахуванням практики Європейського суду з прав людини, прийнятті рішення про державну реєстрацію цього акта, присвоєнні йому реєстраційного номера та занесенні до Єдиного державного реєстру нормативно-правових актів.</w:t>
      </w:r>
    </w:p>
    <w:p w:rsidR="004514BE" w:rsidRPr="00D33C4B" w:rsidRDefault="004514BE" w:rsidP="004514BE">
      <w:pPr>
        <w:tabs>
          <w:tab w:val="left" w:pos="709"/>
        </w:tabs>
        <w:spacing w:after="0" w:line="240" w:lineRule="auto"/>
        <w:ind w:firstLine="426"/>
        <w:jc w:val="both"/>
        <w:rPr>
          <w:rFonts w:ascii="Garamond" w:hAnsi="Garamond" w:cs="Times New Roman"/>
          <w:b/>
          <w:color w:val="000000" w:themeColor="text1"/>
          <w:sz w:val="24"/>
          <w:szCs w:val="24"/>
          <w:lang w:val="ru-RU"/>
        </w:rPr>
      </w:pPr>
      <w:r w:rsidRPr="00D33C4B">
        <w:rPr>
          <w:rFonts w:ascii="Garamond" w:eastAsia="Times New Roman" w:hAnsi="Garamond" w:cs="Times New Roman"/>
          <w:bCs/>
          <w:color w:val="000000" w:themeColor="text1"/>
          <w:sz w:val="24"/>
          <w:szCs w:val="24"/>
          <w:lang w:val="ru-RU" w:eastAsia="uk-UA"/>
        </w:rPr>
        <w:t xml:space="preserve">В Указі Президента України </w:t>
      </w:r>
      <w:r w:rsidRPr="00D33C4B">
        <w:rPr>
          <w:rFonts w:ascii="Garamond" w:eastAsia="Times New Roman" w:hAnsi="Garamond" w:cs="Times New Roman"/>
          <w:b/>
          <w:bCs/>
          <w:color w:val="000000" w:themeColor="text1"/>
          <w:sz w:val="24"/>
          <w:szCs w:val="24"/>
          <w:lang w:val="ru-RU" w:eastAsia="uk-UA"/>
        </w:rPr>
        <w:t>«Про державну реєстрацію нормативно-правових актів міністерств та інших органів виконавчої влади»</w:t>
      </w:r>
      <w:r w:rsidR="00B90E79" w:rsidRPr="00D33C4B">
        <w:rPr>
          <w:rFonts w:ascii="Garamond" w:eastAsia="Times New Roman" w:hAnsi="Garamond" w:cs="Times New Roman"/>
          <w:bCs/>
          <w:color w:val="000000" w:themeColor="text1"/>
          <w:sz w:val="24"/>
          <w:szCs w:val="24"/>
          <w:lang w:val="ru-RU" w:eastAsia="uk-UA"/>
        </w:rPr>
        <w:t xml:space="preserve">, зокрема, зазначено, що </w:t>
      </w:r>
      <w:r w:rsidR="00B90E79" w:rsidRPr="00830DC8">
        <w:rPr>
          <w:rFonts w:ascii="Garamond" w:eastAsia="Times New Roman" w:hAnsi="Garamond" w:cs="Times New Roman"/>
          <w:b/>
          <w:bCs/>
          <w:color w:val="000000" w:themeColor="text1"/>
          <w:sz w:val="24"/>
          <w:szCs w:val="24"/>
          <w:lang w:val="ru-RU" w:eastAsia="uk-UA"/>
        </w:rPr>
        <w:t>н</w:t>
      </w:r>
      <w:r w:rsidRPr="009E70E2">
        <w:rPr>
          <w:rFonts w:ascii="Garamond" w:hAnsi="Garamond" w:cs="Times New Roman"/>
          <w:b/>
          <w:color w:val="000000" w:themeColor="text1"/>
          <w:sz w:val="24"/>
          <w:szCs w:val="24"/>
          <w:lang w:val="ru-RU"/>
        </w:rPr>
        <w:t>о</w:t>
      </w:r>
      <w:r w:rsidRPr="00D33C4B">
        <w:rPr>
          <w:rFonts w:ascii="Garamond" w:hAnsi="Garamond" w:cs="Times New Roman"/>
          <w:b/>
          <w:color w:val="000000" w:themeColor="text1"/>
          <w:sz w:val="24"/>
          <w:szCs w:val="24"/>
          <w:lang w:val="ru-RU"/>
        </w:rPr>
        <w:t>рмативно-пра</w:t>
      </w:r>
      <w:r w:rsidR="00B90E79" w:rsidRPr="00D33C4B">
        <w:rPr>
          <w:rFonts w:ascii="Garamond" w:hAnsi="Garamond" w:cs="Times New Roman"/>
          <w:b/>
          <w:color w:val="000000" w:themeColor="text1"/>
          <w:sz w:val="24"/>
          <w:szCs w:val="24"/>
          <w:lang w:val="ru-RU"/>
        </w:rPr>
        <w:t xml:space="preserve">вові </w:t>
      </w:r>
      <w:r w:rsidRPr="00D33C4B">
        <w:rPr>
          <w:rFonts w:ascii="Garamond" w:hAnsi="Garamond" w:cs="Times New Roman"/>
          <w:b/>
          <w:color w:val="000000" w:themeColor="text1"/>
          <w:sz w:val="24"/>
          <w:szCs w:val="24"/>
          <w:lang w:val="ru-RU"/>
        </w:rPr>
        <w:t>акти, набувають чинності через 10 днів після їх реєстрації, якщо в них не встановлено пізнішого строку надання їм чинності.</w:t>
      </w:r>
      <w:r w:rsidR="00B90E79" w:rsidRPr="00D33C4B">
        <w:rPr>
          <w:rFonts w:ascii="Garamond" w:hAnsi="Garamond" w:cs="Times New Roman"/>
          <w:b/>
          <w:color w:val="000000" w:themeColor="text1"/>
          <w:sz w:val="24"/>
          <w:szCs w:val="24"/>
          <w:lang w:val="ru-RU"/>
        </w:rPr>
        <w:t xml:space="preserve"> </w:t>
      </w:r>
      <w:r w:rsidRPr="00D33C4B">
        <w:rPr>
          <w:rFonts w:ascii="Garamond" w:hAnsi="Garamond" w:cs="Times New Roman"/>
          <w:b/>
          <w:color w:val="000000" w:themeColor="text1"/>
          <w:sz w:val="24"/>
          <w:szCs w:val="24"/>
          <w:lang w:val="ru-RU"/>
        </w:rPr>
        <w:t xml:space="preserve">Таким чином, державна реєстрація нормативно-правового акта міністерства є гарантією відповідності його чинному законодавству України і є </w:t>
      </w:r>
      <w:r w:rsidRPr="00D33C4B">
        <w:rPr>
          <w:rFonts w:ascii="Garamond" w:hAnsi="Garamond" w:cs="Times New Roman"/>
          <w:b/>
          <w:color w:val="000000" w:themeColor="text1"/>
          <w:sz w:val="24"/>
          <w:szCs w:val="24"/>
          <w:u w:val="single"/>
          <w:lang w:val="ru-RU"/>
        </w:rPr>
        <w:t>необхідною передумовою набрання ним чинності.</w:t>
      </w:r>
      <w:r w:rsidRPr="00D33C4B">
        <w:rPr>
          <w:rFonts w:ascii="Garamond" w:hAnsi="Garamond" w:cs="Times New Roman"/>
          <w:b/>
          <w:color w:val="000000" w:themeColor="text1"/>
          <w:sz w:val="24"/>
          <w:szCs w:val="24"/>
          <w:lang w:val="ru-RU"/>
        </w:rPr>
        <w:t xml:space="preserve"> Якщо ж було відмовлено у держаній реєстрації такого акта, він не набирає чинності.</w:t>
      </w:r>
    </w:p>
    <w:p w:rsidR="004514BE" w:rsidRPr="00D33C4B" w:rsidRDefault="004514BE" w:rsidP="004514BE">
      <w:pPr>
        <w:tabs>
          <w:tab w:val="left" w:pos="709"/>
        </w:tabs>
        <w:spacing w:after="0" w:line="240" w:lineRule="auto"/>
        <w:ind w:firstLine="426"/>
        <w:jc w:val="both"/>
        <w:rPr>
          <w:rFonts w:ascii="Garamond" w:hAnsi="Garamond" w:cs="Times New Roman"/>
          <w:b/>
          <w:color w:val="000000" w:themeColor="text1"/>
          <w:sz w:val="24"/>
          <w:szCs w:val="24"/>
          <w:lang w:val="ru-RU"/>
        </w:rPr>
      </w:pPr>
      <w:r w:rsidRPr="00D33C4B">
        <w:rPr>
          <w:rFonts w:ascii="Garamond" w:hAnsi="Garamond" w:cs="Times New Roman"/>
          <w:color w:val="000000" w:themeColor="text1"/>
          <w:sz w:val="24"/>
          <w:szCs w:val="24"/>
          <w:lang w:val="ru-RU"/>
        </w:rPr>
        <w:t xml:space="preserve">Міністерством внутрішніх справ України </w:t>
      </w:r>
      <w:r w:rsidRPr="00D33C4B">
        <w:rPr>
          <w:rFonts w:ascii="Garamond" w:hAnsi="Garamond" w:cs="Times New Roman"/>
          <w:color w:val="000000" w:themeColor="text1"/>
          <w:sz w:val="24"/>
          <w:szCs w:val="24"/>
          <w:u w:val="single"/>
          <w:lang w:val="ru-RU"/>
        </w:rPr>
        <w:t>розроблено проект наказу</w:t>
      </w:r>
      <w:r w:rsidRPr="00D33C4B">
        <w:rPr>
          <w:rFonts w:ascii="Garamond" w:hAnsi="Garamond" w:cs="Times New Roman"/>
          <w:color w:val="000000" w:themeColor="text1"/>
          <w:sz w:val="24"/>
          <w:szCs w:val="24"/>
          <w:lang w:val="ru-RU"/>
        </w:rPr>
        <w:t xml:space="preserve"> «Про затвердження Правил улаштування, експлуатації та технічного обслуговування автоматизованих СРВНС та оповіщення населення у разі їх виникнення», яким затверджено нову редакцію зазначених Правил.</w:t>
      </w:r>
      <w:r w:rsidR="00B90E79" w:rsidRPr="00D33C4B">
        <w:rPr>
          <w:rFonts w:ascii="Garamond" w:hAnsi="Garamond" w:cs="Times New Roman"/>
          <w:color w:val="000000" w:themeColor="text1"/>
          <w:sz w:val="24"/>
          <w:szCs w:val="24"/>
          <w:lang w:val="ru-RU"/>
        </w:rPr>
        <w:t xml:space="preserve"> Водночас</w:t>
      </w:r>
      <w:r w:rsidRPr="00D33C4B">
        <w:rPr>
          <w:rFonts w:ascii="Garamond" w:hAnsi="Garamond" w:cs="Times New Roman"/>
          <w:b/>
          <w:color w:val="000000" w:themeColor="text1"/>
          <w:sz w:val="24"/>
          <w:szCs w:val="24"/>
          <w:lang w:val="ru-RU"/>
        </w:rPr>
        <w:t xml:space="preserve"> Правила та</w:t>
      </w:r>
      <w:r w:rsidR="00B90E79" w:rsidRPr="00D33C4B">
        <w:rPr>
          <w:rFonts w:ascii="Garamond" w:hAnsi="Garamond" w:cs="Times New Roman"/>
          <w:b/>
          <w:color w:val="000000" w:themeColor="text1"/>
          <w:sz w:val="24"/>
          <w:szCs w:val="24"/>
          <w:lang w:val="ru-RU"/>
        </w:rPr>
        <w:t xml:space="preserve"> н</w:t>
      </w:r>
      <w:r w:rsidRPr="00D33C4B">
        <w:rPr>
          <w:rFonts w:ascii="Garamond" w:hAnsi="Garamond" w:cs="Times New Roman"/>
          <w:b/>
          <w:color w:val="000000" w:themeColor="text1"/>
          <w:sz w:val="24"/>
          <w:szCs w:val="24"/>
          <w:lang w:val="ru-RU"/>
        </w:rPr>
        <w:t xml:space="preserve">аказ не набрали чинності, так як не були зареєстровані. </w:t>
      </w:r>
      <w:r w:rsidR="00B90E79" w:rsidRPr="00D33C4B">
        <w:rPr>
          <w:rFonts w:ascii="Garamond" w:hAnsi="Garamond" w:cs="Times New Roman"/>
          <w:color w:val="000000" w:themeColor="text1"/>
          <w:sz w:val="24"/>
          <w:szCs w:val="24"/>
          <w:lang w:val="ru-RU"/>
        </w:rPr>
        <w:t>На сьогодні</w:t>
      </w:r>
      <w:r w:rsidRPr="00D33C4B">
        <w:rPr>
          <w:rFonts w:ascii="Garamond" w:hAnsi="Garamond" w:cs="Times New Roman"/>
          <w:color w:val="000000" w:themeColor="text1"/>
          <w:sz w:val="24"/>
          <w:szCs w:val="24"/>
          <w:lang w:val="ru-RU"/>
        </w:rPr>
        <w:t xml:space="preserve"> є чинним </w:t>
      </w:r>
      <w:r w:rsidR="00B90E79" w:rsidRPr="00D33C4B">
        <w:rPr>
          <w:rFonts w:ascii="Garamond" w:hAnsi="Garamond" w:cs="Times New Roman"/>
          <w:color w:val="000000" w:themeColor="text1"/>
          <w:sz w:val="24"/>
          <w:szCs w:val="24"/>
          <w:lang w:val="ru-RU"/>
        </w:rPr>
        <w:t>н</w:t>
      </w:r>
      <w:r w:rsidRPr="00D33C4B">
        <w:rPr>
          <w:rFonts w:ascii="Garamond" w:hAnsi="Garamond" w:cs="Times New Roman"/>
          <w:color w:val="000000" w:themeColor="text1"/>
          <w:sz w:val="24"/>
          <w:szCs w:val="24"/>
          <w:lang w:val="ru-RU"/>
        </w:rPr>
        <w:t xml:space="preserve">аказ МНС України від 15.05.2006 № 288 «Про затвердження Правил улаштування, експлуатації та технічного обслуговування СРВНС та оповіщення людей у </w:t>
      </w:r>
      <w:r w:rsidR="00B90E79" w:rsidRPr="00D33C4B">
        <w:rPr>
          <w:rFonts w:ascii="Garamond" w:hAnsi="Garamond" w:cs="Times New Roman"/>
          <w:color w:val="000000" w:themeColor="text1"/>
          <w:sz w:val="24"/>
          <w:szCs w:val="24"/>
          <w:lang w:val="ru-RU"/>
        </w:rPr>
        <w:t>разі їх виникнення» в редакції н</w:t>
      </w:r>
      <w:r w:rsidRPr="00D33C4B">
        <w:rPr>
          <w:rFonts w:ascii="Garamond" w:hAnsi="Garamond" w:cs="Times New Roman"/>
          <w:color w:val="000000" w:themeColor="text1"/>
          <w:sz w:val="24"/>
          <w:szCs w:val="24"/>
          <w:lang w:val="ru-RU"/>
        </w:rPr>
        <w:t xml:space="preserve">аказу Міністерства надзвичайних ситуацій </w:t>
      </w:r>
      <w:r w:rsidR="00B90E79" w:rsidRPr="00D33C4B">
        <w:rPr>
          <w:rFonts w:ascii="Garamond" w:hAnsi="Garamond" w:cs="Times New Roman"/>
          <w:color w:val="000000" w:themeColor="text1"/>
          <w:sz w:val="24"/>
          <w:szCs w:val="24"/>
          <w:lang w:val="uk-UA"/>
        </w:rPr>
        <w:t>№</w:t>
      </w:r>
      <w:r w:rsidRPr="00D33C4B">
        <w:rPr>
          <w:rFonts w:ascii="Garamond" w:hAnsi="Garamond" w:cs="Times New Roman"/>
          <w:color w:val="000000" w:themeColor="text1"/>
          <w:sz w:val="24"/>
          <w:szCs w:val="24"/>
          <w:lang w:val="ru-RU"/>
        </w:rPr>
        <w:t xml:space="preserve"> 7</w:t>
      </w:r>
      <w:r w:rsidR="00B90E79" w:rsidRPr="00D33C4B">
        <w:rPr>
          <w:rFonts w:ascii="Garamond" w:hAnsi="Garamond" w:cs="Times New Roman"/>
          <w:color w:val="000000" w:themeColor="text1"/>
          <w:sz w:val="24"/>
          <w:szCs w:val="24"/>
          <w:lang w:val="ru-RU"/>
        </w:rPr>
        <w:t>93</w:t>
      </w:r>
      <w:r w:rsidRPr="00D33C4B">
        <w:rPr>
          <w:rFonts w:ascii="Garamond" w:hAnsi="Garamond" w:cs="Times New Roman"/>
          <w:color w:val="000000" w:themeColor="text1"/>
          <w:sz w:val="24"/>
          <w:szCs w:val="24"/>
          <w:lang w:val="ru-RU"/>
        </w:rPr>
        <w:t xml:space="preserve"> від 03.08.2011, згідно з яким </w:t>
      </w:r>
      <w:r w:rsidRPr="00D33C4B">
        <w:rPr>
          <w:rFonts w:ascii="Garamond" w:hAnsi="Garamond" w:cs="Times New Roman"/>
          <w:color w:val="000000" w:themeColor="text1"/>
          <w:sz w:val="24"/>
          <w:szCs w:val="24"/>
          <w:u w:val="single"/>
          <w:lang w:val="ru-RU"/>
        </w:rPr>
        <w:t xml:space="preserve">виключено позицію 5 з Переліку </w:t>
      </w:r>
      <w:proofErr w:type="spellStart"/>
      <w:r w:rsidRPr="00D33C4B">
        <w:rPr>
          <w:rFonts w:ascii="Garamond" w:hAnsi="Garamond" w:cs="Times New Roman"/>
          <w:color w:val="000000" w:themeColor="text1"/>
          <w:sz w:val="24"/>
          <w:szCs w:val="24"/>
          <w:u w:val="single"/>
          <w:lang w:val="ru-RU"/>
        </w:rPr>
        <w:t>об'єктів</w:t>
      </w:r>
      <w:proofErr w:type="spellEnd"/>
      <w:r w:rsidRPr="00D33C4B">
        <w:rPr>
          <w:rFonts w:ascii="Garamond" w:hAnsi="Garamond" w:cs="Times New Roman"/>
          <w:color w:val="000000" w:themeColor="text1"/>
          <w:sz w:val="24"/>
          <w:szCs w:val="24"/>
          <w:u w:val="single"/>
          <w:lang w:val="ru-RU"/>
        </w:rPr>
        <w:t xml:space="preserve">, </w:t>
      </w:r>
      <w:proofErr w:type="spellStart"/>
      <w:r w:rsidRPr="00D33C4B">
        <w:rPr>
          <w:rFonts w:ascii="Garamond" w:hAnsi="Garamond" w:cs="Times New Roman"/>
          <w:color w:val="000000" w:themeColor="text1"/>
          <w:sz w:val="24"/>
          <w:szCs w:val="24"/>
          <w:u w:val="single"/>
          <w:lang w:val="ru-RU"/>
        </w:rPr>
        <w:t>що</w:t>
      </w:r>
      <w:proofErr w:type="spellEnd"/>
      <w:r w:rsidRPr="00D33C4B">
        <w:rPr>
          <w:rFonts w:ascii="Garamond" w:hAnsi="Garamond" w:cs="Times New Roman"/>
          <w:color w:val="000000" w:themeColor="text1"/>
          <w:sz w:val="24"/>
          <w:szCs w:val="24"/>
          <w:u w:val="single"/>
          <w:lang w:val="ru-RU"/>
        </w:rPr>
        <w:t xml:space="preserve"> </w:t>
      </w:r>
      <w:proofErr w:type="spellStart"/>
      <w:r w:rsidRPr="00D33C4B">
        <w:rPr>
          <w:rFonts w:ascii="Garamond" w:hAnsi="Garamond" w:cs="Times New Roman"/>
          <w:color w:val="000000" w:themeColor="text1"/>
          <w:sz w:val="24"/>
          <w:szCs w:val="24"/>
          <w:u w:val="single"/>
          <w:lang w:val="ru-RU"/>
        </w:rPr>
        <w:t>підлягають</w:t>
      </w:r>
      <w:proofErr w:type="spellEnd"/>
      <w:r w:rsidRPr="00D33C4B">
        <w:rPr>
          <w:rFonts w:ascii="Garamond" w:hAnsi="Garamond" w:cs="Times New Roman"/>
          <w:color w:val="000000" w:themeColor="text1"/>
          <w:sz w:val="24"/>
          <w:szCs w:val="24"/>
          <w:u w:val="single"/>
          <w:lang w:val="ru-RU"/>
        </w:rPr>
        <w:t xml:space="preserve"> </w:t>
      </w:r>
      <w:r w:rsidR="009E70E2">
        <w:rPr>
          <w:rFonts w:ascii="Garamond" w:hAnsi="Garamond" w:cs="Times New Roman"/>
          <w:color w:val="000000" w:themeColor="text1"/>
          <w:sz w:val="24"/>
          <w:szCs w:val="24"/>
          <w:u w:val="single"/>
          <w:lang w:val="ru-RU"/>
        </w:rPr>
        <w:t xml:space="preserve"> </w:t>
      </w:r>
      <w:proofErr w:type="spellStart"/>
      <w:r w:rsidRPr="00D33C4B">
        <w:rPr>
          <w:rFonts w:ascii="Garamond" w:hAnsi="Garamond" w:cs="Times New Roman"/>
          <w:color w:val="000000" w:themeColor="text1"/>
          <w:sz w:val="24"/>
          <w:szCs w:val="24"/>
          <w:u w:val="single"/>
          <w:lang w:val="ru-RU"/>
        </w:rPr>
        <w:t>обладнанню</w:t>
      </w:r>
      <w:proofErr w:type="spellEnd"/>
      <w:r w:rsidRPr="00D33C4B">
        <w:rPr>
          <w:rFonts w:ascii="Garamond" w:hAnsi="Garamond" w:cs="Times New Roman"/>
          <w:color w:val="000000" w:themeColor="text1"/>
          <w:sz w:val="24"/>
          <w:szCs w:val="24"/>
          <w:u w:val="single"/>
          <w:lang w:val="ru-RU"/>
        </w:rPr>
        <w:t xml:space="preserve"> СРВНС</w:t>
      </w:r>
      <w:r w:rsidR="00B90E79" w:rsidRPr="00D33C4B">
        <w:rPr>
          <w:rFonts w:ascii="Garamond" w:hAnsi="Garamond" w:cs="Times New Roman"/>
          <w:color w:val="000000" w:themeColor="text1"/>
          <w:sz w:val="24"/>
          <w:szCs w:val="24"/>
          <w:lang w:val="ru-RU"/>
        </w:rPr>
        <w:t xml:space="preserve">, </w:t>
      </w:r>
      <w:proofErr w:type="spellStart"/>
      <w:r w:rsidR="00B90E79" w:rsidRPr="00D33C4B">
        <w:rPr>
          <w:rFonts w:ascii="Garamond" w:hAnsi="Garamond" w:cs="Times New Roman"/>
          <w:color w:val="000000" w:themeColor="text1"/>
          <w:sz w:val="24"/>
          <w:szCs w:val="24"/>
          <w:lang w:val="ru-RU"/>
        </w:rPr>
        <w:t>якою</w:t>
      </w:r>
      <w:proofErr w:type="spellEnd"/>
      <w:r w:rsidR="00B90E79"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передбачалось</w:t>
      </w:r>
      <w:proofErr w:type="spellEnd"/>
      <w:r w:rsidRPr="00D33C4B">
        <w:rPr>
          <w:rFonts w:ascii="Garamond" w:hAnsi="Garamond" w:cs="Times New Roman"/>
          <w:color w:val="000000" w:themeColor="text1"/>
          <w:sz w:val="24"/>
          <w:szCs w:val="24"/>
          <w:lang w:val="ru-RU"/>
        </w:rPr>
        <w:t xml:space="preserve">, що до таких потенційно небезпечних </w:t>
      </w:r>
      <w:proofErr w:type="spellStart"/>
      <w:r w:rsidRPr="00D33C4B">
        <w:rPr>
          <w:rFonts w:ascii="Garamond" w:hAnsi="Garamond" w:cs="Times New Roman"/>
          <w:color w:val="000000" w:themeColor="text1"/>
          <w:sz w:val="24"/>
          <w:szCs w:val="24"/>
          <w:lang w:val="ru-RU"/>
        </w:rPr>
        <w:t>об’єктів</w:t>
      </w:r>
      <w:proofErr w:type="spellEnd"/>
      <w:r w:rsidRPr="00D33C4B">
        <w:rPr>
          <w:rFonts w:ascii="Garamond" w:hAnsi="Garamond" w:cs="Times New Roman"/>
          <w:color w:val="000000" w:themeColor="text1"/>
          <w:sz w:val="24"/>
          <w:szCs w:val="24"/>
          <w:lang w:val="ru-RU"/>
        </w:rPr>
        <w:t xml:space="preserve"> належать </w:t>
      </w:r>
      <w:proofErr w:type="spellStart"/>
      <w:r w:rsidRPr="00D33C4B">
        <w:rPr>
          <w:rFonts w:ascii="Garamond" w:hAnsi="Garamond" w:cs="Times New Roman"/>
          <w:color w:val="000000" w:themeColor="text1"/>
          <w:sz w:val="24"/>
          <w:szCs w:val="24"/>
          <w:lang w:val="ru-RU"/>
        </w:rPr>
        <w:t>автозаправні</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автомобільні</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газозаправні</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станції</w:t>
      </w:r>
      <w:proofErr w:type="spellEnd"/>
      <w:r w:rsidRPr="00D33C4B">
        <w:rPr>
          <w:rFonts w:ascii="Garamond" w:hAnsi="Garamond" w:cs="Times New Roman"/>
          <w:color w:val="000000" w:themeColor="text1"/>
          <w:sz w:val="24"/>
          <w:szCs w:val="24"/>
          <w:lang w:val="ru-RU"/>
        </w:rPr>
        <w:t xml:space="preserve"> </w:t>
      </w:r>
      <w:r w:rsidR="009E70E2">
        <w:rPr>
          <w:rFonts w:ascii="Garamond" w:hAnsi="Garamond" w:cs="Times New Roman"/>
          <w:color w:val="000000" w:themeColor="text1"/>
          <w:sz w:val="24"/>
          <w:szCs w:val="24"/>
          <w:lang w:val="ru-RU"/>
        </w:rPr>
        <w:t xml:space="preserve"> </w:t>
      </w:r>
      <w:r w:rsidRPr="00D33C4B">
        <w:rPr>
          <w:rFonts w:ascii="Garamond" w:hAnsi="Garamond" w:cs="Times New Roman"/>
          <w:color w:val="000000" w:themeColor="text1"/>
          <w:sz w:val="24"/>
          <w:szCs w:val="24"/>
          <w:lang w:val="ru-RU"/>
        </w:rPr>
        <w:t xml:space="preserve">та </w:t>
      </w:r>
      <w:proofErr w:type="spellStart"/>
      <w:r w:rsidRPr="00D33C4B">
        <w:rPr>
          <w:rFonts w:ascii="Garamond" w:hAnsi="Garamond" w:cs="Times New Roman"/>
          <w:color w:val="000000" w:themeColor="text1"/>
          <w:sz w:val="24"/>
          <w:szCs w:val="24"/>
          <w:lang w:val="ru-RU"/>
        </w:rPr>
        <w:t>пункти</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автомобільні</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газонаповнювальні</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компресорні</w:t>
      </w:r>
      <w:proofErr w:type="spellEnd"/>
      <w:r w:rsidRPr="00D33C4B">
        <w:rPr>
          <w:rFonts w:ascii="Garamond" w:hAnsi="Garamond" w:cs="Times New Roman"/>
          <w:color w:val="000000" w:themeColor="text1"/>
          <w:sz w:val="24"/>
          <w:szCs w:val="24"/>
          <w:lang w:val="ru-RU"/>
        </w:rPr>
        <w:t xml:space="preserve"> станції, склади газу і газопродуктів</w:t>
      </w:r>
      <w:r w:rsidRPr="00D33C4B">
        <w:rPr>
          <w:rFonts w:ascii="Garamond" w:hAnsi="Garamond" w:cs="Times New Roman"/>
          <w:sz w:val="24"/>
          <w:szCs w:val="24"/>
          <w:lang w:val="ru-RU"/>
        </w:rPr>
        <w:t xml:space="preserve"> (будівлі, споруди та приміщення, де необхідно встановлювати </w:t>
      </w:r>
      <w:r w:rsidRPr="00D33C4B">
        <w:rPr>
          <w:rFonts w:ascii="Garamond" w:hAnsi="Garamond" w:cs="Times New Roman"/>
          <w:color w:val="000000" w:themeColor="text1"/>
          <w:sz w:val="24"/>
          <w:szCs w:val="24"/>
          <w:lang w:val="ru-RU"/>
        </w:rPr>
        <w:t>СРВНС</w:t>
      </w:r>
      <w:r w:rsidRPr="00D33C4B">
        <w:rPr>
          <w:rFonts w:ascii="Garamond" w:hAnsi="Garamond" w:cs="Times New Roman"/>
          <w:sz w:val="24"/>
          <w:szCs w:val="24"/>
          <w:lang w:val="ru-RU"/>
        </w:rPr>
        <w:t xml:space="preserve"> - </w:t>
      </w:r>
      <w:r w:rsidRPr="00D33C4B">
        <w:rPr>
          <w:rFonts w:ascii="Garamond" w:hAnsi="Garamond" w:cs="Times New Roman"/>
          <w:color w:val="000000" w:themeColor="text1"/>
          <w:sz w:val="24"/>
          <w:szCs w:val="24"/>
          <w:lang w:val="ru-RU"/>
        </w:rPr>
        <w:t>об’єкти збереження, розливу та реалізації нафтопродуктів, об’єкти збереження скрапленого газу, заправки ним та реалізації).</w:t>
      </w:r>
    </w:p>
    <w:p w:rsidR="004514BE" w:rsidRPr="00D33C4B" w:rsidRDefault="004514BE" w:rsidP="004514BE">
      <w:pPr>
        <w:tabs>
          <w:tab w:val="left" w:pos="709"/>
        </w:tabs>
        <w:spacing w:after="0" w:line="240" w:lineRule="auto"/>
        <w:ind w:firstLine="426"/>
        <w:jc w:val="both"/>
        <w:rPr>
          <w:rFonts w:ascii="Garamond" w:hAnsi="Garamond" w:cs="Times New Roman"/>
          <w:b/>
          <w:color w:val="000000" w:themeColor="text1"/>
          <w:sz w:val="24"/>
          <w:szCs w:val="24"/>
          <w:lang w:val="ru-RU"/>
        </w:rPr>
      </w:pPr>
      <w:r w:rsidRPr="00D33C4B">
        <w:rPr>
          <w:rFonts w:ascii="Garamond" w:hAnsi="Garamond" w:cs="Times New Roman"/>
          <w:b/>
          <w:color w:val="000000" w:themeColor="text1"/>
          <w:sz w:val="24"/>
          <w:szCs w:val="24"/>
          <w:lang w:val="ru-RU"/>
        </w:rPr>
        <w:t xml:space="preserve">Таким чином, </w:t>
      </w:r>
      <w:r w:rsidR="00B90E79" w:rsidRPr="00D33C4B">
        <w:rPr>
          <w:rFonts w:ascii="Garamond" w:hAnsi="Garamond" w:cs="Times New Roman"/>
          <w:b/>
          <w:color w:val="000000" w:themeColor="text1"/>
          <w:sz w:val="24"/>
          <w:szCs w:val="24"/>
          <w:lang w:val="uk-UA"/>
        </w:rPr>
        <w:t>станом на сьогодні</w:t>
      </w:r>
      <w:r w:rsidRPr="00D33C4B">
        <w:rPr>
          <w:rFonts w:ascii="Garamond" w:hAnsi="Garamond" w:cs="Times New Roman"/>
          <w:b/>
          <w:color w:val="000000" w:themeColor="text1"/>
          <w:sz w:val="24"/>
          <w:szCs w:val="24"/>
          <w:lang w:val="ru-RU"/>
        </w:rPr>
        <w:t xml:space="preserve"> Правила улаштування, експлуатації та технічного обслуговування СРВНСО для АЗС формально не затверджен</w:t>
      </w:r>
      <w:r w:rsidR="00B90E79" w:rsidRPr="00D33C4B">
        <w:rPr>
          <w:rFonts w:ascii="Garamond" w:hAnsi="Garamond" w:cs="Times New Roman"/>
          <w:b/>
          <w:color w:val="000000" w:themeColor="text1"/>
          <w:sz w:val="24"/>
          <w:szCs w:val="24"/>
          <w:lang w:val="ru-RU"/>
        </w:rPr>
        <w:t>і</w:t>
      </w:r>
      <w:r w:rsidRPr="00D33C4B">
        <w:rPr>
          <w:rFonts w:ascii="Garamond" w:hAnsi="Garamond" w:cs="Times New Roman"/>
          <w:b/>
          <w:color w:val="000000" w:themeColor="text1"/>
          <w:sz w:val="24"/>
          <w:szCs w:val="24"/>
          <w:lang w:val="ru-RU"/>
        </w:rPr>
        <w:t>.</w:t>
      </w:r>
    </w:p>
    <w:p w:rsidR="004514BE" w:rsidRPr="00D33C4B" w:rsidRDefault="00D33C4B" w:rsidP="004514BE">
      <w:pPr>
        <w:pStyle w:val="HTMLPreformatted"/>
        <w:tabs>
          <w:tab w:val="left" w:pos="709"/>
        </w:tabs>
        <w:ind w:firstLine="426"/>
        <w:jc w:val="both"/>
        <w:rPr>
          <w:rFonts w:ascii="Garamond" w:eastAsia="Times New Roman" w:hAnsi="Garamond" w:cs="Times New Roman"/>
          <w:color w:val="000000" w:themeColor="text1"/>
          <w:sz w:val="24"/>
          <w:szCs w:val="24"/>
          <w:lang w:eastAsia="uk-UA"/>
        </w:rPr>
      </w:pPr>
      <w:r w:rsidRPr="00D33C4B">
        <w:rPr>
          <w:rFonts w:ascii="Garamond" w:hAnsi="Garamond" w:cs="Times New Roman"/>
          <w:color w:val="000000" w:themeColor="text1"/>
          <w:sz w:val="24"/>
          <w:szCs w:val="24"/>
        </w:rPr>
        <w:t>Окремо слід також наголосити , що з</w:t>
      </w:r>
      <w:r w:rsidR="004514BE" w:rsidRPr="00D33C4B">
        <w:rPr>
          <w:rFonts w:ascii="Garamond" w:hAnsi="Garamond" w:cs="Times New Roman"/>
          <w:color w:val="000000" w:themeColor="text1"/>
          <w:sz w:val="24"/>
          <w:szCs w:val="24"/>
        </w:rPr>
        <w:t xml:space="preserve">гідно з </w:t>
      </w:r>
      <w:r w:rsidRPr="00D33C4B">
        <w:rPr>
          <w:rFonts w:ascii="Garamond" w:hAnsi="Garamond" w:cs="Times New Roman"/>
          <w:color w:val="000000" w:themeColor="text1"/>
          <w:sz w:val="24"/>
          <w:szCs w:val="24"/>
        </w:rPr>
        <w:t xml:space="preserve">нормами </w:t>
      </w:r>
      <w:r w:rsidRPr="00D33C4B">
        <w:rPr>
          <w:rFonts w:ascii="Garamond" w:hAnsi="Garamond" w:cs="Times New Roman"/>
          <w:color w:val="000000" w:themeColor="text1"/>
          <w:sz w:val="24"/>
          <w:szCs w:val="24"/>
          <w:lang w:val="ru-RU"/>
        </w:rPr>
        <w:t>Кодексу цивільного захисту України</w:t>
      </w:r>
      <w:r w:rsidRPr="00D33C4B">
        <w:rPr>
          <w:rFonts w:ascii="Garamond" w:hAnsi="Garamond" w:cs="Times New Roman"/>
          <w:color w:val="000000" w:themeColor="text1"/>
          <w:sz w:val="24"/>
          <w:szCs w:val="24"/>
        </w:rPr>
        <w:t xml:space="preserve"> </w:t>
      </w:r>
      <w:r w:rsidR="004514BE" w:rsidRPr="00D33C4B">
        <w:rPr>
          <w:rFonts w:ascii="Garamond" w:hAnsi="Garamond" w:cs="Times New Roman"/>
          <w:color w:val="000000" w:themeColor="text1"/>
          <w:sz w:val="24"/>
          <w:szCs w:val="24"/>
        </w:rPr>
        <w:t xml:space="preserve">України, відповідні вимоги до автоматизованих СРВНС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цивільного захисту. Таким </w:t>
      </w:r>
      <w:r w:rsidR="004514BE" w:rsidRPr="00D33C4B">
        <w:rPr>
          <w:rFonts w:ascii="Garamond" w:eastAsia="Times New Roman" w:hAnsi="Garamond" w:cs="Times New Roman"/>
          <w:b/>
          <w:color w:val="000000" w:themeColor="text1"/>
          <w:sz w:val="24"/>
          <w:szCs w:val="24"/>
          <w:lang w:eastAsia="uk-UA"/>
        </w:rPr>
        <w:t>головним органом у системі центральних органів виконавчої влади з формування та забезпечення реалізації державної політики у сфері цивільного захисту</w:t>
      </w:r>
      <w:r w:rsidR="004514BE" w:rsidRPr="00D33C4B">
        <w:rPr>
          <w:rFonts w:ascii="Garamond" w:hAnsi="Garamond" w:cs="Times New Roman"/>
          <w:b/>
          <w:color w:val="000000" w:themeColor="text1"/>
          <w:sz w:val="24"/>
          <w:szCs w:val="24"/>
        </w:rPr>
        <w:t xml:space="preserve"> </w:t>
      </w:r>
      <w:r w:rsidR="004514BE" w:rsidRPr="00D33C4B">
        <w:rPr>
          <w:rFonts w:ascii="Garamond" w:eastAsia="Times New Roman" w:hAnsi="Garamond" w:cs="Times New Roman"/>
          <w:b/>
          <w:color w:val="000000" w:themeColor="text1"/>
          <w:sz w:val="24"/>
          <w:szCs w:val="24"/>
          <w:lang w:eastAsia="uk-UA"/>
        </w:rPr>
        <w:t>було МНС України.</w:t>
      </w:r>
      <w:r w:rsidR="004514BE" w:rsidRPr="00D33C4B">
        <w:rPr>
          <w:rFonts w:ascii="Garamond" w:eastAsia="Times New Roman" w:hAnsi="Garamond" w:cs="Times New Roman"/>
          <w:color w:val="000000" w:themeColor="text1"/>
          <w:sz w:val="24"/>
          <w:szCs w:val="24"/>
          <w:lang w:eastAsia="uk-UA"/>
        </w:rPr>
        <w:t xml:space="preserve"> </w:t>
      </w:r>
    </w:p>
    <w:p w:rsidR="004514BE" w:rsidRPr="00D33C4B" w:rsidRDefault="004514BE" w:rsidP="004514BE">
      <w:pPr>
        <w:pStyle w:val="HTMLPreformatted"/>
        <w:tabs>
          <w:tab w:val="left" w:pos="709"/>
        </w:tabs>
        <w:ind w:firstLine="426"/>
        <w:jc w:val="both"/>
        <w:rPr>
          <w:rStyle w:val="rvts23"/>
          <w:rFonts w:ascii="Garamond" w:hAnsi="Garamond" w:cs="Times New Roman"/>
          <w:color w:val="000000" w:themeColor="text1"/>
          <w:sz w:val="24"/>
          <w:szCs w:val="24"/>
        </w:rPr>
      </w:pPr>
      <w:r w:rsidRPr="00D33C4B">
        <w:rPr>
          <w:rStyle w:val="rvts0"/>
          <w:rFonts w:ascii="Garamond" w:hAnsi="Garamond" w:cs="Times New Roman"/>
          <w:b/>
          <w:color w:val="000000" w:themeColor="text1"/>
          <w:sz w:val="24"/>
          <w:szCs w:val="24"/>
        </w:rPr>
        <w:t xml:space="preserve">Державна служба України з надзвичайних ситуацій – </w:t>
      </w:r>
      <w:r w:rsidRPr="00D33C4B">
        <w:rPr>
          <w:rStyle w:val="rvts0"/>
          <w:rFonts w:ascii="Garamond" w:hAnsi="Garamond" w:cs="Times New Roman"/>
          <w:color w:val="000000" w:themeColor="text1"/>
          <w:sz w:val="24"/>
          <w:szCs w:val="24"/>
        </w:rPr>
        <w:t xml:space="preserve">правонаступник МНС України та Державної інспекції техногенної безпеки України, що реорганізувались (відповідно до Указу Президента України </w:t>
      </w:r>
      <w:r w:rsidRPr="00D33C4B">
        <w:rPr>
          <w:rFonts w:ascii="Garamond" w:hAnsi="Garamond" w:cs="Times New Roman"/>
          <w:color w:val="000000" w:themeColor="text1"/>
          <w:sz w:val="24"/>
          <w:szCs w:val="24"/>
        </w:rPr>
        <w:t xml:space="preserve">16.01.2013 № </w:t>
      </w:r>
      <w:r w:rsidRPr="00D33C4B">
        <w:rPr>
          <w:rFonts w:ascii="Garamond" w:hAnsi="Garamond" w:cs="Times New Roman"/>
          <w:bCs/>
          <w:color w:val="000000" w:themeColor="text1"/>
          <w:sz w:val="24"/>
          <w:szCs w:val="24"/>
        </w:rPr>
        <w:t>20/2013 «</w:t>
      </w:r>
      <w:r w:rsidRPr="00D33C4B">
        <w:rPr>
          <w:rStyle w:val="rvts23"/>
          <w:rFonts w:ascii="Garamond" w:hAnsi="Garamond" w:cs="Times New Roman"/>
          <w:color w:val="000000" w:themeColor="text1"/>
          <w:sz w:val="24"/>
          <w:szCs w:val="24"/>
        </w:rPr>
        <w:t>Деякі питання Державної служби України з надзвичайних ситуацій»).</w:t>
      </w:r>
    </w:p>
    <w:p w:rsidR="004514BE" w:rsidRPr="00D33C4B" w:rsidRDefault="004514BE" w:rsidP="004514BE">
      <w:pPr>
        <w:pStyle w:val="HTMLPreformatted"/>
        <w:tabs>
          <w:tab w:val="left" w:pos="709"/>
        </w:tabs>
        <w:ind w:firstLine="426"/>
        <w:jc w:val="both"/>
        <w:rPr>
          <w:rStyle w:val="rvts23"/>
          <w:rFonts w:ascii="Garamond" w:hAnsi="Garamond" w:cs="Times New Roman"/>
          <w:color w:val="000000" w:themeColor="text1"/>
          <w:sz w:val="24"/>
          <w:szCs w:val="24"/>
        </w:rPr>
      </w:pPr>
      <w:r w:rsidRPr="00D33C4B">
        <w:rPr>
          <w:rStyle w:val="rvts23"/>
          <w:rFonts w:ascii="Garamond" w:hAnsi="Garamond" w:cs="Times New Roman"/>
          <w:color w:val="000000" w:themeColor="text1"/>
          <w:sz w:val="24"/>
          <w:szCs w:val="24"/>
        </w:rPr>
        <w:t>Чинні ДБН В.2.5-76:2014 «Автоматизовані системи раннього виявлення загрози виникнення надзвичайних ситуацій та сповіщення населення» встановлюють вимоги до проектування та монтування СРВНСО, обов’язковому обладнанню якими підлягають об’єкти, будівлі та споруди з ризиком виникнення надзвичайної ситуації загальнодержавного, регіонального або місцевого рівнів, а також будівлі і споруди класу наслідків (відповідальності) СС2, ССЗ (крім житлових будинків) відповідно до ДБН В.1.2-14, ДБН А.2.2-3.</w:t>
      </w:r>
    </w:p>
    <w:p w:rsidR="004514BE" w:rsidRPr="00D33C4B" w:rsidRDefault="004514BE" w:rsidP="004514BE">
      <w:pPr>
        <w:pStyle w:val="HTMLPreformatted"/>
        <w:tabs>
          <w:tab w:val="left" w:pos="709"/>
        </w:tabs>
        <w:ind w:firstLine="426"/>
        <w:jc w:val="both"/>
        <w:rPr>
          <w:rStyle w:val="rvts23"/>
          <w:rFonts w:ascii="Garamond" w:hAnsi="Garamond" w:cs="Times New Roman"/>
          <w:b/>
          <w:color w:val="000000" w:themeColor="text1"/>
          <w:sz w:val="24"/>
          <w:szCs w:val="24"/>
        </w:rPr>
      </w:pPr>
      <w:r w:rsidRPr="00D33C4B">
        <w:rPr>
          <w:rStyle w:val="rvts23"/>
          <w:rFonts w:ascii="Garamond" w:hAnsi="Garamond" w:cs="Times New Roman"/>
          <w:color w:val="000000" w:themeColor="text1"/>
          <w:sz w:val="24"/>
          <w:szCs w:val="24"/>
        </w:rPr>
        <w:t xml:space="preserve">Згідно з Законом України «Про будівельні норми», державні будівельні норми - нормативний акт, затверджений центральним органом  виконавчої  влади, </w:t>
      </w:r>
      <w:r w:rsidRPr="00D33C4B">
        <w:rPr>
          <w:rStyle w:val="rvts23"/>
          <w:rFonts w:ascii="Garamond" w:hAnsi="Garamond" w:cs="Times New Roman"/>
          <w:b/>
          <w:color w:val="000000" w:themeColor="text1"/>
          <w:sz w:val="24"/>
          <w:szCs w:val="24"/>
        </w:rPr>
        <w:t>що забезпечує формування державної політики у сфері будівництва.</w:t>
      </w:r>
    </w:p>
    <w:p w:rsidR="004514BE" w:rsidRPr="00D33C4B" w:rsidRDefault="004514BE" w:rsidP="004514BE">
      <w:pPr>
        <w:pStyle w:val="HTMLPreformatted"/>
        <w:tabs>
          <w:tab w:val="left" w:pos="709"/>
        </w:tabs>
        <w:ind w:firstLine="426"/>
        <w:jc w:val="both"/>
        <w:rPr>
          <w:rFonts w:ascii="Garamond" w:hAnsi="Garamond" w:cstheme="minorBidi"/>
          <w:sz w:val="24"/>
          <w:szCs w:val="24"/>
        </w:rPr>
      </w:pPr>
      <w:r w:rsidRPr="00D33C4B">
        <w:rPr>
          <w:rFonts w:ascii="Garamond" w:hAnsi="Garamond" w:cstheme="minorBidi"/>
          <w:sz w:val="24"/>
          <w:szCs w:val="24"/>
        </w:rPr>
        <w:t xml:space="preserve">Міністерство регіонального розвитку, будівництва та житлово-комунального господарства України (Мінрегіонбуд) є головним органом у системі центральних органів виконавчої влади, що </w:t>
      </w:r>
      <w:r w:rsidRPr="00D33C4B">
        <w:rPr>
          <w:rFonts w:ascii="Garamond" w:hAnsi="Garamond" w:cstheme="minorBidi"/>
          <w:sz w:val="24"/>
          <w:szCs w:val="24"/>
        </w:rPr>
        <w:lastRenderedPageBreak/>
        <w:t xml:space="preserve">забезпечує формування та реалізує державну політику у сфері будівництва (згідно з Положенням про Міністерство регіонального розвитку, будівництва та житлово-комунального господарства України, затвердженим постановою Кабінету Міністрів України від 30 квітня 2014 р. № 197).  </w:t>
      </w:r>
    </w:p>
    <w:p w:rsidR="007A7B3D" w:rsidRPr="00D33C4B" w:rsidRDefault="004514BE" w:rsidP="004514BE">
      <w:pPr>
        <w:tabs>
          <w:tab w:val="left" w:pos="709"/>
        </w:tabs>
        <w:spacing w:after="0" w:line="240" w:lineRule="auto"/>
        <w:ind w:firstLine="426"/>
        <w:jc w:val="both"/>
        <w:rPr>
          <w:rFonts w:ascii="Garamond" w:hAnsi="Garamond"/>
          <w:sz w:val="24"/>
          <w:szCs w:val="24"/>
          <w:lang w:val="uk-UA"/>
        </w:rPr>
      </w:pPr>
      <w:r w:rsidRPr="00D33C4B">
        <w:rPr>
          <w:rFonts w:ascii="Garamond" w:hAnsi="Garamond"/>
          <w:sz w:val="24"/>
          <w:szCs w:val="24"/>
          <w:lang w:val="uk-UA"/>
        </w:rPr>
        <w:t xml:space="preserve">Таким чином, формально Правила улаштування, експлуатації та технічного обслуговування СРВНС згідно з </w:t>
      </w:r>
      <w:r w:rsidR="00D33C4B" w:rsidRPr="00D33C4B">
        <w:rPr>
          <w:rFonts w:ascii="Garamond" w:hAnsi="Garamond"/>
          <w:sz w:val="24"/>
          <w:szCs w:val="24"/>
          <w:lang w:val="uk-UA"/>
        </w:rPr>
        <w:t xml:space="preserve">Кодексом цивільного захисту </w:t>
      </w:r>
      <w:r w:rsidRPr="00D33C4B">
        <w:rPr>
          <w:rFonts w:ascii="Garamond" w:hAnsi="Garamond"/>
          <w:sz w:val="24"/>
          <w:szCs w:val="24"/>
          <w:lang w:val="uk-UA"/>
        </w:rPr>
        <w:t>України повинні бути затверджені центральним органом виконавчої влади, який забезпечує формування та реалізує державну політику у сфері цивільного захисту, а отже ДБН - це підзаконний нормативно-правовий акт, який не застосовуються на виконання та в порядку реалізації ч.4 ст.53 КЦЗ України (так як згідно з вимогами ч.4 ст.53 КЦЗ України такі Правила мали б бути затверджені центральним органом виконавчої влади, який забезпечує формування та реалізує державну політику у сфері цивільного захисту)</w:t>
      </w:r>
      <w:r w:rsidR="00D33C4B" w:rsidRPr="00D33C4B">
        <w:rPr>
          <w:rFonts w:ascii="Garamond" w:hAnsi="Garamond"/>
          <w:sz w:val="24"/>
          <w:szCs w:val="24"/>
          <w:lang w:val="uk-UA"/>
        </w:rPr>
        <w:t>.</w:t>
      </w:r>
    </w:p>
    <w:p w:rsidR="00D33C4B" w:rsidRPr="00D33C4B" w:rsidRDefault="00D33C4B" w:rsidP="00D33C4B">
      <w:pPr>
        <w:tabs>
          <w:tab w:val="left" w:pos="709"/>
        </w:tabs>
        <w:spacing w:after="0" w:line="240" w:lineRule="auto"/>
        <w:ind w:firstLine="450"/>
        <w:jc w:val="both"/>
        <w:rPr>
          <w:rFonts w:ascii="Garamond" w:hAnsi="Garamond"/>
          <w:sz w:val="24"/>
          <w:szCs w:val="24"/>
          <w:lang w:val="uk-UA"/>
        </w:rPr>
      </w:pPr>
      <w:r w:rsidRPr="00D33C4B">
        <w:rPr>
          <w:rFonts w:ascii="Garamond" w:hAnsi="Garamond"/>
          <w:sz w:val="24"/>
          <w:szCs w:val="24"/>
          <w:lang w:val="uk-UA"/>
        </w:rPr>
        <w:t xml:space="preserve">Ураховуючи викладене, звертаємось з проханням уніфікувати норми законодавства в частині </w:t>
      </w:r>
      <w:r w:rsidRPr="00D33C4B">
        <w:rPr>
          <w:rFonts w:ascii="Garamond" w:hAnsi="Garamond" w:cs="Times New Roman"/>
          <w:color w:val="000000" w:themeColor="text1"/>
          <w:sz w:val="24"/>
          <w:szCs w:val="24"/>
          <w:lang w:val="ru-RU"/>
        </w:rPr>
        <w:t>системи раннього виявлення надзвичайних ситуацій</w:t>
      </w:r>
      <w:r w:rsidRPr="00D33C4B">
        <w:rPr>
          <w:rFonts w:ascii="Garamond" w:hAnsi="Garamond"/>
          <w:sz w:val="24"/>
          <w:szCs w:val="24"/>
          <w:lang w:val="uk-UA"/>
        </w:rPr>
        <w:t xml:space="preserve"> та вилучити норми щодо необхідності встановлення зазначеного обладнання на АЗС як такого, що </w:t>
      </w:r>
      <w:r w:rsidR="0079666D">
        <w:rPr>
          <w:rFonts w:ascii="Garamond" w:hAnsi="Garamond"/>
          <w:sz w:val="24"/>
          <w:szCs w:val="24"/>
          <w:lang w:val="ru-RU"/>
        </w:rPr>
        <w:t xml:space="preserve">не </w:t>
      </w:r>
      <w:r w:rsidRPr="00D33C4B">
        <w:rPr>
          <w:rFonts w:ascii="Garamond" w:hAnsi="Garamond"/>
          <w:sz w:val="24"/>
          <w:szCs w:val="24"/>
          <w:lang w:val="uk-UA"/>
        </w:rPr>
        <w:t>несе в собі економічного ефекту та не виправдовує понесення додаткових витрат.</w:t>
      </w:r>
    </w:p>
    <w:p w:rsidR="00D33C4B" w:rsidRPr="00D33C4B" w:rsidRDefault="00D33C4B" w:rsidP="004514BE">
      <w:pPr>
        <w:tabs>
          <w:tab w:val="left" w:pos="709"/>
        </w:tabs>
        <w:spacing w:after="0" w:line="240" w:lineRule="auto"/>
        <w:ind w:firstLine="426"/>
        <w:jc w:val="both"/>
        <w:rPr>
          <w:rFonts w:ascii="Garamond" w:hAnsi="Garamond"/>
          <w:sz w:val="24"/>
          <w:szCs w:val="24"/>
          <w:lang w:val="uk-UA"/>
        </w:rPr>
      </w:pPr>
    </w:p>
    <w:p w:rsidR="00A8405A" w:rsidRPr="00D33C4B" w:rsidRDefault="00A8405A" w:rsidP="00C6072C">
      <w:pPr>
        <w:tabs>
          <w:tab w:val="left" w:pos="709"/>
        </w:tabs>
        <w:spacing w:after="0" w:line="240" w:lineRule="auto"/>
        <w:ind w:firstLine="426"/>
        <w:jc w:val="both"/>
        <w:rPr>
          <w:rFonts w:ascii="Garamond" w:hAnsi="Garamond"/>
          <w:sz w:val="24"/>
          <w:szCs w:val="24"/>
          <w:lang w:val="uk-UA"/>
        </w:rPr>
      </w:pPr>
    </w:p>
    <w:sectPr w:rsidR="00A8405A" w:rsidRPr="00D33C4B" w:rsidSect="00D4045D">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B293F"/>
    <w:multiLevelType w:val="hybridMultilevel"/>
    <w:tmpl w:val="C13E1A60"/>
    <w:lvl w:ilvl="0" w:tplc="AF40A00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554E59A3"/>
    <w:multiLevelType w:val="hybridMultilevel"/>
    <w:tmpl w:val="15D276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6C8460F3"/>
    <w:multiLevelType w:val="hybridMultilevel"/>
    <w:tmpl w:val="5DC24978"/>
    <w:lvl w:ilvl="0" w:tplc="4D809C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ураш Оксана">
    <w15:presenceInfo w15:providerId="AD" w15:userId="S-1-5-21-1830977088-3703011328-1767730917-21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D4"/>
    <w:rsid w:val="00123F30"/>
    <w:rsid w:val="0013682B"/>
    <w:rsid w:val="00141BEE"/>
    <w:rsid w:val="001B06F1"/>
    <w:rsid w:val="001C6281"/>
    <w:rsid w:val="0023586C"/>
    <w:rsid w:val="00286AF6"/>
    <w:rsid w:val="002A1C0D"/>
    <w:rsid w:val="004514BE"/>
    <w:rsid w:val="004B1C57"/>
    <w:rsid w:val="004F7D26"/>
    <w:rsid w:val="0079666D"/>
    <w:rsid w:val="007A7B3D"/>
    <w:rsid w:val="007B22C7"/>
    <w:rsid w:val="00830DC8"/>
    <w:rsid w:val="008A372A"/>
    <w:rsid w:val="009057D3"/>
    <w:rsid w:val="009E70E2"/>
    <w:rsid w:val="009F107B"/>
    <w:rsid w:val="00A0707F"/>
    <w:rsid w:val="00A8405A"/>
    <w:rsid w:val="00A94D64"/>
    <w:rsid w:val="00AA04DE"/>
    <w:rsid w:val="00AB7A28"/>
    <w:rsid w:val="00AF75D4"/>
    <w:rsid w:val="00B140F4"/>
    <w:rsid w:val="00B2654D"/>
    <w:rsid w:val="00B90E79"/>
    <w:rsid w:val="00BC7113"/>
    <w:rsid w:val="00BF069D"/>
    <w:rsid w:val="00C21A41"/>
    <w:rsid w:val="00C6072C"/>
    <w:rsid w:val="00CC1C26"/>
    <w:rsid w:val="00CE0024"/>
    <w:rsid w:val="00D33C4B"/>
    <w:rsid w:val="00D4045D"/>
    <w:rsid w:val="00D9577A"/>
    <w:rsid w:val="00DA2CEA"/>
    <w:rsid w:val="00E17752"/>
    <w:rsid w:val="00E754D4"/>
    <w:rsid w:val="00ED7CE2"/>
    <w:rsid w:val="00EE16E5"/>
    <w:rsid w:val="00F9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0D"/>
    <w:rPr>
      <w:rFonts w:ascii="Tahoma" w:hAnsi="Tahoma" w:cs="Tahoma"/>
      <w:sz w:val="16"/>
      <w:szCs w:val="16"/>
    </w:rPr>
  </w:style>
  <w:style w:type="paragraph" w:styleId="ListParagraph">
    <w:name w:val="List Paragraph"/>
    <w:basedOn w:val="Normal"/>
    <w:uiPriority w:val="34"/>
    <w:qFormat/>
    <w:rsid w:val="00AA04DE"/>
    <w:pPr>
      <w:ind w:left="720"/>
      <w:contextualSpacing/>
    </w:pPr>
  </w:style>
  <w:style w:type="character" w:customStyle="1" w:styleId="rvts0">
    <w:name w:val="rvts0"/>
    <w:basedOn w:val="DefaultParagraphFont"/>
    <w:rsid w:val="00D4045D"/>
  </w:style>
  <w:style w:type="character" w:customStyle="1" w:styleId="rvts9">
    <w:name w:val="rvts9"/>
    <w:basedOn w:val="DefaultParagraphFont"/>
    <w:rsid w:val="00D4045D"/>
  </w:style>
  <w:style w:type="paragraph" w:styleId="HTMLPreformatted">
    <w:name w:val="HTML Preformatted"/>
    <w:basedOn w:val="Normal"/>
    <w:link w:val="HTMLPreformattedChar"/>
    <w:uiPriority w:val="99"/>
    <w:unhideWhenUsed/>
    <w:rsid w:val="004514BE"/>
    <w:pPr>
      <w:spacing w:after="0" w:line="240" w:lineRule="auto"/>
    </w:pPr>
    <w:rPr>
      <w:rFonts w:ascii="Consolas" w:hAnsi="Consolas" w:cs="Consolas"/>
      <w:sz w:val="20"/>
      <w:szCs w:val="20"/>
      <w:lang w:val="uk-UA"/>
    </w:rPr>
  </w:style>
  <w:style w:type="character" w:customStyle="1" w:styleId="HTMLPreformattedChar">
    <w:name w:val="HTML Preformatted Char"/>
    <w:basedOn w:val="DefaultParagraphFont"/>
    <w:link w:val="HTMLPreformatted"/>
    <w:uiPriority w:val="99"/>
    <w:rsid w:val="004514BE"/>
    <w:rPr>
      <w:rFonts w:ascii="Consolas" w:hAnsi="Consolas" w:cs="Consolas"/>
      <w:sz w:val="20"/>
      <w:szCs w:val="20"/>
      <w:lang w:val="uk-UA"/>
    </w:rPr>
  </w:style>
  <w:style w:type="character" w:customStyle="1" w:styleId="rvts23">
    <w:name w:val="rvts23"/>
    <w:basedOn w:val="DefaultParagraphFont"/>
    <w:rsid w:val="004514BE"/>
  </w:style>
  <w:style w:type="table" w:styleId="TableGrid">
    <w:name w:val="Table Grid"/>
    <w:basedOn w:val="TableNormal"/>
    <w:uiPriority w:val="59"/>
    <w:rsid w:val="004F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0D"/>
    <w:rPr>
      <w:rFonts w:ascii="Tahoma" w:hAnsi="Tahoma" w:cs="Tahoma"/>
      <w:sz w:val="16"/>
      <w:szCs w:val="16"/>
    </w:rPr>
  </w:style>
  <w:style w:type="paragraph" w:styleId="ListParagraph">
    <w:name w:val="List Paragraph"/>
    <w:basedOn w:val="Normal"/>
    <w:uiPriority w:val="34"/>
    <w:qFormat/>
    <w:rsid w:val="00AA04DE"/>
    <w:pPr>
      <w:ind w:left="720"/>
      <w:contextualSpacing/>
    </w:pPr>
  </w:style>
  <w:style w:type="character" w:customStyle="1" w:styleId="rvts0">
    <w:name w:val="rvts0"/>
    <w:basedOn w:val="DefaultParagraphFont"/>
    <w:rsid w:val="00D4045D"/>
  </w:style>
  <w:style w:type="character" w:customStyle="1" w:styleId="rvts9">
    <w:name w:val="rvts9"/>
    <w:basedOn w:val="DefaultParagraphFont"/>
    <w:rsid w:val="00D4045D"/>
  </w:style>
  <w:style w:type="paragraph" w:styleId="HTMLPreformatted">
    <w:name w:val="HTML Preformatted"/>
    <w:basedOn w:val="Normal"/>
    <w:link w:val="HTMLPreformattedChar"/>
    <w:uiPriority w:val="99"/>
    <w:unhideWhenUsed/>
    <w:rsid w:val="004514BE"/>
    <w:pPr>
      <w:spacing w:after="0" w:line="240" w:lineRule="auto"/>
    </w:pPr>
    <w:rPr>
      <w:rFonts w:ascii="Consolas" w:hAnsi="Consolas" w:cs="Consolas"/>
      <w:sz w:val="20"/>
      <w:szCs w:val="20"/>
      <w:lang w:val="uk-UA"/>
    </w:rPr>
  </w:style>
  <w:style w:type="character" w:customStyle="1" w:styleId="HTMLPreformattedChar">
    <w:name w:val="HTML Preformatted Char"/>
    <w:basedOn w:val="DefaultParagraphFont"/>
    <w:link w:val="HTMLPreformatted"/>
    <w:uiPriority w:val="99"/>
    <w:rsid w:val="004514BE"/>
    <w:rPr>
      <w:rFonts w:ascii="Consolas" w:hAnsi="Consolas" w:cs="Consolas"/>
      <w:sz w:val="20"/>
      <w:szCs w:val="20"/>
      <w:lang w:val="uk-UA"/>
    </w:rPr>
  </w:style>
  <w:style w:type="character" w:customStyle="1" w:styleId="rvts23">
    <w:name w:val="rvts23"/>
    <w:basedOn w:val="DefaultParagraphFont"/>
    <w:rsid w:val="004514BE"/>
  </w:style>
  <w:style w:type="table" w:styleId="TableGrid">
    <w:name w:val="Table Grid"/>
    <w:basedOn w:val="TableNormal"/>
    <w:uiPriority w:val="59"/>
    <w:rsid w:val="004F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11650</Words>
  <Characters>6642</Characters>
  <Application>Microsoft Office Word</Application>
  <DocSecurity>0</DocSecurity>
  <Lines>55</Lines>
  <Paragraphs>36</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Shell</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Yuliya.Zavalishyna</dc:creator>
  <cp:lastModifiedBy>Tetiana Temniuk</cp:lastModifiedBy>
  <cp:revision>2</cp:revision>
  <dcterms:created xsi:type="dcterms:W3CDTF">2016-02-22T11:23:00Z</dcterms:created>
  <dcterms:modified xsi:type="dcterms:W3CDTF">2016-02-22T11:23:00Z</dcterms:modified>
</cp:coreProperties>
</file>