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5E" w:rsidRPr="00C93055" w:rsidRDefault="003A065E" w:rsidP="003A065E">
      <w:pPr>
        <w:jc w:val="center"/>
        <w:rPr>
          <w:rFonts w:ascii="Tahoma" w:hAnsi="Tahoma" w:cs="Tahoma"/>
          <w:b/>
          <w:bCs/>
          <w:color w:val="244061"/>
          <w:sz w:val="20"/>
          <w:szCs w:val="20"/>
          <w:lang w:val="en-US"/>
        </w:rPr>
      </w:pPr>
      <w:r w:rsidRPr="00C93055">
        <w:rPr>
          <w:rFonts w:ascii="Tahoma" w:hAnsi="Tahoma" w:cs="Tahoma"/>
          <w:b/>
          <w:bCs/>
          <w:color w:val="244061"/>
          <w:sz w:val="20"/>
          <w:szCs w:val="20"/>
          <w:lang w:val="en-US"/>
        </w:rPr>
        <w:t>Proposals on</w:t>
      </w:r>
      <w:r w:rsidR="00B91A83" w:rsidRPr="00B91A83">
        <w:rPr>
          <w:rFonts w:ascii="Tahoma" w:hAnsi="Tahoma" w:cs="Tahoma"/>
          <w:b/>
          <w:bCs/>
          <w:color w:val="244061"/>
          <w:sz w:val="20"/>
          <w:szCs w:val="20"/>
          <w:lang w:val="en-US"/>
        </w:rPr>
        <w:t xml:space="preserve"> </w:t>
      </w:r>
      <w:r w:rsidR="00B91A83" w:rsidRPr="00C93055">
        <w:rPr>
          <w:rFonts w:ascii="Tahoma" w:hAnsi="Tahoma" w:cs="Tahoma"/>
          <w:b/>
          <w:bCs/>
          <w:color w:val="244061"/>
          <w:sz w:val="20"/>
          <w:szCs w:val="20"/>
          <w:lang w:val="en-US"/>
        </w:rPr>
        <w:t>streamlining</w:t>
      </w:r>
      <w:r w:rsidR="00B91A83">
        <w:rPr>
          <w:rFonts w:ascii="Tahoma" w:hAnsi="Tahoma" w:cs="Tahoma"/>
          <w:b/>
          <w:bCs/>
          <w:color w:val="244061"/>
          <w:sz w:val="20"/>
          <w:szCs w:val="20"/>
          <w:lang w:val="en-US"/>
        </w:rPr>
        <w:t xml:space="preserve"> of</w:t>
      </w:r>
      <w:bookmarkStart w:id="0" w:name="_GoBack"/>
      <w:bookmarkEnd w:id="0"/>
      <w:r w:rsidRPr="00C93055">
        <w:rPr>
          <w:rFonts w:ascii="Tahoma" w:hAnsi="Tahoma" w:cs="Tahoma"/>
          <w:b/>
          <w:bCs/>
          <w:color w:val="244061"/>
          <w:sz w:val="20"/>
          <w:szCs w:val="20"/>
          <w:lang w:val="en-US"/>
        </w:rPr>
        <w:t xml:space="preserve"> tax audit </w:t>
      </w:r>
    </w:p>
    <w:p w:rsidR="001A537D" w:rsidRPr="00C93055" w:rsidRDefault="001A537D" w:rsidP="003A065E">
      <w:pPr>
        <w:jc w:val="center"/>
        <w:rPr>
          <w:rFonts w:ascii="Tahoma" w:hAnsi="Tahoma" w:cs="Tahoma"/>
          <w:b/>
          <w:bCs/>
          <w:color w:val="244061"/>
          <w:sz w:val="20"/>
          <w:szCs w:val="20"/>
          <w:lang w:val="en-US"/>
        </w:rPr>
      </w:pPr>
    </w:p>
    <w:p w:rsidR="001A537D" w:rsidRPr="00C93055" w:rsidRDefault="001A537D" w:rsidP="001A537D">
      <w:pPr>
        <w:jc w:val="both"/>
        <w:rPr>
          <w:rFonts w:ascii="Tahoma" w:hAnsi="Tahoma" w:cs="Tahoma"/>
          <w:b/>
          <w:color w:val="244061"/>
          <w:sz w:val="20"/>
          <w:szCs w:val="20"/>
          <w:lang w:val="en-US"/>
        </w:rPr>
      </w:pPr>
    </w:p>
    <w:p w:rsidR="001A537D" w:rsidRPr="00C93055" w:rsidRDefault="001A537D" w:rsidP="001A537D">
      <w:pPr>
        <w:jc w:val="both"/>
        <w:rPr>
          <w:rFonts w:ascii="Tahoma" w:hAnsi="Tahoma" w:cs="Tahoma"/>
          <w:b/>
          <w:color w:val="244061"/>
          <w:sz w:val="20"/>
          <w:szCs w:val="20"/>
          <w:lang w:val="en-US"/>
        </w:rPr>
      </w:pPr>
      <w:r w:rsidRPr="00C93055">
        <w:rPr>
          <w:rFonts w:ascii="Tahoma" w:hAnsi="Tahoma" w:cs="Tahoma"/>
          <w:b/>
          <w:color w:val="244061"/>
          <w:sz w:val="20"/>
          <w:szCs w:val="20"/>
          <w:highlight w:val="lightGray"/>
          <w:lang w:val="en-US"/>
        </w:rPr>
        <w:t>1. General comments</w:t>
      </w:r>
      <w:r w:rsidRPr="00C93055">
        <w:rPr>
          <w:rFonts w:ascii="Tahoma" w:hAnsi="Tahoma" w:cs="Tahoma"/>
          <w:b/>
          <w:color w:val="244061"/>
          <w:sz w:val="20"/>
          <w:szCs w:val="20"/>
          <w:lang w:val="en-US"/>
        </w:rPr>
        <w:t xml:space="preserve"> </w:t>
      </w:r>
    </w:p>
    <w:p w:rsidR="001A537D" w:rsidRPr="00C93055" w:rsidRDefault="001A537D" w:rsidP="001A537D">
      <w:pPr>
        <w:jc w:val="both"/>
        <w:rPr>
          <w:rFonts w:ascii="Tahoma" w:hAnsi="Tahoma" w:cs="Tahoma"/>
          <w:b/>
          <w:color w:val="244061"/>
          <w:sz w:val="20"/>
          <w:szCs w:val="20"/>
          <w:lang w:val="en-US"/>
        </w:rPr>
      </w:pPr>
    </w:p>
    <w:p w:rsidR="001A537D" w:rsidRPr="00C93055" w:rsidRDefault="001A537D" w:rsidP="001A537D">
      <w:pPr>
        <w:jc w:val="both"/>
        <w:rPr>
          <w:rFonts w:ascii="Tahoma" w:hAnsi="Tahoma" w:cs="Tahoma"/>
          <w:color w:val="244061"/>
          <w:sz w:val="20"/>
          <w:szCs w:val="20"/>
          <w:lang w:val="en-US"/>
        </w:rPr>
      </w:pPr>
      <w:r w:rsidRPr="00C93055">
        <w:rPr>
          <w:rFonts w:ascii="Tahoma" w:hAnsi="Tahoma" w:cs="Tahoma"/>
          <w:color w:val="244061"/>
          <w:sz w:val="20"/>
          <w:szCs w:val="20"/>
          <w:lang w:val="en-US"/>
        </w:rPr>
        <w:t xml:space="preserve">While conducting survey on taxation reform, we approached </w:t>
      </w:r>
      <w:proofErr w:type="spellStart"/>
      <w:r w:rsidRPr="00C93055">
        <w:rPr>
          <w:rFonts w:ascii="Tahoma" w:hAnsi="Tahoma" w:cs="Tahoma"/>
          <w:color w:val="244061"/>
          <w:sz w:val="20"/>
          <w:szCs w:val="20"/>
          <w:lang w:val="en-US"/>
        </w:rPr>
        <w:t>AmCham</w:t>
      </w:r>
      <w:proofErr w:type="spellEnd"/>
      <w:r w:rsidRPr="00C93055">
        <w:rPr>
          <w:rFonts w:ascii="Tahoma" w:hAnsi="Tahoma" w:cs="Tahoma"/>
          <w:color w:val="244061"/>
          <w:sz w:val="20"/>
          <w:szCs w:val="20"/>
          <w:lang w:val="en-US"/>
        </w:rPr>
        <w:t xml:space="preserve"> Members to indicate spheres that require improvements and steps need to be done:</w:t>
      </w:r>
    </w:p>
    <w:p w:rsidR="001A537D" w:rsidRPr="00C93055" w:rsidRDefault="001A537D" w:rsidP="001A537D">
      <w:pPr>
        <w:jc w:val="both"/>
        <w:rPr>
          <w:rFonts w:ascii="Tahoma" w:hAnsi="Tahoma" w:cs="Tahoma"/>
          <w:color w:val="244061"/>
          <w:sz w:val="20"/>
          <w:szCs w:val="20"/>
          <w:lang w:val="en-US"/>
        </w:rPr>
      </w:pPr>
    </w:p>
    <w:p w:rsidR="001A537D" w:rsidRPr="00C93055" w:rsidRDefault="001A537D" w:rsidP="001A537D">
      <w:pPr>
        <w:jc w:val="both"/>
        <w:rPr>
          <w:rFonts w:ascii="Tahoma" w:hAnsi="Tahoma" w:cs="Tahoma"/>
          <w:b/>
          <w:bCs/>
          <w:color w:val="244061" w:themeColor="accent1" w:themeShade="80"/>
          <w:sz w:val="20"/>
          <w:szCs w:val="20"/>
          <w:lang w:val="en-US"/>
        </w:rPr>
      </w:pPr>
      <w:r w:rsidRPr="00C93055">
        <w:rPr>
          <w:rFonts w:ascii="Tahoma" w:hAnsi="Tahoma" w:cs="Tahoma"/>
          <w:b/>
          <w:bCs/>
          <w:color w:val="244061"/>
          <w:sz w:val="20"/>
          <w:szCs w:val="20"/>
          <w:lang w:val="en-US"/>
        </w:rPr>
        <w:t>1.1. Procedure for granting references and checks, requests and submitting of tax information (</w:t>
      </w:r>
      <w:r w:rsidRPr="00C93055">
        <w:rPr>
          <w:rFonts w:ascii="Tahoma" w:hAnsi="Tahoma" w:cs="Tahoma"/>
          <w:b/>
          <w:bCs/>
          <w:color w:val="244061" w:themeColor="accent1" w:themeShade="80"/>
          <w:sz w:val="20"/>
          <w:szCs w:val="20"/>
          <w:lang w:val="en-US" w:eastAsia="en-GB"/>
        </w:rPr>
        <w:t>45% of respondents believed that it should be improved):</w:t>
      </w:r>
    </w:p>
    <w:p w:rsidR="001A537D" w:rsidRPr="00C93055" w:rsidRDefault="001A537D" w:rsidP="001A537D">
      <w:pPr>
        <w:jc w:val="both"/>
        <w:rPr>
          <w:rFonts w:ascii="Tahoma" w:hAnsi="Tahoma" w:cs="Tahoma"/>
          <w:color w:val="244061"/>
          <w:sz w:val="20"/>
          <w:szCs w:val="20"/>
          <w:lang w:val="en-US"/>
        </w:rPr>
      </w:pPr>
    </w:p>
    <w:p w:rsidR="001A537D" w:rsidRPr="00C93055" w:rsidRDefault="001A537D" w:rsidP="001A537D">
      <w:pPr>
        <w:jc w:val="both"/>
        <w:rPr>
          <w:rFonts w:ascii="Tahoma" w:hAnsi="Tahoma" w:cs="Tahoma"/>
          <w:color w:val="244061"/>
          <w:sz w:val="20"/>
          <w:szCs w:val="20"/>
          <w:lang w:val="en-US"/>
        </w:rPr>
      </w:pPr>
      <w:r w:rsidRPr="00C93055">
        <w:rPr>
          <w:rFonts w:ascii="Tahoma" w:hAnsi="Tahoma" w:cs="Tahoma"/>
          <w:color w:val="244061"/>
          <w:sz w:val="20"/>
          <w:szCs w:val="20"/>
          <w:lang w:val="en-US"/>
        </w:rPr>
        <w:t>- implement full automation of the process;</w:t>
      </w:r>
    </w:p>
    <w:p w:rsidR="001A537D" w:rsidRPr="00C93055" w:rsidRDefault="001A537D" w:rsidP="001A537D">
      <w:pPr>
        <w:jc w:val="both"/>
        <w:rPr>
          <w:rFonts w:ascii="Tahoma" w:hAnsi="Tahoma" w:cs="Tahoma"/>
          <w:color w:val="244061"/>
          <w:sz w:val="20"/>
          <w:szCs w:val="20"/>
          <w:lang w:val="en-US"/>
        </w:rPr>
      </w:pPr>
      <w:r w:rsidRPr="00C93055">
        <w:rPr>
          <w:rFonts w:ascii="Tahoma" w:hAnsi="Tahoma" w:cs="Tahoma"/>
          <w:color w:val="244061"/>
          <w:sz w:val="20"/>
          <w:szCs w:val="20"/>
          <w:lang w:val="en-US"/>
        </w:rPr>
        <w:t>- provide reference for taxpayer on the day of registration of such reference;</w:t>
      </w:r>
    </w:p>
    <w:p w:rsidR="001A537D" w:rsidRPr="00C93055" w:rsidRDefault="001A537D" w:rsidP="001A537D">
      <w:pPr>
        <w:jc w:val="both"/>
        <w:rPr>
          <w:rFonts w:ascii="Tahoma" w:hAnsi="Tahoma" w:cs="Tahoma"/>
          <w:color w:val="244061"/>
          <w:sz w:val="20"/>
          <w:szCs w:val="20"/>
          <w:lang w:val="en-US"/>
        </w:rPr>
      </w:pPr>
      <w:r w:rsidRPr="00C93055">
        <w:rPr>
          <w:rFonts w:ascii="Tahoma" w:hAnsi="Tahoma" w:cs="Tahoma"/>
          <w:color w:val="244061"/>
          <w:sz w:val="20"/>
          <w:szCs w:val="20"/>
          <w:lang w:val="en-US"/>
        </w:rPr>
        <w:t>- establish mandatory provision of information by the fiscal authorities on taxpayers’ request;</w:t>
      </w:r>
    </w:p>
    <w:p w:rsidR="001A537D" w:rsidRPr="00C93055" w:rsidRDefault="001A537D" w:rsidP="001A537D">
      <w:pPr>
        <w:jc w:val="both"/>
        <w:rPr>
          <w:rFonts w:ascii="Tahoma" w:hAnsi="Tahoma" w:cs="Tahoma"/>
          <w:color w:val="244061"/>
          <w:sz w:val="20"/>
          <w:szCs w:val="20"/>
          <w:lang w:val="en-US"/>
        </w:rPr>
      </w:pPr>
      <w:r w:rsidRPr="00C93055">
        <w:rPr>
          <w:rFonts w:ascii="Tahoma" w:hAnsi="Tahoma" w:cs="Tahoma"/>
          <w:color w:val="244061"/>
          <w:sz w:val="20"/>
          <w:szCs w:val="20"/>
          <w:lang w:val="en-US"/>
        </w:rPr>
        <w:t>- reduce the number of queries from fiscal authorities for providing information, due to the availability of access to all tax returns;</w:t>
      </w:r>
    </w:p>
    <w:p w:rsidR="001A537D" w:rsidRPr="00C93055" w:rsidRDefault="001A537D" w:rsidP="001A537D">
      <w:pPr>
        <w:jc w:val="both"/>
        <w:rPr>
          <w:rFonts w:ascii="Tahoma" w:hAnsi="Tahoma" w:cs="Tahoma"/>
          <w:color w:val="244061"/>
          <w:sz w:val="20"/>
          <w:szCs w:val="20"/>
          <w:lang w:val="en-US"/>
        </w:rPr>
      </w:pPr>
      <w:r w:rsidRPr="00C93055">
        <w:rPr>
          <w:rFonts w:ascii="Tahoma" w:hAnsi="Tahoma" w:cs="Tahoma"/>
          <w:color w:val="244061"/>
          <w:sz w:val="20"/>
          <w:szCs w:val="20"/>
          <w:lang w:val="en-US"/>
        </w:rPr>
        <w:t>- provide more clear and detailed information on the taxpayers’ request;</w:t>
      </w:r>
    </w:p>
    <w:p w:rsidR="001A537D" w:rsidRPr="00C93055" w:rsidRDefault="001A537D" w:rsidP="001A537D">
      <w:pPr>
        <w:pStyle w:val="a4"/>
        <w:jc w:val="both"/>
        <w:rPr>
          <w:rFonts w:ascii="Tahoma" w:hAnsi="Tahoma" w:cs="Tahoma"/>
          <w:color w:val="244061"/>
          <w:sz w:val="20"/>
          <w:szCs w:val="20"/>
          <w:lang w:val="en-US"/>
        </w:rPr>
      </w:pPr>
    </w:p>
    <w:p w:rsidR="001A537D" w:rsidRPr="00C93055" w:rsidRDefault="001A537D" w:rsidP="001A537D">
      <w:pPr>
        <w:jc w:val="both"/>
        <w:rPr>
          <w:rFonts w:ascii="Tahoma" w:hAnsi="Tahoma" w:cs="Tahoma"/>
          <w:b/>
          <w:bCs/>
          <w:color w:val="244061" w:themeColor="accent1" w:themeShade="80"/>
          <w:sz w:val="20"/>
          <w:szCs w:val="20"/>
          <w:lang w:val="en-US"/>
        </w:rPr>
      </w:pPr>
      <w:r w:rsidRPr="00C93055">
        <w:rPr>
          <w:rFonts w:ascii="Tahoma" w:hAnsi="Tahoma" w:cs="Tahoma"/>
          <w:b/>
          <w:bCs/>
          <w:color w:val="244061"/>
          <w:sz w:val="20"/>
          <w:szCs w:val="20"/>
          <w:lang w:val="en-US"/>
        </w:rPr>
        <w:t>1.2. Selection process and conducting of tax inspections</w:t>
      </w:r>
      <w:r w:rsidRPr="00C93055">
        <w:rPr>
          <w:rFonts w:ascii="Tahoma" w:hAnsi="Tahoma" w:cs="Tahoma"/>
          <w:color w:val="244061"/>
          <w:sz w:val="20"/>
          <w:szCs w:val="20"/>
          <w:lang w:val="en-US"/>
        </w:rPr>
        <w:t xml:space="preserve"> </w:t>
      </w:r>
      <w:r w:rsidRPr="00C93055">
        <w:rPr>
          <w:rFonts w:ascii="Tahoma" w:hAnsi="Tahoma" w:cs="Tahoma"/>
          <w:b/>
          <w:bCs/>
          <w:color w:val="244061"/>
          <w:sz w:val="20"/>
          <w:szCs w:val="20"/>
          <w:lang w:val="en-US"/>
        </w:rPr>
        <w:t>(</w:t>
      </w:r>
      <w:r w:rsidRPr="00C93055">
        <w:rPr>
          <w:rFonts w:ascii="Tahoma" w:hAnsi="Tahoma" w:cs="Tahoma"/>
          <w:b/>
          <w:bCs/>
          <w:color w:val="244061" w:themeColor="accent1" w:themeShade="80"/>
          <w:sz w:val="20"/>
          <w:szCs w:val="20"/>
          <w:lang w:val="en-US" w:eastAsia="en-GB"/>
        </w:rPr>
        <w:t>45% of respondents believed that it should be improved):</w:t>
      </w:r>
    </w:p>
    <w:p w:rsidR="001A537D" w:rsidRPr="00C93055" w:rsidRDefault="001A537D" w:rsidP="001A537D">
      <w:pPr>
        <w:pStyle w:val="a4"/>
        <w:ind w:left="0"/>
        <w:jc w:val="both"/>
        <w:rPr>
          <w:rFonts w:ascii="Tahoma" w:hAnsi="Tahoma" w:cs="Tahoma"/>
          <w:color w:val="244061"/>
          <w:sz w:val="20"/>
          <w:szCs w:val="20"/>
          <w:lang w:val="en-US"/>
        </w:rPr>
      </w:pPr>
    </w:p>
    <w:p w:rsidR="001A537D" w:rsidRPr="00C93055" w:rsidRDefault="001A537D" w:rsidP="001A537D">
      <w:pPr>
        <w:pStyle w:val="a4"/>
        <w:ind w:left="0"/>
        <w:jc w:val="both"/>
        <w:rPr>
          <w:rFonts w:ascii="Tahoma" w:hAnsi="Tahoma" w:cs="Tahoma"/>
          <w:color w:val="244061"/>
          <w:sz w:val="20"/>
          <w:szCs w:val="20"/>
          <w:lang w:val="en-US"/>
        </w:rPr>
      </w:pPr>
      <w:r w:rsidRPr="00C93055">
        <w:rPr>
          <w:rFonts w:ascii="Tahoma" w:hAnsi="Tahoma" w:cs="Tahoma"/>
          <w:color w:val="244061"/>
          <w:sz w:val="20"/>
          <w:szCs w:val="20"/>
          <w:lang w:val="en-US"/>
        </w:rPr>
        <w:t>- reduce the number and frequency of these inspections;</w:t>
      </w:r>
    </w:p>
    <w:p w:rsidR="001A537D" w:rsidRPr="00C93055" w:rsidRDefault="001A537D" w:rsidP="001A537D">
      <w:pPr>
        <w:pStyle w:val="a4"/>
        <w:ind w:left="0"/>
        <w:jc w:val="both"/>
        <w:rPr>
          <w:rFonts w:ascii="Tahoma" w:hAnsi="Tahoma" w:cs="Tahoma"/>
          <w:color w:val="244061"/>
          <w:sz w:val="20"/>
          <w:szCs w:val="20"/>
          <w:lang w:val="en-US"/>
        </w:rPr>
      </w:pPr>
      <w:r w:rsidRPr="00C93055">
        <w:rPr>
          <w:rFonts w:ascii="Tahoma" w:hAnsi="Tahoma" w:cs="Tahoma"/>
          <w:color w:val="244061"/>
          <w:sz w:val="20"/>
          <w:szCs w:val="20"/>
          <w:lang w:val="en-US"/>
        </w:rPr>
        <w:t>- ensure public access to annual plan of inspections;</w:t>
      </w:r>
    </w:p>
    <w:p w:rsidR="001A537D" w:rsidRPr="00C93055" w:rsidRDefault="001A537D" w:rsidP="001A537D">
      <w:pPr>
        <w:pStyle w:val="a4"/>
        <w:ind w:left="0"/>
        <w:jc w:val="both"/>
        <w:rPr>
          <w:rFonts w:ascii="Tahoma" w:hAnsi="Tahoma" w:cs="Tahoma"/>
          <w:color w:val="244061"/>
          <w:sz w:val="20"/>
          <w:szCs w:val="20"/>
          <w:lang w:val="en-US"/>
        </w:rPr>
      </w:pPr>
      <w:r w:rsidRPr="00C93055">
        <w:rPr>
          <w:rFonts w:ascii="Tahoma" w:hAnsi="Tahoma" w:cs="Tahoma"/>
          <w:color w:val="244061"/>
          <w:sz w:val="20"/>
          <w:szCs w:val="20"/>
          <w:lang w:val="en-US"/>
        </w:rPr>
        <w:t>- establish transparent selection criteria;</w:t>
      </w:r>
    </w:p>
    <w:p w:rsidR="001A537D" w:rsidRPr="00C93055" w:rsidRDefault="001A537D" w:rsidP="001A537D">
      <w:pPr>
        <w:pStyle w:val="a4"/>
        <w:ind w:left="0"/>
        <w:jc w:val="both"/>
        <w:rPr>
          <w:rFonts w:ascii="Tahoma" w:hAnsi="Tahoma" w:cs="Tahoma"/>
          <w:color w:val="244061"/>
          <w:sz w:val="20"/>
          <w:szCs w:val="20"/>
          <w:lang w:val="en-US"/>
        </w:rPr>
      </w:pPr>
      <w:r w:rsidRPr="00C93055">
        <w:rPr>
          <w:rFonts w:ascii="Tahoma" w:hAnsi="Tahoma" w:cs="Tahoma"/>
          <w:color w:val="244061"/>
          <w:sz w:val="20"/>
          <w:szCs w:val="20"/>
          <w:lang w:val="en-US"/>
        </w:rPr>
        <w:t>- introduce indirect tools of public control over efficiency and the use of automated selection criteria;</w:t>
      </w:r>
    </w:p>
    <w:p w:rsidR="001A537D" w:rsidRPr="00C93055" w:rsidRDefault="001A537D" w:rsidP="001A537D">
      <w:pPr>
        <w:pStyle w:val="a4"/>
        <w:ind w:left="0"/>
        <w:jc w:val="both"/>
        <w:rPr>
          <w:rFonts w:ascii="Tahoma" w:hAnsi="Tahoma" w:cs="Tahoma"/>
          <w:color w:val="244061"/>
          <w:sz w:val="20"/>
          <w:szCs w:val="20"/>
          <w:lang w:val="en-US"/>
        </w:rPr>
      </w:pPr>
      <w:r w:rsidRPr="00C93055">
        <w:rPr>
          <w:rFonts w:ascii="Tahoma" w:hAnsi="Tahoma" w:cs="Tahoma"/>
          <w:color w:val="244061"/>
          <w:sz w:val="20"/>
          <w:szCs w:val="20"/>
          <w:lang w:val="en-US"/>
        </w:rPr>
        <w:t>- introduce percentage of random selection.</w:t>
      </w:r>
    </w:p>
    <w:p w:rsidR="001A537D" w:rsidRPr="00C93055" w:rsidRDefault="001A537D" w:rsidP="001A537D">
      <w:pPr>
        <w:ind w:left="1440"/>
        <w:jc w:val="both"/>
        <w:rPr>
          <w:rFonts w:ascii="Tahoma" w:hAnsi="Tahoma" w:cs="Tahoma"/>
          <w:color w:val="244061"/>
          <w:sz w:val="20"/>
          <w:szCs w:val="20"/>
          <w:lang w:val="en-US"/>
        </w:rPr>
      </w:pPr>
    </w:p>
    <w:p w:rsidR="00F577EC" w:rsidRPr="00C93055" w:rsidRDefault="001A537D" w:rsidP="00F577EC">
      <w:pPr>
        <w:jc w:val="both"/>
        <w:rPr>
          <w:rFonts w:ascii="Tahoma" w:hAnsi="Tahoma" w:cs="Tahoma"/>
          <w:b/>
          <w:bCs/>
          <w:color w:val="244061" w:themeColor="accent1" w:themeShade="80"/>
          <w:sz w:val="20"/>
          <w:szCs w:val="20"/>
          <w:lang w:val="en-US"/>
        </w:rPr>
      </w:pPr>
      <w:r w:rsidRPr="00C93055">
        <w:rPr>
          <w:rFonts w:ascii="Tahoma" w:hAnsi="Tahoma" w:cs="Tahoma"/>
          <w:b/>
          <w:bCs/>
          <w:color w:val="244061"/>
          <w:sz w:val="20"/>
          <w:szCs w:val="20"/>
          <w:lang w:val="en-US"/>
        </w:rPr>
        <w:t>1.3. Procedures related to the control of tax (actual checks, cash registers, monitoring of excise goods, control of labor relations)</w:t>
      </w:r>
      <w:r w:rsidR="00F577EC" w:rsidRPr="00C93055">
        <w:rPr>
          <w:rFonts w:ascii="Tahoma" w:hAnsi="Tahoma" w:cs="Tahoma"/>
          <w:b/>
          <w:bCs/>
          <w:color w:val="244061"/>
          <w:sz w:val="20"/>
          <w:szCs w:val="20"/>
          <w:lang w:val="en-US"/>
        </w:rPr>
        <w:t xml:space="preserve"> (</w:t>
      </w:r>
      <w:r w:rsidR="00F577EC" w:rsidRPr="00C93055">
        <w:rPr>
          <w:rFonts w:ascii="Tahoma" w:hAnsi="Tahoma" w:cs="Tahoma"/>
          <w:b/>
          <w:bCs/>
          <w:color w:val="244061" w:themeColor="accent1" w:themeShade="80"/>
          <w:sz w:val="20"/>
          <w:szCs w:val="20"/>
          <w:lang w:val="en-US" w:eastAsia="en-GB"/>
        </w:rPr>
        <w:t>35% of respondents believed that it should be improved):</w:t>
      </w:r>
    </w:p>
    <w:p w:rsidR="001A537D" w:rsidRPr="00C93055" w:rsidRDefault="001A537D" w:rsidP="001A537D">
      <w:pPr>
        <w:jc w:val="both"/>
        <w:rPr>
          <w:rFonts w:ascii="Tahoma" w:hAnsi="Tahoma" w:cs="Tahoma"/>
          <w:b/>
          <w:bCs/>
          <w:color w:val="244061"/>
          <w:sz w:val="20"/>
          <w:szCs w:val="20"/>
          <w:lang w:val="en-US"/>
        </w:rPr>
      </w:pPr>
    </w:p>
    <w:p w:rsidR="001A537D" w:rsidRPr="00C93055" w:rsidRDefault="00F577EC" w:rsidP="00F577EC">
      <w:pPr>
        <w:jc w:val="both"/>
        <w:rPr>
          <w:rFonts w:ascii="Tahoma" w:hAnsi="Tahoma" w:cs="Tahoma"/>
          <w:color w:val="244061"/>
          <w:sz w:val="20"/>
          <w:szCs w:val="20"/>
          <w:lang w:val="en-US"/>
        </w:rPr>
      </w:pPr>
      <w:r w:rsidRPr="00C93055">
        <w:rPr>
          <w:rFonts w:ascii="Tahoma" w:hAnsi="Tahoma" w:cs="Tahoma"/>
          <w:color w:val="244061"/>
          <w:sz w:val="20"/>
          <w:szCs w:val="20"/>
          <w:lang w:val="en-US"/>
        </w:rPr>
        <w:t xml:space="preserve">- </w:t>
      </w:r>
      <w:r w:rsidR="001A537D" w:rsidRPr="00C93055">
        <w:rPr>
          <w:rFonts w:ascii="Tahoma" w:hAnsi="Tahoma" w:cs="Tahoma"/>
          <w:color w:val="244061"/>
          <w:sz w:val="20"/>
          <w:szCs w:val="20"/>
          <w:lang w:val="en-US"/>
        </w:rPr>
        <w:t>ensure transparency and simplicity;</w:t>
      </w:r>
    </w:p>
    <w:p w:rsidR="001A537D" w:rsidRPr="00C93055" w:rsidRDefault="00F577EC" w:rsidP="00F577EC">
      <w:pPr>
        <w:jc w:val="both"/>
        <w:rPr>
          <w:rFonts w:ascii="Tahoma" w:hAnsi="Tahoma" w:cs="Tahoma"/>
          <w:color w:val="244061"/>
          <w:sz w:val="20"/>
          <w:szCs w:val="20"/>
          <w:lang w:val="en-US"/>
        </w:rPr>
      </w:pPr>
      <w:r w:rsidRPr="00C93055">
        <w:rPr>
          <w:rFonts w:ascii="Tahoma" w:hAnsi="Tahoma" w:cs="Tahoma"/>
          <w:color w:val="244061"/>
          <w:sz w:val="20"/>
          <w:szCs w:val="20"/>
          <w:lang w:val="en-US"/>
        </w:rPr>
        <w:t>-</w:t>
      </w:r>
      <w:r w:rsidR="001A537D" w:rsidRPr="00C93055">
        <w:rPr>
          <w:rFonts w:ascii="Tahoma" w:hAnsi="Tahoma" w:cs="Tahoma"/>
          <w:color w:val="244061"/>
          <w:sz w:val="20"/>
          <w:szCs w:val="20"/>
          <w:lang w:val="en-US"/>
        </w:rPr>
        <w:t xml:space="preserve"> use analytical approaches and work with databases;</w:t>
      </w:r>
    </w:p>
    <w:p w:rsidR="001A537D" w:rsidRPr="00C93055" w:rsidRDefault="00F577EC" w:rsidP="00F577EC">
      <w:pPr>
        <w:jc w:val="both"/>
        <w:rPr>
          <w:rFonts w:ascii="Tahoma" w:hAnsi="Tahoma" w:cs="Tahoma"/>
          <w:color w:val="244061"/>
          <w:sz w:val="20"/>
          <w:szCs w:val="20"/>
          <w:lang w:val="en-US"/>
        </w:rPr>
      </w:pPr>
      <w:r w:rsidRPr="00C93055">
        <w:rPr>
          <w:rFonts w:ascii="Tahoma" w:hAnsi="Tahoma" w:cs="Tahoma"/>
          <w:color w:val="244061"/>
          <w:sz w:val="20"/>
          <w:szCs w:val="20"/>
          <w:lang w:val="en-US"/>
        </w:rPr>
        <w:t xml:space="preserve">- </w:t>
      </w:r>
      <w:proofErr w:type="gramStart"/>
      <w:r w:rsidR="001A537D" w:rsidRPr="00C93055">
        <w:rPr>
          <w:rFonts w:ascii="Tahoma" w:hAnsi="Tahoma" w:cs="Tahoma"/>
          <w:color w:val="244061"/>
          <w:sz w:val="20"/>
          <w:szCs w:val="20"/>
          <w:lang w:val="en-US"/>
        </w:rPr>
        <w:t>e-tape</w:t>
      </w:r>
      <w:proofErr w:type="gramEnd"/>
      <w:r w:rsidR="001A537D" w:rsidRPr="00C93055">
        <w:rPr>
          <w:rFonts w:ascii="Tahoma" w:hAnsi="Tahoma" w:cs="Tahoma"/>
          <w:color w:val="244061"/>
          <w:sz w:val="20"/>
          <w:szCs w:val="20"/>
          <w:lang w:val="en-US"/>
        </w:rPr>
        <w:t xml:space="preserve"> should actively be built into the process;</w:t>
      </w:r>
    </w:p>
    <w:p w:rsidR="001A537D" w:rsidRPr="00C93055" w:rsidRDefault="00F577EC" w:rsidP="00F577EC">
      <w:pPr>
        <w:jc w:val="both"/>
        <w:rPr>
          <w:rFonts w:ascii="Tahoma" w:hAnsi="Tahoma" w:cs="Tahoma"/>
          <w:color w:val="244061"/>
          <w:sz w:val="20"/>
          <w:szCs w:val="20"/>
          <w:lang w:val="en-US"/>
        </w:rPr>
      </w:pPr>
      <w:r w:rsidRPr="00C93055">
        <w:rPr>
          <w:rFonts w:ascii="Tahoma" w:hAnsi="Tahoma" w:cs="Tahoma"/>
          <w:color w:val="244061"/>
          <w:sz w:val="20"/>
          <w:szCs w:val="20"/>
          <w:lang w:val="en-US"/>
        </w:rPr>
        <w:t xml:space="preserve">- </w:t>
      </w:r>
      <w:proofErr w:type="gramStart"/>
      <w:r w:rsidR="001A537D" w:rsidRPr="00C93055">
        <w:rPr>
          <w:rFonts w:ascii="Tahoma" w:hAnsi="Tahoma" w:cs="Tahoma"/>
          <w:color w:val="244061"/>
          <w:sz w:val="20"/>
          <w:szCs w:val="20"/>
          <w:lang w:val="en-US"/>
        </w:rPr>
        <w:t>single</w:t>
      </w:r>
      <w:proofErr w:type="gramEnd"/>
      <w:r w:rsidR="001A537D" w:rsidRPr="00C93055">
        <w:rPr>
          <w:rFonts w:ascii="Tahoma" w:hAnsi="Tahoma" w:cs="Tahoma"/>
          <w:color w:val="244061"/>
          <w:sz w:val="20"/>
          <w:szCs w:val="20"/>
          <w:lang w:val="en-US"/>
        </w:rPr>
        <w:t xml:space="preserve"> electronic invoice system should cover also a single tax payers;</w:t>
      </w:r>
    </w:p>
    <w:p w:rsidR="00F577EC" w:rsidRPr="00C93055" w:rsidRDefault="00F577EC" w:rsidP="00F577EC">
      <w:pPr>
        <w:jc w:val="both"/>
        <w:rPr>
          <w:rFonts w:ascii="Tahoma" w:hAnsi="Tahoma" w:cs="Tahoma"/>
          <w:color w:val="244061"/>
          <w:sz w:val="20"/>
          <w:szCs w:val="20"/>
          <w:lang w:val="en-US"/>
        </w:rPr>
      </w:pPr>
      <w:r w:rsidRPr="00C93055">
        <w:rPr>
          <w:rFonts w:ascii="Tahoma" w:hAnsi="Tahoma" w:cs="Tahoma"/>
          <w:color w:val="244061"/>
          <w:sz w:val="20"/>
          <w:szCs w:val="20"/>
          <w:lang w:val="en-US"/>
        </w:rPr>
        <w:t>-</w:t>
      </w:r>
      <w:r w:rsidR="001A537D" w:rsidRPr="00C93055">
        <w:rPr>
          <w:rFonts w:ascii="Tahoma" w:hAnsi="Tahoma" w:cs="Tahoma"/>
          <w:color w:val="244061"/>
          <w:sz w:val="20"/>
          <w:szCs w:val="20"/>
          <w:lang w:val="en-US"/>
        </w:rPr>
        <w:t xml:space="preserve"> replace licensed cash registers to any computer with printer with giving information on transactions in the online mode;</w:t>
      </w:r>
    </w:p>
    <w:p w:rsidR="001A537D" w:rsidRPr="00C93055" w:rsidRDefault="00F577EC" w:rsidP="00F577EC">
      <w:pPr>
        <w:jc w:val="both"/>
        <w:rPr>
          <w:rFonts w:ascii="Tahoma" w:hAnsi="Tahoma" w:cs="Tahoma"/>
          <w:color w:val="244061"/>
          <w:sz w:val="20"/>
          <w:szCs w:val="20"/>
          <w:lang w:val="en-US"/>
        </w:rPr>
      </w:pPr>
      <w:r w:rsidRPr="00C93055">
        <w:rPr>
          <w:rFonts w:ascii="Tahoma" w:hAnsi="Tahoma" w:cs="Tahoma"/>
          <w:color w:val="244061"/>
          <w:sz w:val="20"/>
          <w:szCs w:val="20"/>
          <w:lang w:val="en-US"/>
        </w:rPr>
        <w:t>-</w:t>
      </w:r>
      <w:r w:rsidR="001A537D" w:rsidRPr="00C93055">
        <w:rPr>
          <w:rFonts w:ascii="Tahoma" w:hAnsi="Tahoma" w:cs="Tahoma"/>
          <w:color w:val="244061"/>
          <w:sz w:val="20"/>
          <w:szCs w:val="20"/>
          <w:lang w:val="en-US"/>
        </w:rPr>
        <w:t xml:space="preserve"> </w:t>
      </w:r>
      <w:proofErr w:type="gramStart"/>
      <w:r w:rsidR="001A537D" w:rsidRPr="00C93055">
        <w:rPr>
          <w:rFonts w:ascii="Tahoma" w:hAnsi="Tahoma" w:cs="Tahoma"/>
          <w:color w:val="244061"/>
          <w:sz w:val="20"/>
          <w:szCs w:val="20"/>
          <w:lang w:val="en-US"/>
        </w:rPr>
        <w:t>control</w:t>
      </w:r>
      <w:proofErr w:type="gramEnd"/>
      <w:r w:rsidR="001A537D" w:rsidRPr="00C93055">
        <w:rPr>
          <w:rFonts w:ascii="Tahoma" w:hAnsi="Tahoma" w:cs="Tahoma"/>
          <w:color w:val="244061"/>
          <w:sz w:val="20"/>
          <w:szCs w:val="20"/>
          <w:lang w:val="en-US"/>
        </w:rPr>
        <w:t xml:space="preserve"> over labor relations should be reduced to control over payment of PIT (and SSC in current form).</w:t>
      </w:r>
    </w:p>
    <w:p w:rsidR="003A065E" w:rsidRPr="00C93055" w:rsidRDefault="003A065E" w:rsidP="003A065E">
      <w:pPr>
        <w:jc w:val="both"/>
        <w:rPr>
          <w:rFonts w:ascii="Tahoma" w:hAnsi="Tahoma" w:cs="Tahoma"/>
          <w:b/>
          <w:bCs/>
          <w:color w:val="244061"/>
          <w:sz w:val="20"/>
          <w:szCs w:val="20"/>
          <w:lang w:val="en-US"/>
        </w:rPr>
      </w:pPr>
    </w:p>
    <w:p w:rsidR="003A065E" w:rsidRPr="00C93055" w:rsidRDefault="00F577EC" w:rsidP="003A065E">
      <w:pPr>
        <w:jc w:val="both"/>
        <w:rPr>
          <w:rFonts w:ascii="Tahoma" w:hAnsi="Tahoma" w:cs="Tahoma"/>
          <w:b/>
          <w:bCs/>
          <w:color w:val="244061"/>
          <w:sz w:val="20"/>
          <w:szCs w:val="20"/>
          <w:lang w:val="en-US"/>
        </w:rPr>
      </w:pPr>
      <w:r w:rsidRPr="00C93055">
        <w:rPr>
          <w:rFonts w:ascii="Tahoma" w:hAnsi="Tahoma" w:cs="Tahoma"/>
          <w:b/>
          <w:bCs/>
          <w:color w:val="244061"/>
          <w:sz w:val="20"/>
          <w:szCs w:val="20"/>
          <w:highlight w:val="lightGray"/>
          <w:lang w:val="en-US"/>
        </w:rPr>
        <w:t xml:space="preserve">2. </w:t>
      </w:r>
      <w:r w:rsidR="003A065E" w:rsidRPr="00C93055">
        <w:rPr>
          <w:rFonts w:ascii="Tahoma" w:hAnsi="Tahoma" w:cs="Tahoma"/>
          <w:b/>
          <w:bCs/>
          <w:color w:val="244061"/>
          <w:sz w:val="20"/>
          <w:szCs w:val="20"/>
          <w:highlight w:val="lightGray"/>
          <w:lang w:val="en-US"/>
        </w:rPr>
        <w:t>VAT tax credit</w:t>
      </w:r>
    </w:p>
    <w:p w:rsidR="003A065E" w:rsidRPr="00C93055" w:rsidRDefault="003A065E" w:rsidP="003A065E">
      <w:pPr>
        <w:jc w:val="both"/>
        <w:rPr>
          <w:rFonts w:ascii="Tahoma" w:hAnsi="Tahoma" w:cs="Tahoma"/>
          <w:b/>
          <w:bCs/>
          <w:color w:val="244061"/>
          <w:sz w:val="20"/>
          <w:szCs w:val="20"/>
          <w:lang w:val="en-US"/>
        </w:rPr>
      </w:pPr>
    </w:p>
    <w:p w:rsidR="003A065E" w:rsidRPr="00C93055" w:rsidRDefault="00BD3D6D" w:rsidP="00BD3D6D">
      <w:pPr>
        <w:jc w:val="both"/>
        <w:rPr>
          <w:rFonts w:ascii="Tahoma" w:hAnsi="Tahoma" w:cs="Tahoma"/>
          <w:color w:val="244061"/>
          <w:sz w:val="20"/>
          <w:szCs w:val="20"/>
          <w:lang w:val="en-US"/>
        </w:rPr>
      </w:pPr>
      <w:r w:rsidRPr="00C93055">
        <w:rPr>
          <w:rFonts w:ascii="Tahoma" w:hAnsi="Tahoma" w:cs="Tahoma"/>
          <w:bCs/>
          <w:color w:val="244061"/>
          <w:sz w:val="20"/>
          <w:szCs w:val="20"/>
          <w:lang w:val="en-US"/>
        </w:rPr>
        <w:t xml:space="preserve">As </w:t>
      </w:r>
      <w:r w:rsidRPr="00C93055">
        <w:rPr>
          <w:rFonts w:ascii="Tahoma" w:hAnsi="Tahoma" w:cs="Tahoma"/>
          <w:color w:val="244061"/>
          <w:sz w:val="20"/>
          <w:szCs w:val="20"/>
          <w:lang w:val="en-US"/>
        </w:rPr>
        <w:t>tax credit is secured by taxpay</w:t>
      </w:r>
      <w:r w:rsidR="00C93055" w:rsidRPr="00C93055">
        <w:rPr>
          <w:rFonts w:ascii="Tahoma" w:hAnsi="Tahoma" w:cs="Tahoma"/>
          <w:color w:val="244061"/>
          <w:sz w:val="20"/>
          <w:szCs w:val="20"/>
          <w:lang w:val="en-US"/>
        </w:rPr>
        <w:t>er cash, in case a tax return is</w:t>
      </w:r>
      <w:r w:rsidRPr="00C93055">
        <w:rPr>
          <w:rFonts w:ascii="Tahoma" w:hAnsi="Tahoma" w:cs="Tahoma"/>
          <w:color w:val="244061"/>
          <w:sz w:val="20"/>
          <w:szCs w:val="20"/>
          <w:lang w:val="en-US"/>
        </w:rPr>
        <w:t xml:space="preserve"> registered in the Single Register of Tax Returns, b</w:t>
      </w:r>
      <w:r w:rsidR="003A065E" w:rsidRPr="00C93055">
        <w:rPr>
          <w:rFonts w:ascii="Tahoma" w:hAnsi="Tahoma" w:cs="Tahoma"/>
          <w:bCs/>
          <w:color w:val="244061"/>
          <w:sz w:val="20"/>
          <w:szCs w:val="20"/>
          <w:lang w:val="en-US"/>
        </w:rPr>
        <w:t xml:space="preserve">an </w:t>
      </w:r>
      <w:r w:rsidR="003A065E" w:rsidRPr="00C93055">
        <w:rPr>
          <w:rFonts w:ascii="Tahoma" w:hAnsi="Tahoma" w:cs="Tahoma"/>
          <w:color w:val="244061"/>
          <w:sz w:val="20"/>
          <w:szCs w:val="20"/>
          <w:lang w:val="en-US"/>
        </w:rPr>
        <w:t>cancellation of tax credit amou</w:t>
      </w:r>
      <w:r w:rsidRPr="00C93055">
        <w:rPr>
          <w:rFonts w:ascii="Tahoma" w:hAnsi="Tahoma" w:cs="Tahoma"/>
          <w:color w:val="244061"/>
          <w:sz w:val="20"/>
          <w:szCs w:val="20"/>
          <w:lang w:val="en-US"/>
        </w:rPr>
        <w:t>nts on formal grounds by fiscal authorities.</w:t>
      </w:r>
    </w:p>
    <w:p w:rsidR="00BD3D6D" w:rsidRPr="00C93055" w:rsidRDefault="00BD3D6D" w:rsidP="00BD3D6D">
      <w:pPr>
        <w:jc w:val="both"/>
        <w:rPr>
          <w:rFonts w:ascii="Tahoma" w:hAnsi="Tahoma" w:cs="Tahoma"/>
          <w:color w:val="244061"/>
          <w:sz w:val="20"/>
          <w:szCs w:val="20"/>
          <w:lang w:val="en-US"/>
        </w:rPr>
      </w:pPr>
    </w:p>
    <w:p w:rsidR="003A065E" w:rsidRPr="00C93055" w:rsidRDefault="0053435B" w:rsidP="003A065E">
      <w:pPr>
        <w:jc w:val="both"/>
        <w:rPr>
          <w:rFonts w:ascii="Tahoma" w:hAnsi="Tahoma" w:cs="Tahoma"/>
          <w:b/>
          <w:bCs/>
          <w:color w:val="244061"/>
          <w:sz w:val="20"/>
          <w:szCs w:val="20"/>
          <w:lang w:val="en-US"/>
        </w:rPr>
      </w:pPr>
      <w:r w:rsidRPr="00C93055">
        <w:rPr>
          <w:rFonts w:ascii="Tahoma" w:hAnsi="Tahoma" w:cs="Tahoma"/>
          <w:b/>
          <w:bCs/>
          <w:color w:val="244061"/>
          <w:sz w:val="20"/>
          <w:szCs w:val="20"/>
          <w:highlight w:val="lightGray"/>
          <w:lang w:val="en-US"/>
        </w:rPr>
        <w:t>3</w:t>
      </w:r>
      <w:r w:rsidR="00C157D1" w:rsidRPr="00C93055">
        <w:rPr>
          <w:rFonts w:ascii="Tahoma" w:hAnsi="Tahoma" w:cs="Tahoma"/>
          <w:b/>
          <w:bCs/>
          <w:color w:val="244061"/>
          <w:sz w:val="20"/>
          <w:szCs w:val="20"/>
          <w:highlight w:val="lightGray"/>
          <w:lang w:val="en-US"/>
        </w:rPr>
        <w:t xml:space="preserve">. </w:t>
      </w:r>
      <w:r w:rsidR="00F97817" w:rsidRPr="00C93055">
        <w:rPr>
          <w:rFonts w:ascii="Tahoma" w:hAnsi="Tahoma" w:cs="Tahoma"/>
          <w:b/>
          <w:bCs/>
          <w:color w:val="244061"/>
          <w:sz w:val="20"/>
          <w:szCs w:val="20"/>
          <w:highlight w:val="lightGray"/>
          <w:lang w:val="en-US"/>
        </w:rPr>
        <w:t>VAT invoice</w:t>
      </w:r>
    </w:p>
    <w:p w:rsidR="003A065E" w:rsidRPr="00C93055" w:rsidRDefault="003A065E" w:rsidP="003A065E">
      <w:pPr>
        <w:jc w:val="both"/>
        <w:rPr>
          <w:b/>
          <w:bCs/>
          <w:lang w:val="en-US"/>
        </w:rPr>
      </w:pPr>
    </w:p>
    <w:p w:rsidR="003A065E" w:rsidRPr="00C93055" w:rsidRDefault="003A065E" w:rsidP="003A065E">
      <w:pPr>
        <w:jc w:val="both"/>
        <w:rPr>
          <w:rFonts w:ascii="Tahoma" w:hAnsi="Tahoma" w:cs="Tahoma"/>
          <w:color w:val="244061"/>
          <w:sz w:val="20"/>
          <w:szCs w:val="20"/>
          <w:lang w:val="en-US"/>
        </w:rPr>
      </w:pPr>
      <w:proofErr w:type="gramStart"/>
      <w:r w:rsidRPr="00C93055">
        <w:rPr>
          <w:rFonts w:ascii="Tahoma" w:hAnsi="Tahoma" w:cs="Tahoma"/>
          <w:color w:val="244061"/>
          <w:sz w:val="20"/>
          <w:szCs w:val="20"/>
          <w:lang w:val="en-US"/>
        </w:rPr>
        <w:t xml:space="preserve">Inclusion </w:t>
      </w:r>
      <w:r w:rsidR="00C138AE" w:rsidRPr="00C93055">
        <w:rPr>
          <w:rFonts w:ascii="Tahoma" w:hAnsi="Tahoma" w:cs="Tahoma"/>
          <w:color w:val="244061"/>
          <w:sz w:val="20"/>
          <w:szCs w:val="20"/>
          <w:lang w:val="en-US"/>
        </w:rPr>
        <w:t xml:space="preserve">of 4 digits of </w:t>
      </w:r>
      <w:r w:rsidRPr="00C93055">
        <w:rPr>
          <w:rFonts w:ascii="Tahoma" w:hAnsi="Tahoma" w:cs="Tahoma"/>
          <w:color w:val="244061"/>
          <w:sz w:val="20"/>
          <w:szCs w:val="20"/>
          <w:lang w:val="en-US"/>
        </w:rPr>
        <w:t>goods code according to the Ukrainian Classification of Goods for Foreign Economic Activities (УКТЗЕД) as</w:t>
      </w:r>
      <w:r w:rsidR="00C138AE" w:rsidRPr="00C93055">
        <w:rPr>
          <w:rFonts w:ascii="Tahoma" w:hAnsi="Tahoma" w:cs="Tahoma"/>
          <w:color w:val="244061"/>
          <w:sz w:val="20"/>
          <w:szCs w:val="20"/>
          <w:lang w:val="en-US"/>
        </w:rPr>
        <w:t xml:space="preserve"> a mandatory requisite</w:t>
      </w:r>
      <w:r w:rsidRPr="00C93055">
        <w:rPr>
          <w:rFonts w:ascii="Tahoma" w:hAnsi="Tahoma" w:cs="Tahoma"/>
          <w:color w:val="244061"/>
          <w:sz w:val="20"/>
          <w:szCs w:val="20"/>
          <w:lang w:val="en-US"/>
        </w:rPr>
        <w:t xml:space="preserve"> in </w:t>
      </w:r>
      <w:r w:rsidR="00E37804" w:rsidRPr="00C93055">
        <w:rPr>
          <w:rFonts w:ascii="Tahoma" w:hAnsi="Tahoma" w:cs="Tahoma"/>
          <w:color w:val="244061"/>
          <w:sz w:val="20"/>
          <w:szCs w:val="20"/>
          <w:lang w:val="en-US"/>
        </w:rPr>
        <w:t xml:space="preserve">VAT invoice </w:t>
      </w:r>
      <w:r w:rsidRPr="00C93055">
        <w:rPr>
          <w:rFonts w:ascii="Tahoma" w:hAnsi="Tahoma" w:cs="Tahoma"/>
          <w:color w:val="244061"/>
          <w:sz w:val="20"/>
          <w:szCs w:val="20"/>
          <w:lang w:val="en-US"/>
        </w:rPr>
        <w:t>for all goods without exceptions.</w:t>
      </w:r>
      <w:proofErr w:type="gramEnd"/>
    </w:p>
    <w:p w:rsidR="002F1420" w:rsidRPr="00C93055" w:rsidRDefault="002F1420">
      <w:pPr>
        <w:rPr>
          <w:lang w:val="en-US"/>
        </w:rPr>
      </w:pPr>
    </w:p>
    <w:p w:rsidR="0053435B" w:rsidRPr="00C93055" w:rsidRDefault="0053435B" w:rsidP="0053435B">
      <w:pPr>
        <w:rPr>
          <w:rFonts w:ascii="Tahoma" w:hAnsi="Tahoma" w:cs="Tahoma"/>
          <w:b/>
          <w:color w:val="244061" w:themeColor="accent1" w:themeShade="80"/>
          <w:sz w:val="20"/>
          <w:szCs w:val="20"/>
          <w:lang w:val="en-US"/>
        </w:rPr>
      </w:pPr>
      <w:r w:rsidRPr="00C93055">
        <w:rPr>
          <w:rFonts w:ascii="Tahoma" w:hAnsi="Tahoma" w:cs="Tahoma"/>
          <w:b/>
          <w:color w:val="244061" w:themeColor="accent1" w:themeShade="80"/>
          <w:sz w:val="20"/>
          <w:szCs w:val="20"/>
          <w:highlight w:val="lightGray"/>
          <w:lang w:val="en-US"/>
        </w:rPr>
        <w:t>4. Tax due diligence</w:t>
      </w:r>
      <w:r w:rsidRPr="00C93055">
        <w:rPr>
          <w:rFonts w:ascii="Tahoma" w:hAnsi="Tahoma" w:cs="Tahoma"/>
          <w:b/>
          <w:color w:val="244061" w:themeColor="accent1" w:themeShade="80"/>
          <w:sz w:val="20"/>
          <w:szCs w:val="20"/>
          <w:lang w:val="en-US"/>
        </w:rPr>
        <w:t xml:space="preserve"> </w:t>
      </w:r>
    </w:p>
    <w:p w:rsidR="0053435B" w:rsidRPr="00C93055" w:rsidRDefault="0053435B" w:rsidP="0053435B">
      <w:pPr>
        <w:rPr>
          <w:rFonts w:ascii="Tahoma" w:hAnsi="Tahoma" w:cs="Tahoma"/>
          <w:b/>
          <w:color w:val="244061" w:themeColor="accent1" w:themeShade="80"/>
          <w:sz w:val="20"/>
          <w:szCs w:val="20"/>
          <w:lang w:val="en-US"/>
        </w:rPr>
      </w:pPr>
    </w:p>
    <w:p w:rsidR="0053435B" w:rsidRPr="00C93055" w:rsidRDefault="0053435B" w:rsidP="0053435B">
      <w:pPr>
        <w:jc w:val="both"/>
        <w:rPr>
          <w:rFonts w:ascii="Tahoma" w:eastAsia="Times New Roman" w:hAnsi="Tahoma" w:cs="Tahoma"/>
          <w:color w:val="244061"/>
          <w:sz w:val="20"/>
          <w:szCs w:val="20"/>
          <w:lang w:val="en-US" w:eastAsia="uk-UA"/>
        </w:rPr>
      </w:pPr>
      <w:r w:rsidRPr="00C93055">
        <w:rPr>
          <w:rFonts w:ascii="Tahoma" w:eastAsia="Times New Roman" w:hAnsi="Tahoma" w:cs="Tahoma"/>
          <w:color w:val="244061"/>
          <w:sz w:val="20"/>
          <w:szCs w:val="20"/>
          <w:lang w:val="en-US" w:eastAsia="uk-UA"/>
        </w:rPr>
        <w:t xml:space="preserve">Based on the generalized court practices as well as application of </w:t>
      </w:r>
      <w:r w:rsidRPr="00C93055">
        <w:rPr>
          <w:rFonts w:ascii="Tahoma" w:hAnsi="Tahoma" w:cs="Tahoma"/>
          <w:color w:val="244061"/>
          <w:sz w:val="20"/>
          <w:szCs w:val="20"/>
          <w:lang w:val="en-US" w:eastAsia="uk-UA"/>
        </w:rPr>
        <w:t>sufficient tax prudence doctrine</w:t>
      </w:r>
      <w:r w:rsidRPr="00C93055">
        <w:rPr>
          <w:rFonts w:ascii="Tahoma" w:eastAsia="Times New Roman" w:hAnsi="Tahoma" w:cs="Tahoma"/>
          <w:color w:val="244061"/>
          <w:sz w:val="20"/>
          <w:szCs w:val="20"/>
          <w:lang w:val="en-US" w:eastAsia="uk-UA"/>
        </w:rPr>
        <w:t>, which follows directly from the judgment of the European Court of Human Rights "</w:t>
      </w:r>
      <w:proofErr w:type="spellStart"/>
      <w:r w:rsidRPr="00C93055">
        <w:rPr>
          <w:rFonts w:ascii="Tahoma" w:eastAsia="Times New Roman" w:hAnsi="Tahoma" w:cs="Tahoma"/>
          <w:color w:val="244061"/>
          <w:sz w:val="20"/>
          <w:szCs w:val="20"/>
          <w:lang w:val="en-US" w:eastAsia="uk-UA"/>
        </w:rPr>
        <w:t>Bulves</w:t>
      </w:r>
      <w:proofErr w:type="spellEnd"/>
      <w:r w:rsidRPr="00C93055">
        <w:rPr>
          <w:rFonts w:ascii="Tahoma" w:eastAsia="Times New Roman" w:hAnsi="Tahoma" w:cs="Tahoma"/>
          <w:color w:val="244061"/>
          <w:sz w:val="20"/>
          <w:szCs w:val="20"/>
          <w:lang w:val="en-US" w:eastAsia="uk-UA"/>
        </w:rPr>
        <w:t xml:space="preserve"> AD against Bulgaria" and states that VAT payer should not be responsible for ones supplier if this taxpayer didn’t know or couldn’t know about such an abuse, the State Fiscal Service of Ukraine should accept as proper tax due diligence of taxpayer the following steps:</w:t>
      </w:r>
    </w:p>
    <w:p w:rsidR="0053435B" w:rsidRPr="00C93055" w:rsidRDefault="0053435B" w:rsidP="0053435B">
      <w:pPr>
        <w:jc w:val="both"/>
        <w:rPr>
          <w:rFonts w:ascii="Tahoma" w:hAnsi="Tahoma" w:cs="Tahoma"/>
          <w:color w:val="244061"/>
          <w:sz w:val="20"/>
          <w:szCs w:val="20"/>
          <w:lang w:val="en-US" w:eastAsia="uk-UA"/>
        </w:rPr>
      </w:pP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t xml:space="preserve">Registration of the company in SFS system as a VAT payer </w:t>
      </w:r>
      <w:hyperlink r:id="rId9" w:history="1">
        <w:r w:rsidRPr="00C93055">
          <w:rPr>
            <w:rStyle w:val="a3"/>
            <w:rFonts w:ascii="Tahoma" w:hAnsi="Tahoma" w:cs="Tahoma"/>
            <w:color w:val="244061" w:themeColor="accent1" w:themeShade="80"/>
            <w:sz w:val="20"/>
            <w:szCs w:val="20"/>
            <w:lang w:val="en-US"/>
          </w:rPr>
          <w:t>https://cabinet.sfs.gov.ua/cabinet/faces/public/reestr.jspx</w:t>
        </w:r>
      </w:hyperlink>
      <w:r w:rsidRPr="00C93055">
        <w:rPr>
          <w:rFonts w:ascii="Tahoma" w:hAnsi="Tahoma" w:cs="Tahoma"/>
          <w:color w:val="244061" w:themeColor="accent1" w:themeShade="80"/>
          <w:sz w:val="20"/>
          <w:szCs w:val="20"/>
          <w:lang w:val="en-US"/>
        </w:rPr>
        <w:t xml:space="preserve">; </w:t>
      </w: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t xml:space="preserve">Registration of the company in SFS system as a tax payer in general, tax debt information absent </w:t>
      </w:r>
      <w:hyperlink r:id="rId10" w:history="1">
        <w:r w:rsidRPr="00C93055">
          <w:rPr>
            <w:rStyle w:val="a3"/>
            <w:rFonts w:ascii="Tahoma" w:hAnsi="Tahoma" w:cs="Tahoma"/>
            <w:color w:val="244061" w:themeColor="accent1" w:themeShade="80"/>
            <w:sz w:val="20"/>
            <w:szCs w:val="20"/>
            <w:lang w:val="en-US"/>
          </w:rPr>
          <w:t>http://sfs.gov.ua/businesspartner</w:t>
        </w:r>
      </w:hyperlink>
      <w:r w:rsidRPr="00C93055">
        <w:rPr>
          <w:rFonts w:ascii="Tahoma" w:hAnsi="Tahoma" w:cs="Tahoma"/>
          <w:color w:val="244061" w:themeColor="accent1" w:themeShade="80"/>
          <w:sz w:val="20"/>
          <w:szCs w:val="20"/>
          <w:lang w:val="en-US"/>
        </w:rPr>
        <w:t xml:space="preserve">;  </w:t>
      </w: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lastRenderedPageBreak/>
        <w:t xml:space="preserve">Registration in EDRPOU (Single State Register of Enterprises and Organizations of Ukraine) in place, date of company registration in place, respective code of economic activity in place </w:t>
      </w:r>
      <w:hyperlink r:id="rId11" w:history="1">
        <w:r w:rsidRPr="00C93055">
          <w:rPr>
            <w:rStyle w:val="a3"/>
            <w:rFonts w:ascii="Tahoma" w:hAnsi="Tahoma" w:cs="Tahoma"/>
            <w:color w:val="244061" w:themeColor="accent1" w:themeShade="80"/>
            <w:sz w:val="20"/>
            <w:szCs w:val="20"/>
            <w:lang w:val="en-US"/>
          </w:rPr>
          <w:t>https://usr.minjust.gov.ua/ua/freesearch</w:t>
        </w:r>
      </w:hyperlink>
      <w:r w:rsidRPr="00C93055">
        <w:rPr>
          <w:rFonts w:ascii="Tahoma" w:hAnsi="Tahoma" w:cs="Tahoma"/>
          <w:color w:val="244061" w:themeColor="accent1" w:themeShade="80"/>
          <w:sz w:val="20"/>
          <w:szCs w:val="20"/>
          <w:lang w:val="en-US"/>
        </w:rPr>
        <w:t>;</w:t>
      </w: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t>Authorities of person acting on behalf of CPTY* and signing of behalf of CPTY (copies of the By-Laws, Power of Attorney to the signatories,  copies of the signatories ‘ passport);</w:t>
      </w: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t>Proceeds from all types of activities excluding indirect taxes for the previous year (Income Declaration – row 01);</w:t>
      </w: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t>Income for the previous year  (Financial Statement Form #2, row 2000);</w:t>
      </w: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t>Crop acreage in place (Statistical Form  4-SG (yearly) is submitted after sowing session, but not later than June 02;</w:t>
      </w: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t>Registration in ERPN (Single Register for Tax Invoices);</w:t>
      </w:r>
    </w:p>
    <w:p w:rsidR="0053435B" w:rsidRPr="00C93055" w:rsidRDefault="0053435B"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r w:rsidRPr="00C93055">
        <w:rPr>
          <w:rFonts w:ascii="Tahoma" w:hAnsi="Tahoma" w:cs="Tahoma"/>
          <w:color w:val="244061" w:themeColor="accent1" w:themeShade="80"/>
          <w:sz w:val="20"/>
          <w:szCs w:val="20"/>
          <w:lang w:val="en-US"/>
        </w:rPr>
        <w:t xml:space="preserve">Way bills or warehouse receipts in place depending on delivery basis (documents are provided by carries or warehouses/grain elevators); </w:t>
      </w:r>
    </w:p>
    <w:p w:rsidR="0053435B" w:rsidRPr="00C93055" w:rsidRDefault="00000E8A" w:rsidP="00BF4CE8">
      <w:pPr>
        <w:pStyle w:val="a4"/>
        <w:numPr>
          <w:ilvl w:val="0"/>
          <w:numId w:val="3"/>
        </w:numPr>
        <w:ind w:left="0" w:firstLine="0"/>
        <w:contextualSpacing w:val="0"/>
        <w:jc w:val="both"/>
        <w:rPr>
          <w:rFonts w:ascii="Tahoma" w:hAnsi="Tahoma" w:cs="Tahoma"/>
          <w:color w:val="244061" w:themeColor="accent1" w:themeShade="80"/>
          <w:sz w:val="20"/>
          <w:szCs w:val="20"/>
          <w:lang w:val="en-US"/>
        </w:rPr>
      </w:pPr>
      <w:hyperlink r:id="rId12" w:history="1">
        <w:r w:rsidR="0053435B" w:rsidRPr="00C93055">
          <w:rPr>
            <w:rStyle w:val="a3"/>
            <w:rFonts w:ascii="Tahoma" w:hAnsi="Tahoma" w:cs="Tahoma"/>
            <w:color w:val="244061" w:themeColor="accent1" w:themeShade="80"/>
            <w:sz w:val="20"/>
            <w:szCs w:val="20"/>
            <w:lang w:val="en-US"/>
          </w:rPr>
          <w:t>Goods</w:t>
        </w:r>
      </w:hyperlink>
      <w:r w:rsidR="0053435B" w:rsidRPr="00C93055">
        <w:rPr>
          <w:rFonts w:ascii="Tahoma" w:hAnsi="Tahoma" w:cs="Tahoma"/>
          <w:color w:val="244061" w:themeColor="accent1" w:themeShade="80"/>
          <w:sz w:val="20"/>
          <w:szCs w:val="20"/>
          <w:lang w:val="en-US"/>
        </w:rPr>
        <w:t xml:space="preserve"> delivery note in place (document is provided by the supplier). </w:t>
      </w:r>
    </w:p>
    <w:p w:rsidR="0053435B" w:rsidRPr="00C93055" w:rsidRDefault="0053435B" w:rsidP="0053435B">
      <w:pPr>
        <w:jc w:val="both"/>
        <w:rPr>
          <w:rFonts w:ascii="Tahoma" w:hAnsi="Tahoma" w:cs="Tahoma"/>
          <w:color w:val="244061" w:themeColor="accent1" w:themeShade="80"/>
          <w:sz w:val="20"/>
          <w:szCs w:val="20"/>
          <w:lang w:val="en-US"/>
        </w:rPr>
      </w:pPr>
    </w:p>
    <w:p w:rsidR="0053435B" w:rsidRPr="00C93055" w:rsidRDefault="0053435B">
      <w:pPr>
        <w:rPr>
          <w:lang w:val="en-US"/>
        </w:rPr>
      </w:pPr>
    </w:p>
    <w:sectPr w:rsidR="0053435B" w:rsidRPr="00C93055">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8A" w:rsidRDefault="00000E8A" w:rsidP="00C157D1">
      <w:r>
        <w:separator/>
      </w:r>
    </w:p>
  </w:endnote>
  <w:endnote w:type="continuationSeparator" w:id="0">
    <w:p w:rsidR="00000E8A" w:rsidRDefault="00000E8A" w:rsidP="00C1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42082"/>
      <w:docPartObj>
        <w:docPartGallery w:val="Page Numbers (Bottom of Page)"/>
        <w:docPartUnique/>
      </w:docPartObj>
    </w:sdtPr>
    <w:sdtEndPr/>
    <w:sdtContent>
      <w:p w:rsidR="00C157D1" w:rsidRDefault="00C157D1">
        <w:pPr>
          <w:pStyle w:val="a7"/>
          <w:jc w:val="center"/>
        </w:pPr>
        <w:r>
          <w:fldChar w:fldCharType="begin"/>
        </w:r>
        <w:r>
          <w:instrText>PAGE   \* MERGEFORMAT</w:instrText>
        </w:r>
        <w:r>
          <w:fldChar w:fldCharType="separate"/>
        </w:r>
        <w:r w:rsidR="00B91A83" w:rsidRPr="00B91A83">
          <w:rPr>
            <w:noProof/>
            <w:lang w:val="ru-RU"/>
          </w:rPr>
          <w:t>1</w:t>
        </w:r>
        <w:r>
          <w:fldChar w:fldCharType="end"/>
        </w:r>
      </w:p>
    </w:sdtContent>
  </w:sdt>
  <w:p w:rsidR="00C157D1" w:rsidRDefault="00C157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8A" w:rsidRDefault="00000E8A" w:rsidP="00C157D1">
      <w:r>
        <w:separator/>
      </w:r>
    </w:p>
  </w:footnote>
  <w:footnote w:type="continuationSeparator" w:id="0">
    <w:p w:rsidR="00000E8A" w:rsidRDefault="00000E8A" w:rsidP="00C1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091"/>
    <w:multiLevelType w:val="hybridMultilevel"/>
    <w:tmpl w:val="397E07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1A692B"/>
    <w:multiLevelType w:val="hybridMultilevel"/>
    <w:tmpl w:val="B1465DCA"/>
    <w:lvl w:ilvl="0" w:tplc="C4F8FA12">
      <w:numFmt w:val="bullet"/>
      <w:lvlText w:val="-"/>
      <w:lvlJc w:val="left"/>
      <w:pPr>
        <w:ind w:left="2160" w:hanging="360"/>
      </w:pPr>
      <w:rPr>
        <w:rFonts w:ascii="Tahoma" w:eastAsiaTheme="minorHAnsi" w:hAnsi="Tahoma" w:cs="Tahoma"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
    <w:nsid w:val="3A2B3B09"/>
    <w:multiLevelType w:val="hybridMultilevel"/>
    <w:tmpl w:val="312A62A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D5651BF"/>
    <w:multiLevelType w:val="multilevel"/>
    <w:tmpl w:val="C0028BC2"/>
    <w:lvl w:ilvl="0">
      <w:start w:val="1"/>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663557"/>
    <w:multiLevelType w:val="hybridMultilevel"/>
    <w:tmpl w:val="94ECA4A8"/>
    <w:lvl w:ilvl="0" w:tplc="1478B7D6">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4F"/>
    <w:rsid w:val="00000E8A"/>
    <w:rsid w:val="001A537D"/>
    <w:rsid w:val="002F1420"/>
    <w:rsid w:val="00370489"/>
    <w:rsid w:val="00371A4F"/>
    <w:rsid w:val="003A065E"/>
    <w:rsid w:val="0053435B"/>
    <w:rsid w:val="006D7803"/>
    <w:rsid w:val="00A822AE"/>
    <w:rsid w:val="00B05BBC"/>
    <w:rsid w:val="00B91A83"/>
    <w:rsid w:val="00BD3D6D"/>
    <w:rsid w:val="00BF4CE8"/>
    <w:rsid w:val="00C138AE"/>
    <w:rsid w:val="00C157D1"/>
    <w:rsid w:val="00C93055"/>
    <w:rsid w:val="00D70268"/>
    <w:rsid w:val="00DB5FDD"/>
    <w:rsid w:val="00E30D85"/>
    <w:rsid w:val="00E37804"/>
    <w:rsid w:val="00F577EC"/>
    <w:rsid w:val="00F97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5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65E"/>
    <w:rPr>
      <w:color w:val="0000FF"/>
      <w:u w:val="single"/>
    </w:rPr>
  </w:style>
  <w:style w:type="paragraph" w:styleId="a4">
    <w:name w:val="List Paragraph"/>
    <w:basedOn w:val="a"/>
    <w:uiPriority w:val="34"/>
    <w:qFormat/>
    <w:rsid w:val="00C138AE"/>
    <w:pPr>
      <w:ind w:left="720"/>
      <w:contextualSpacing/>
    </w:pPr>
  </w:style>
  <w:style w:type="paragraph" w:styleId="a5">
    <w:name w:val="header"/>
    <w:basedOn w:val="a"/>
    <w:link w:val="a6"/>
    <w:uiPriority w:val="99"/>
    <w:unhideWhenUsed/>
    <w:rsid w:val="00C157D1"/>
    <w:pPr>
      <w:tabs>
        <w:tab w:val="center" w:pos="4819"/>
        <w:tab w:val="right" w:pos="9639"/>
      </w:tabs>
    </w:pPr>
  </w:style>
  <w:style w:type="character" w:customStyle="1" w:styleId="a6">
    <w:name w:val="Верхний колонтитул Знак"/>
    <w:basedOn w:val="a0"/>
    <w:link w:val="a5"/>
    <w:uiPriority w:val="99"/>
    <w:rsid w:val="00C157D1"/>
    <w:rPr>
      <w:rFonts w:ascii="Calibri" w:hAnsi="Calibri" w:cs="Times New Roman"/>
    </w:rPr>
  </w:style>
  <w:style w:type="paragraph" w:styleId="a7">
    <w:name w:val="footer"/>
    <w:basedOn w:val="a"/>
    <w:link w:val="a8"/>
    <w:uiPriority w:val="99"/>
    <w:unhideWhenUsed/>
    <w:rsid w:val="00C157D1"/>
    <w:pPr>
      <w:tabs>
        <w:tab w:val="center" w:pos="4819"/>
        <w:tab w:val="right" w:pos="9639"/>
      </w:tabs>
    </w:pPr>
  </w:style>
  <w:style w:type="character" w:customStyle="1" w:styleId="a8">
    <w:name w:val="Нижний колонтитул Знак"/>
    <w:basedOn w:val="a0"/>
    <w:link w:val="a7"/>
    <w:uiPriority w:val="99"/>
    <w:rsid w:val="00C157D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5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65E"/>
    <w:rPr>
      <w:color w:val="0000FF"/>
      <w:u w:val="single"/>
    </w:rPr>
  </w:style>
  <w:style w:type="paragraph" w:styleId="a4">
    <w:name w:val="List Paragraph"/>
    <w:basedOn w:val="a"/>
    <w:uiPriority w:val="34"/>
    <w:qFormat/>
    <w:rsid w:val="00C138AE"/>
    <w:pPr>
      <w:ind w:left="720"/>
      <w:contextualSpacing/>
    </w:pPr>
  </w:style>
  <w:style w:type="paragraph" w:styleId="a5">
    <w:name w:val="header"/>
    <w:basedOn w:val="a"/>
    <w:link w:val="a6"/>
    <w:uiPriority w:val="99"/>
    <w:unhideWhenUsed/>
    <w:rsid w:val="00C157D1"/>
    <w:pPr>
      <w:tabs>
        <w:tab w:val="center" w:pos="4819"/>
        <w:tab w:val="right" w:pos="9639"/>
      </w:tabs>
    </w:pPr>
  </w:style>
  <w:style w:type="character" w:customStyle="1" w:styleId="a6">
    <w:name w:val="Верхний колонтитул Знак"/>
    <w:basedOn w:val="a0"/>
    <w:link w:val="a5"/>
    <w:uiPriority w:val="99"/>
    <w:rsid w:val="00C157D1"/>
    <w:rPr>
      <w:rFonts w:ascii="Calibri" w:hAnsi="Calibri" w:cs="Times New Roman"/>
    </w:rPr>
  </w:style>
  <w:style w:type="paragraph" w:styleId="a7">
    <w:name w:val="footer"/>
    <w:basedOn w:val="a"/>
    <w:link w:val="a8"/>
    <w:uiPriority w:val="99"/>
    <w:unhideWhenUsed/>
    <w:rsid w:val="00C157D1"/>
    <w:pPr>
      <w:tabs>
        <w:tab w:val="center" w:pos="4819"/>
        <w:tab w:val="right" w:pos="9639"/>
      </w:tabs>
    </w:pPr>
  </w:style>
  <w:style w:type="character" w:customStyle="1" w:styleId="a8">
    <w:name w:val="Нижний колонтитул Знак"/>
    <w:basedOn w:val="a0"/>
    <w:link w:val="a7"/>
    <w:uiPriority w:val="99"/>
    <w:rsid w:val="00C157D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4498">
      <w:bodyDiv w:val="1"/>
      <w:marLeft w:val="0"/>
      <w:marRight w:val="0"/>
      <w:marTop w:val="0"/>
      <w:marBottom w:val="0"/>
      <w:divBdr>
        <w:top w:val="none" w:sz="0" w:space="0" w:color="auto"/>
        <w:left w:val="none" w:sz="0" w:space="0" w:color="auto"/>
        <w:bottom w:val="none" w:sz="0" w:space="0" w:color="auto"/>
        <w:right w:val="none" w:sz="0" w:space="0" w:color="auto"/>
      </w:divBdr>
    </w:div>
    <w:div w:id="737476741">
      <w:bodyDiv w:val="1"/>
      <w:marLeft w:val="0"/>
      <w:marRight w:val="0"/>
      <w:marTop w:val="0"/>
      <w:marBottom w:val="0"/>
      <w:divBdr>
        <w:top w:val="none" w:sz="0" w:space="0" w:color="auto"/>
        <w:left w:val="none" w:sz="0" w:space="0" w:color="auto"/>
        <w:bottom w:val="none" w:sz="0" w:space="0" w:color="auto"/>
        <w:right w:val="none" w:sz="0" w:space="0" w:color="auto"/>
      </w:divBdr>
    </w:div>
    <w:div w:id="740638526">
      <w:bodyDiv w:val="1"/>
      <w:marLeft w:val="0"/>
      <w:marRight w:val="0"/>
      <w:marTop w:val="0"/>
      <w:marBottom w:val="0"/>
      <w:divBdr>
        <w:top w:val="none" w:sz="0" w:space="0" w:color="auto"/>
        <w:left w:val="none" w:sz="0" w:space="0" w:color="auto"/>
        <w:bottom w:val="none" w:sz="0" w:space="0" w:color="auto"/>
        <w:right w:val="none" w:sz="0" w:space="0" w:color="auto"/>
      </w:divBdr>
    </w:div>
    <w:div w:id="1402169344">
      <w:bodyDiv w:val="1"/>
      <w:marLeft w:val="0"/>
      <w:marRight w:val="0"/>
      <w:marTop w:val="0"/>
      <w:marBottom w:val="0"/>
      <w:divBdr>
        <w:top w:val="none" w:sz="0" w:space="0" w:color="auto"/>
        <w:left w:val="none" w:sz="0" w:space="0" w:color="auto"/>
        <w:bottom w:val="none" w:sz="0" w:space="0" w:color="auto"/>
        <w:right w:val="none" w:sz="0" w:space="0" w:color="auto"/>
      </w:divBdr>
    </w:div>
    <w:div w:id="1921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ltitran.ru/c/m.exe?t=3841031_1_2&amp;s1=%F0%E0%F1%F5%EE%E4%ED%E0%FF%20%ED%E0%EA%EB%E0%E4%ED%E0%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ua/free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s.gov.ua/businesspartner" TargetMode="External"/><Relationship Id="rId4" Type="http://schemas.microsoft.com/office/2007/relationships/stylesWithEffects" Target="stylesWithEffects.xml"/><Relationship Id="rId9" Type="http://schemas.openxmlformats.org/officeDocument/2006/relationships/hyperlink" Target="https://cabinet.sfs.gov.ua/cabinet/faces/public/reestr.j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725B-DAA9-4AD4-9993-A7F7E082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 Prokopchuk</dc:creator>
  <cp:lastModifiedBy>Oleksandr Prokhorovych</cp:lastModifiedBy>
  <cp:revision>8</cp:revision>
  <dcterms:created xsi:type="dcterms:W3CDTF">2016-08-29T13:43:00Z</dcterms:created>
  <dcterms:modified xsi:type="dcterms:W3CDTF">2016-08-30T07:38:00Z</dcterms:modified>
</cp:coreProperties>
</file>