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FB" w:rsidRPr="00AE51E9" w:rsidRDefault="00877CFB" w:rsidP="00A97B35"/>
    <w:p w:rsidR="00340629" w:rsidRPr="00AE51E9" w:rsidRDefault="00340629" w:rsidP="00340629">
      <w:r w:rsidRPr="00AE51E9">
        <w:t>№16-</w:t>
      </w:r>
    </w:p>
    <w:p w:rsidR="00340629" w:rsidRPr="00AE51E9" w:rsidRDefault="00340629" w:rsidP="00340629">
      <w:r w:rsidRPr="00AE51E9">
        <w:t xml:space="preserve">від __ </w:t>
      </w:r>
      <w:r w:rsidR="00316B0D">
        <w:t>листопада</w:t>
      </w:r>
      <w:r w:rsidRPr="00AE51E9">
        <w:t xml:space="preserve"> 2016 року</w:t>
      </w:r>
    </w:p>
    <w:p w:rsidR="00340629" w:rsidRPr="006501F5" w:rsidRDefault="000D6838" w:rsidP="007E58E9">
      <w:pPr>
        <w:spacing w:line="276" w:lineRule="auto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 </w:t>
      </w:r>
    </w:p>
    <w:p w:rsidR="000D6838" w:rsidRPr="000D6838" w:rsidRDefault="000D6838" w:rsidP="000D6838">
      <w:pPr>
        <w:rPr>
          <w:lang w:val="en-US"/>
        </w:rPr>
      </w:pPr>
      <w:r>
        <w:rPr>
          <w:rFonts w:eastAsia="Calibri"/>
          <w:i/>
          <w:lang w:eastAsia="en-US"/>
        </w:rPr>
        <w:t xml:space="preserve"> </w:t>
      </w:r>
    </w:p>
    <w:tbl>
      <w:tblPr>
        <w:tblW w:w="10441" w:type="dxa"/>
        <w:tblInd w:w="284" w:type="dxa"/>
        <w:tblLook w:val="04A0" w:firstRow="1" w:lastRow="0" w:firstColumn="1" w:lastColumn="0" w:noHBand="0" w:noVBand="1"/>
      </w:tblPr>
      <w:tblGrid>
        <w:gridCol w:w="5069"/>
        <w:gridCol w:w="5372"/>
      </w:tblGrid>
      <w:tr w:rsidR="000D6838" w:rsidRPr="000D6838" w:rsidTr="000D6838">
        <w:tc>
          <w:tcPr>
            <w:tcW w:w="5069" w:type="dxa"/>
            <w:shd w:val="clear" w:color="auto" w:fill="auto"/>
          </w:tcPr>
          <w:p w:rsidR="000D6838" w:rsidRPr="000D6838" w:rsidRDefault="000D6838" w:rsidP="000D6838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53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617"/>
            </w:tblGrid>
            <w:tr w:rsidR="000D6838" w:rsidRPr="000D6838" w:rsidTr="000D6838">
              <w:tc>
                <w:tcPr>
                  <w:tcW w:w="236" w:type="dxa"/>
                  <w:shd w:val="clear" w:color="auto" w:fill="auto"/>
                </w:tcPr>
                <w:p w:rsidR="000D6838" w:rsidRPr="000D6838" w:rsidRDefault="000D6838" w:rsidP="000D6838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0D6838" w:rsidRPr="000D6838" w:rsidRDefault="000D6838" w:rsidP="000D6838">
                  <w:pPr>
                    <w:ind w:right="-109"/>
                    <w:jc w:val="right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0D6838" w:rsidRPr="000D6838" w:rsidRDefault="000D6838" w:rsidP="000D6838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0D6838" w:rsidRPr="000D6838" w:rsidRDefault="000D6838" w:rsidP="000D6838">
                  <w:pPr>
                    <w:ind w:firstLine="3261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17" w:type="dxa"/>
                  <w:shd w:val="clear" w:color="auto" w:fill="auto"/>
                </w:tcPr>
                <w:p w:rsidR="000D6838" w:rsidRPr="00316B0D" w:rsidRDefault="00316B0D" w:rsidP="000D6838">
                  <w:pPr>
                    <w:rPr>
                      <w:rFonts w:eastAsia="Calibri"/>
                      <w:b/>
                      <w:szCs w:val="22"/>
                    </w:rPr>
                  </w:pPr>
                  <w:r w:rsidRPr="00316B0D">
                    <w:rPr>
                      <w:rFonts w:eastAsia="Calibri"/>
                      <w:b/>
                      <w:szCs w:val="22"/>
                    </w:rPr>
                    <w:t xml:space="preserve">Першому заступнику </w:t>
                  </w:r>
                </w:p>
                <w:p w:rsidR="00316B0D" w:rsidRPr="00316B0D" w:rsidRDefault="00316B0D" w:rsidP="000D6838">
                  <w:pPr>
                    <w:rPr>
                      <w:rFonts w:eastAsia="Calibri"/>
                      <w:b/>
                      <w:szCs w:val="22"/>
                    </w:rPr>
                  </w:pPr>
                  <w:r w:rsidRPr="00316B0D">
                    <w:rPr>
                      <w:rFonts w:eastAsia="Calibri"/>
                      <w:b/>
                      <w:szCs w:val="22"/>
                    </w:rPr>
                    <w:t>Голови правління Пенсійного фонду</w:t>
                  </w:r>
                </w:p>
                <w:p w:rsidR="00316B0D" w:rsidRPr="00316B0D" w:rsidRDefault="00316B0D" w:rsidP="000D6838">
                  <w:pPr>
                    <w:rPr>
                      <w:rFonts w:eastAsia="Calibri"/>
                      <w:b/>
                      <w:szCs w:val="22"/>
                    </w:rPr>
                  </w:pPr>
                  <w:r w:rsidRPr="00316B0D">
                    <w:rPr>
                      <w:rFonts w:eastAsia="Calibri"/>
                      <w:b/>
                      <w:szCs w:val="22"/>
                    </w:rPr>
                    <w:t>України</w:t>
                  </w:r>
                </w:p>
                <w:p w:rsidR="000D6838" w:rsidRPr="000D6838" w:rsidRDefault="00C7189C" w:rsidP="00C7189C">
                  <w:pPr>
                    <w:rPr>
                      <w:rFonts w:eastAsia="Calibri"/>
                      <w:b/>
                      <w:szCs w:val="22"/>
                    </w:rPr>
                  </w:pPr>
                  <w:r w:rsidRPr="00316B0D">
                    <w:rPr>
                      <w:rFonts w:eastAsia="Calibri"/>
                      <w:b/>
                      <w:szCs w:val="22"/>
                    </w:rPr>
                    <w:t>М.І.</w:t>
                  </w:r>
                  <w:r>
                    <w:rPr>
                      <w:rFonts w:eastAsia="Calibri"/>
                      <w:b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316B0D" w:rsidRPr="00316B0D">
                    <w:rPr>
                      <w:rFonts w:eastAsia="Calibri"/>
                      <w:b/>
                      <w:szCs w:val="22"/>
                    </w:rPr>
                    <w:t>Шамбір</w:t>
                  </w:r>
                  <w:r w:rsidR="00291FDC">
                    <w:rPr>
                      <w:rFonts w:eastAsia="Calibri"/>
                      <w:b/>
                      <w:szCs w:val="22"/>
                    </w:rPr>
                    <w:t>у</w:t>
                  </w:r>
                  <w:proofErr w:type="spellEnd"/>
                  <w:r w:rsidR="00316B0D" w:rsidRPr="00316B0D"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</w:p>
              </w:tc>
            </w:tr>
          </w:tbl>
          <w:p w:rsidR="000D6838" w:rsidRPr="000D6838" w:rsidRDefault="000D6838" w:rsidP="000D6838">
            <w:pPr>
              <w:rPr>
                <w:b/>
              </w:rPr>
            </w:pPr>
          </w:p>
        </w:tc>
      </w:tr>
    </w:tbl>
    <w:p w:rsidR="00C7189C" w:rsidRDefault="00C7189C" w:rsidP="000D6838">
      <w:pPr>
        <w:jc w:val="both"/>
        <w:rPr>
          <w:rFonts w:eastAsia="Calibri"/>
          <w:i/>
          <w:szCs w:val="20"/>
          <w:lang w:val="en-US" w:eastAsia="en-US"/>
        </w:rPr>
      </w:pPr>
    </w:p>
    <w:p w:rsidR="002241E3" w:rsidRPr="00C7189C" w:rsidRDefault="000D6838" w:rsidP="000D6838">
      <w:pPr>
        <w:jc w:val="both"/>
        <w:rPr>
          <w:rFonts w:eastAsia="Calibri"/>
          <w:i/>
          <w:szCs w:val="20"/>
          <w:lang w:eastAsia="en-US"/>
        </w:rPr>
      </w:pPr>
      <w:r w:rsidRPr="00C7189C">
        <w:rPr>
          <w:rFonts w:eastAsia="Calibri"/>
          <w:i/>
          <w:szCs w:val="20"/>
          <w:lang w:eastAsia="en-US"/>
        </w:rPr>
        <w:t xml:space="preserve">Щодо </w:t>
      </w:r>
      <w:r w:rsidR="00316B0D" w:rsidRPr="00C7189C">
        <w:rPr>
          <w:rFonts w:eastAsia="Calibri"/>
          <w:i/>
          <w:szCs w:val="20"/>
          <w:lang w:eastAsia="en-US"/>
        </w:rPr>
        <w:t xml:space="preserve">пропозиції про внесення змін до </w:t>
      </w:r>
      <w:r w:rsidR="00316B0D" w:rsidRPr="00C7189C">
        <w:rPr>
          <w:i/>
          <w:color w:val="000000" w:themeColor="text1"/>
          <w:szCs w:val="20"/>
        </w:rPr>
        <w:t>Порядку</w:t>
      </w:r>
    </w:p>
    <w:p w:rsidR="00316B0D" w:rsidRPr="00C7189C" w:rsidRDefault="00316B0D" w:rsidP="000D6838">
      <w:pPr>
        <w:jc w:val="both"/>
        <w:rPr>
          <w:i/>
          <w:color w:val="000000" w:themeColor="text1"/>
          <w:szCs w:val="20"/>
        </w:rPr>
      </w:pPr>
      <w:r w:rsidRPr="00C7189C">
        <w:rPr>
          <w:i/>
          <w:color w:val="000000" w:themeColor="text1"/>
          <w:szCs w:val="20"/>
        </w:rPr>
        <w:t>сплати збору на обов'язкове державне пенсійне</w:t>
      </w:r>
    </w:p>
    <w:p w:rsidR="000D6838" w:rsidRPr="00C7189C" w:rsidRDefault="00316B0D" w:rsidP="000D6838">
      <w:pPr>
        <w:jc w:val="both"/>
        <w:rPr>
          <w:rFonts w:eastAsia="Calibri"/>
          <w:i/>
          <w:szCs w:val="20"/>
          <w:lang w:eastAsia="en-US"/>
        </w:rPr>
      </w:pPr>
      <w:r w:rsidRPr="00C7189C">
        <w:rPr>
          <w:i/>
          <w:color w:val="000000" w:themeColor="text1"/>
          <w:szCs w:val="20"/>
        </w:rPr>
        <w:t>страхування з окремих видів господарських операцій</w:t>
      </w:r>
      <w:r w:rsidRPr="00C7189C">
        <w:rPr>
          <w:rFonts w:eastAsia="Calibri"/>
          <w:i/>
          <w:szCs w:val="20"/>
          <w:lang w:eastAsia="en-US"/>
        </w:rPr>
        <w:t xml:space="preserve">  </w:t>
      </w:r>
    </w:p>
    <w:p w:rsidR="001E2372" w:rsidRPr="00C7189C" w:rsidRDefault="00291FDC" w:rsidP="000D6838">
      <w:pPr>
        <w:jc w:val="both"/>
        <w:rPr>
          <w:rFonts w:eastAsia="Calibri"/>
          <w:i/>
          <w:szCs w:val="20"/>
          <w:lang w:eastAsia="en-US"/>
        </w:rPr>
      </w:pPr>
      <w:r w:rsidRPr="00C7189C">
        <w:rPr>
          <w:rFonts w:eastAsia="Calibri"/>
          <w:i/>
          <w:szCs w:val="20"/>
          <w:lang w:eastAsia="en-US"/>
        </w:rPr>
        <w:t xml:space="preserve">у разі </w:t>
      </w:r>
      <w:r w:rsidR="00316B0D" w:rsidRPr="00C7189C">
        <w:rPr>
          <w:rFonts w:eastAsia="Calibri"/>
          <w:i/>
          <w:szCs w:val="20"/>
          <w:lang w:eastAsia="en-US"/>
        </w:rPr>
        <w:t>поверненн</w:t>
      </w:r>
      <w:r w:rsidRPr="00C7189C">
        <w:rPr>
          <w:rFonts w:eastAsia="Calibri"/>
          <w:i/>
          <w:szCs w:val="20"/>
          <w:lang w:eastAsia="en-US"/>
        </w:rPr>
        <w:t>я</w:t>
      </w:r>
      <w:r w:rsidR="00316B0D" w:rsidRPr="00C7189C">
        <w:rPr>
          <w:rFonts w:eastAsia="Calibri"/>
          <w:i/>
          <w:szCs w:val="20"/>
          <w:lang w:eastAsia="en-US"/>
        </w:rPr>
        <w:t xml:space="preserve"> оператором </w:t>
      </w:r>
      <w:r w:rsidR="001E2372" w:rsidRPr="00C7189C">
        <w:rPr>
          <w:rFonts w:eastAsia="Calibri"/>
          <w:i/>
          <w:szCs w:val="20"/>
          <w:lang w:eastAsia="en-US"/>
        </w:rPr>
        <w:t xml:space="preserve">рухомого зв’язку </w:t>
      </w:r>
    </w:p>
    <w:p w:rsidR="00316B0D" w:rsidRPr="00C7189C" w:rsidRDefault="00316B0D" w:rsidP="000D6838">
      <w:pPr>
        <w:jc w:val="both"/>
        <w:rPr>
          <w:rFonts w:eastAsia="Calibri"/>
          <w:i/>
          <w:szCs w:val="20"/>
          <w:lang w:eastAsia="en-US"/>
        </w:rPr>
      </w:pPr>
      <w:r w:rsidRPr="00C7189C">
        <w:rPr>
          <w:rFonts w:eastAsia="Calibri"/>
          <w:i/>
          <w:szCs w:val="20"/>
          <w:lang w:eastAsia="en-US"/>
        </w:rPr>
        <w:t xml:space="preserve">отриманих </w:t>
      </w:r>
      <w:r w:rsidR="001E2372" w:rsidRPr="00C7189C">
        <w:rPr>
          <w:rFonts w:eastAsia="Calibri"/>
          <w:i/>
          <w:szCs w:val="20"/>
          <w:lang w:eastAsia="en-US"/>
        </w:rPr>
        <w:t>аванс</w:t>
      </w:r>
      <w:r w:rsidRPr="00C7189C">
        <w:rPr>
          <w:rFonts w:eastAsia="Calibri"/>
          <w:i/>
          <w:szCs w:val="20"/>
          <w:lang w:eastAsia="en-US"/>
        </w:rPr>
        <w:t>ів абоненту</w:t>
      </w:r>
    </w:p>
    <w:p w:rsidR="00316B0D" w:rsidRPr="00CF1ED4" w:rsidRDefault="00316B0D" w:rsidP="00316B0D">
      <w:pPr>
        <w:ind w:left="5376" w:firstLine="720"/>
        <w:jc w:val="both"/>
        <w:rPr>
          <w:b/>
          <w:i/>
          <w:color w:val="000000" w:themeColor="text1"/>
        </w:rPr>
      </w:pPr>
      <w:r>
        <w:rPr>
          <w:b/>
        </w:rPr>
        <w:t xml:space="preserve"> </w:t>
      </w:r>
    </w:p>
    <w:p w:rsidR="00316B0D" w:rsidRPr="0067204B" w:rsidRDefault="00316B0D" w:rsidP="00316B0D">
      <w:pPr>
        <w:spacing w:before="120"/>
        <w:ind w:left="3600"/>
        <w:jc w:val="both"/>
        <w:rPr>
          <w:b/>
          <w:color w:val="000000" w:themeColor="text1"/>
          <w:lang w:val="ru-RU"/>
        </w:rPr>
      </w:pPr>
      <w:r w:rsidRPr="00C7189C">
        <w:rPr>
          <w:b/>
          <w:color w:val="000000" w:themeColor="text1"/>
        </w:rPr>
        <w:t>Шановний Миколо Івановичу!</w:t>
      </w:r>
    </w:p>
    <w:p w:rsidR="00C7189C" w:rsidRPr="0067204B" w:rsidRDefault="00C7189C" w:rsidP="00316B0D">
      <w:pPr>
        <w:spacing w:before="120"/>
        <w:ind w:left="3600"/>
        <w:jc w:val="both"/>
        <w:rPr>
          <w:i/>
          <w:color w:val="000000" w:themeColor="text1"/>
          <w:lang w:val="ru-RU"/>
        </w:rPr>
      </w:pPr>
    </w:p>
    <w:p w:rsidR="00C80F13" w:rsidRDefault="00C80F13" w:rsidP="00C80F13">
      <w:pPr>
        <w:spacing w:before="120" w:after="120"/>
        <w:ind w:firstLine="709"/>
        <w:jc w:val="both"/>
        <w:rPr>
          <w:color w:val="000000" w:themeColor="text1"/>
        </w:rPr>
      </w:pPr>
      <w:r w:rsidRPr="00F02138">
        <w:t xml:space="preserve">Від імені Ради директорів Американської торгівельної палати в Україні (надалі – Палата) та компаній–членів засвідчуємо Вам свою глибоку повагу та </w:t>
      </w:r>
      <w:r w:rsidRPr="00C80F13">
        <w:t>висловлює</w:t>
      </w:r>
      <w:r>
        <w:t>мо</w:t>
      </w:r>
      <w:r w:rsidRPr="00C80F13">
        <w:t xml:space="preserve"> вдячність за проведену зустріч</w:t>
      </w:r>
      <w:r w:rsidR="00145353">
        <w:t xml:space="preserve"> 18 жовтня 2016 року в приміщенні Палати</w:t>
      </w:r>
      <w:r w:rsidRPr="00C80F13">
        <w:t xml:space="preserve">, </w:t>
      </w:r>
      <w:r w:rsidR="00145353">
        <w:t>і</w:t>
      </w:r>
      <w:r>
        <w:t>,</w:t>
      </w:r>
      <w:r w:rsidRPr="00C80F13">
        <w:t xml:space="preserve"> за результатами досягнутих домовленостей</w:t>
      </w:r>
      <w:r>
        <w:t>,</w:t>
      </w:r>
      <w:r w:rsidRPr="00C80F13">
        <w:t xml:space="preserve"> </w:t>
      </w:r>
      <w:r>
        <w:t xml:space="preserve">звертаємось з наступним </w:t>
      </w:r>
      <w:r w:rsidRPr="00C80F13">
        <w:t>питання</w:t>
      </w:r>
      <w:r>
        <w:t>м</w:t>
      </w:r>
      <w:r w:rsidRPr="00C80F13">
        <w:t>.</w:t>
      </w:r>
      <w:r w:rsidR="00316B0D" w:rsidRPr="00CF1ED4">
        <w:rPr>
          <w:color w:val="000000" w:themeColor="text1"/>
        </w:rPr>
        <w:tab/>
      </w:r>
    </w:p>
    <w:p w:rsidR="00316B0D" w:rsidRPr="0022024C" w:rsidRDefault="00316B0D" w:rsidP="00C80F13">
      <w:pPr>
        <w:spacing w:before="12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Оператори мобільного зв’язку вже </w:t>
      </w:r>
      <w:r w:rsidRPr="0022024C">
        <w:rPr>
          <w:color w:val="000000" w:themeColor="text1"/>
        </w:rPr>
        <w:t>неодноразово зверта</w:t>
      </w:r>
      <w:r>
        <w:rPr>
          <w:color w:val="000000" w:themeColor="text1"/>
        </w:rPr>
        <w:t>ли</w:t>
      </w:r>
      <w:r w:rsidRPr="0022024C">
        <w:rPr>
          <w:color w:val="000000" w:themeColor="text1"/>
        </w:rPr>
        <w:t>ся до Пенсійного фонду України з наступною проблемою</w:t>
      </w:r>
      <w:r>
        <w:rPr>
          <w:color w:val="000000" w:themeColor="text1"/>
        </w:rPr>
        <w:t>, яка потребує вирішення шляхом ініціювання внесення змін до законодавства</w:t>
      </w:r>
      <w:r w:rsidR="009C11E4">
        <w:rPr>
          <w:color w:val="000000" w:themeColor="text1"/>
        </w:rPr>
        <w:t xml:space="preserve"> України</w:t>
      </w:r>
      <w:r>
        <w:rPr>
          <w:color w:val="000000" w:themeColor="text1"/>
        </w:rPr>
        <w:t>.</w:t>
      </w:r>
    </w:p>
    <w:p w:rsidR="00316B0D" w:rsidRDefault="00316B0D" w:rsidP="00316B0D">
      <w:pPr>
        <w:spacing w:before="120"/>
        <w:jc w:val="both"/>
        <w:rPr>
          <w:color w:val="000000" w:themeColor="text1"/>
        </w:rPr>
      </w:pPr>
      <w:r w:rsidRPr="0022024C">
        <w:rPr>
          <w:color w:val="000000" w:themeColor="text1"/>
        </w:rPr>
        <w:tab/>
        <w:t xml:space="preserve">Всі абоненти при поповненні мобільного рахунку </w:t>
      </w:r>
      <w:r>
        <w:rPr>
          <w:bCs/>
          <w:color w:val="000000" w:themeColor="text1"/>
          <w:lang w:eastAsia="ru-RU"/>
        </w:rPr>
        <w:t>у</w:t>
      </w:r>
      <w:r w:rsidRPr="0022024C">
        <w:rPr>
          <w:bCs/>
          <w:color w:val="000000" w:themeColor="text1"/>
          <w:lang w:eastAsia="ru-RU"/>
        </w:rPr>
        <w:t xml:space="preserve"> вартості </w:t>
      </w:r>
      <w:r>
        <w:rPr>
          <w:bCs/>
          <w:color w:val="000000" w:themeColor="text1"/>
        </w:rPr>
        <w:t xml:space="preserve">такого поповнення </w:t>
      </w:r>
      <w:r w:rsidRPr="0022024C">
        <w:rPr>
          <w:bCs/>
          <w:color w:val="000000" w:themeColor="text1"/>
        </w:rPr>
        <w:t>сплачують</w:t>
      </w:r>
      <w:r w:rsidRPr="0022024C">
        <w:rPr>
          <w:color w:val="000000" w:themeColor="text1"/>
        </w:rPr>
        <w:t xml:space="preserve"> оператору</w:t>
      </w:r>
      <w:r>
        <w:rPr>
          <w:color w:val="000000" w:themeColor="text1"/>
        </w:rPr>
        <w:t xml:space="preserve"> мобільного зв</w:t>
      </w:r>
      <w:r w:rsidRPr="00DE527F">
        <w:rPr>
          <w:color w:val="000000" w:themeColor="text1"/>
        </w:rPr>
        <w:t>`язку</w:t>
      </w:r>
      <w:r w:rsidRPr="0022024C">
        <w:rPr>
          <w:color w:val="000000" w:themeColor="text1"/>
        </w:rPr>
        <w:t xml:space="preserve"> </w:t>
      </w:r>
      <w:r w:rsidRPr="0022024C">
        <w:rPr>
          <w:bCs/>
          <w:color w:val="000000" w:themeColor="text1"/>
        </w:rPr>
        <w:t>7,5% збору</w:t>
      </w:r>
      <w:r w:rsidRPr="0022024C">
        <w:rPr>
          <w:color w:val="000000" w:themeColor="text1"/>
        </w:rPr>
        <w:t xml:space="preserve"> </w:t>
      </w:r>
      <w:r w:rsidRPr="0022024C">
        <w:rPr>
          <w:color w:val="000000" w:themeColor="text1"/>
          <w:lang w:eastAsia="ru-RU"/>
        </w:rPr>
        <w:t>на обов'язкове державне пенсійне страхування</w:t>
      </w:r>
      <w:r w:rsidRPr="0022024C">
        <w:rPr>
          <w:color w:val="000000" w:themeColor="text1"/>
        </w:rPr>
        <w:t xml:space="preserve"> </w:t>
      </w:r>
      <w:r>
        <w:rPr>
          <w:color w:val="000000" w:themeColor="text1"/>
        </w:rPr>
        <w:t>(Закон</w:t>
      </w:r>
      <w:r w:rsidRPr="0022024C">
        <w:rPr>
          <w:color w:val="000000" w:themeColor="text1"/>
        </w:rPr>
        <w:t xml:space="preserve"> України </w:t>
      </w:r>
      <w:r w:rsidRPr="0022024C">
        <w:rPr>
          <w:color w:val="000000" w:themeColor="text1"/>
          <w:lang w:eastAsia="ru-RU"/>
        </w:rPr>
        <w:t xml:space="preserve">«Про збір на обов'язкове державне пенсійне страхування» </w:t>
      </w:r>
      <w:r w:rsidRPr="0022024C">
        <w:rPr>
          <w:color w:val="000000" w:themeColor="text1"/>
        </w:rPr>
        <w:t>від 26.06.</w:t>
      </w:r>
      <w:r w:rsidR="0067204B" w:rsidRPr="0067204B">
        <w:rPr>
          <w:color w:val="000000" w:themeColor="text1"/>
        </w:rPr>
        <w:t>19</w:t>
      </w:r>
      <w:r w:rsidRPr="0022024C">
        <w:rPr>
          <w:color w:val="000000" w:themeColor="text1"/>
        </w:rPr>
        <w:t>97</w:t>
      </w:r>
      <w:r w:rsidR="0067204B" w:rsidRPr="0067204B">
        <w:rPr>
          <w:color w:val="000000" w:themeColor="text1"/>
        </w:rPr>
        <w:t xml:space="preserve"> </w:t>
      </w:r>
      <w:r w:rsidRPr="0022024C">
        <w:rPr>
          <w:color w:val="000000" w:themeColor="text1"/>
        </w:rPr>
        <w:t>р. №</w:t>
      </w:r>
      <w:r>
        <w:rPr>
          <w:color w:val="000000" w:themeColor="text1"/>
        </w:rPr>
        <w:t xml:space="preserve"> </w:t>
      </w:r>
      <w:r w:rsidRPr="0022024C">
        <w:rPr>
          <w:color w:val="000000" w:themeColor="text1"/>
        </w:rPr>
        <w:t>400/97-ВР (далі – Закон №400/97).</w:t>
      </w:r>
      <w:r>
        <w:rPr>
          <w:color w:val="000000" w:themeColor="text1"/>
        </w:rPr>
        <w:t xml:space="preserve"> І </w:t>
      </w:r>
      <w:r w:rsidRPr="0022024C">
        <w:rPr>
          <w:color w:val="000000" w:themeColor="text1"/>
        </w:rPr>
        <w:t>платниками пенсійного збору згідно з п.10 ст.1 Закону № 400/97 є абоненти.</w:t>
      </w:r>
    </w:p>
    <w:p w:rsidR="00316B0D" w:rsidRPr="0022024C" w:rsidRDefault="00316B0D" w:rsidP="00316B0D">
      <w:pPr>
        <w:spacing w:before="120"/>
        <w:jc w:val="both"/>
        <w:rPr>
          <w:color w:val="000000" w:themeColor="text1"/>
        </w:rPr>
      </w:pPr>
      <w:r w:rsidRPr="0022024C">
        <w:rPr>
          <w:color w:val="000000" w:themeColor="text1"/>
        </w:rPr>
        <w:tab/>
      </w:r>
      <w:r>
        <w:rPr>
          <w:color w:val="000000" w:themeColor="text1"/>
        </w:rPr>
        <w:t>З</w:t>
      </w:r>
      <w:r w:rsidRPr="0022024C">
        <w:rPr>
          <w:color w:val="000000" w:themeColor="text1"/>
          <w:lang w:val="ru-RU"/>
        </w:rPr>
        <w:t>г</w:t>
      </w:r>
      <w:proofErr w:type="spellStart"/>
      <w:r w:rsidRPr="0022024C">
        <w:rPr>
          <w:color w:val="000000" w:themeColor="text1"/>
        </w:rPr>
        <w:t>ідно</w:t>
      </w:r>
      <w:proofErr w:type="spellEnd"/>
      <w:r w:rsidRPr="0022024C">
        <w:rPr>
          <w:color w:val="000000" w:themeColor="text1"/>
        </w:rPr>
        <w:t xml:space="preserve"> </w:t>
      </w:r>
      <w:r w:rsidRPr="0022024C">
        <w:rPr>
          <w:bCs/>
          <w:color w:val="000000" w:themeColor="text1"/>
        </w:rPr>
        <w:t xml:space="preserve">Порядку сплати збору на обов'язкове державне пенсійне страхування з окремих видів господарських операцій, </w:t>
      </w:r>
      <w:r w:rsidRPr="0022024C">
        <w:rPr>
          <w:color w:val="000000" w:themeColor="text1"/>
        </w:rPr>
        <w:t xml:space="preserve">затвердженою </w:t>
      </w:r>
      <w:r w:rsidR="00291FDC">
        <w:rPr>
          <w:color w:val="000000" w:themeColor="text1"/>
        </w:rPr>
        <w:t>п</w:t>
      </w:r>
      <w:r w:rsidRPr="0022024C">
        <w:rPr>
          <w:color w:val="000000" w:themeColor="text1"/>
        </w:rPr>
        <w:t xml:space="preserve">остановою </w:t>
      </w:r>
      <w:r w:rsidR="00291FDC">
        <w:rPr>
          <w:color w:val="000000" w:themeColor="text1"/>
        </w:rPr>
        <w:t>КМУ</w:t>
      </w:r>
      <w:r w:rsidRPr="0022024C">
        <w:rPr>
          <w:color w:val="000000" w:themeColor="text1"/>
        </w:rPr>
        <w:t>  від  03.11.</w:t>
      </w:r>
      <w:r w:rsidR="008D694E">
        <w:rPr>
          <w:color w:val="000000" w:themeColor="text1"/>
        </w:rPr>
        <w:t>19</w:t>
      </w:r>
      <w:r w:rsidRPr="0022024C">
        <w:rPr>
          <w:color w:val="000000" w:themeColor="text1"/>
        </w:rPr>
        <w:t>98</w:t>
      </w:r>
      <w:r w:rsidR="00291FDC">
        <w:rPr>
          <w:color w:val="000000" w:themeColor="text1"/>
        </w:rPr>
        <w:t xml:space="preserve"> </w:t>
      </w:r>
      <w:r w:rsidRPr="0022024C">
        <w:rPr>
          <w:color w:val="000000" w:themeColor="text1"/>
        </w:rPr>
        <w:t xml:space="preserve">р. №1740 (далі </w:t>
      </w:r>
      <w:r w:rsidRPr="0022024C">
        <w:rPr>
          <w:bCs/>
          <w:color w:val="000000" w:themeColor="text1"/>
        </w:rPr>
        <w:t>– Порядок №1740)</w:t>
      </w:r>
      <w:r>
        <w:rPr>
          <w:bCs/>
          <w:color w:val="000000" w:themeColor="text1"/>
        </w:rPr>
        <w:t xml:space="preserve"> оператори повинні перераховувати пенсійний збір</w:t>
      </w:r>
      <w:r w:rsidRPr="0022024C">
        <w:rPr>
          <w:bCs/>
          <w:color w:val="000000" w:themeColor="text1"/>
        </w:rPr>
        <w:t xml:space="preserve"> до державного бюджету не пізніше наступного робочого дня</w:t>
      </w:r>
      <w:r>
        <w:rPr>
          <w:bCs/>
          <w:color w:val="000000" w:themeColor="text1"/>
        </w:rPr>
        <w:t xml:space="preserve"> з дати надходження коштів від абонентів.</w:t>
      </w:r>
    </w:p>
    <w:p w:rsidR="00316B0D" w:rsidRDefault="00316B0D" w:rsidP="00316B0D">
      <w:pPr>
        <w:tabs>
          <w:tab w:val="left" w:pos="1153"/>
        </w:tabs>
        <w:spacing w:before="120"/>
        <w:ind w:firstLine="709"/>
        <w:jc w:val="both"/>
        <w:rPr>
          <w:color w:val="000000" w:themeColor="text1"/>
        </w:rPr>
      </w:pPr>
      <w:r w:rsidRPr="0022024C">
        <w:rPr>
          <w:color w:val="000000" w:themeColor="text1"/>
        </w:rPr>
        <w:t xml:space="preserve">Таким чином, платниками збору є </w:t>
      </w:r>
      <w:r>
        <w:rPr>
          <w:color w:val="000000" w:themeColor="text1"/>
        </w:rPr>
        <w:t>абоненти</w:t>
      </w:r>
      <w:r w:rsidRPr="0022024C">
        <w:rPr>
          <w:color w:val="000000" w:themeColor="text1"/>
        </w:rPr>
        <w:t xml:space="preserve">, але всі розрахунки з бюджетом зі сплати збору ведуть оператори стільникового рухомого зв'язку. </w:t>
      </w:r>
    </w:p>
    <w:p w:rsidR="00316B0D" w:rsidRDefault="00316B0D" w:rsidP="00316B0D">
      <w:pPr>
        <w:spacing w:before="120"/>
        <w:ind w:firstLine="708"/>
        <w:jc w:val="both"/>
        <w:rPr>
          <w:color w:val="000000" w:themeColor="text1"/>
        </w:rPr>
      </w:pPr>
      <w:r w:rsidRPr="001A0F3C">
        <w:rPr>
          <w:color w:val="000000" w:themeColor="text1"/>
        </w:rPr>
        <w:t>На практиці виникають ситуації, коли абонент відмовляється від послуг стільникового рухомого зв</w:t>
      </w:r>
      <w:r w:rsidRPr="00DE527F">
        <w:rPr>
          <w:color w:val="000000" w:themeColor="text1"/>
          <w:lang w:val="ru-RU"/>
        </w:rPr>
        <w:t>`</w:t>
      </w:r>
      <w:proofErr w:type="spellStart"/>
      <w:r w:rsidRPr="001A0F3C">
        <w:rPr>
          <w:color w:val="000000" w:themeColor="text1"/>
          <w:lang w:val="ru-RU"/>
        </w:rPr>
        <w:t>язку</w:t>
      </w:r>
      <w:proofErr w:type="spellEnd"/>
      <w:r w:rsidRPr="001A0F3C">
        <w:rPr>
          <w:color w:val="000000" w:themeColor="text1"/>
          <w:lang w:val="ru-RU"/>
        </w:rPr>
        <w:t xml:space="preserve"> оператора.</w:t>
      </w:r>
      <w:r>
        <w:rPr>
          <w:color w:val="000000" w:themeColor="text1"/>
          <w:lang w:val="ru-RU"/>
        </w:rPr>
        <w:t xml:space="preserve"> </w:t>
      </w:r>
      <w:r w:rsidRPr="00DE527F">
        <w:rPr>
          <w:color w:val="000000" w:themeColor="text1"/>
        </w:rPr>
        <w:t>Таке право абонента зак</w:t>
      </w:r>
      <w:r>
        <w:rPr>
          <w:color w:val="000000" w:themeColor="text1"/>
        </w:rPr>
        <w:t>ріплено на законодавчому рівні (ст. 10 Закону України «Про захист прав споживачів»).</w:t>
      </w:r>
    </w:p>
    <w:p w:rsidR="00316B0D" w:rsidRPr="00A3772E" w:rsidRDefault="002C4C9A" w:rsidP="00316B0D">
      <w:pPr>
        <w:spacing w:before="12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У</w:t>
      </w:r>
      <w:r w:rsidR="00316B0D">
        <w:rPr>
          <w:color w:val="000000" w:themeColor="text1"/>
        </w:rPr>
        <w:t xml:space="preserve"> такому разі </w:t>
      </w:r>
      <w:r w:rsidR="00316B0D" w:rsidRPr="00A3772E">
        <w:rPr>
          <w:color w:val="000000" w:themeColor="text1"/>
        </w:rPr>
        <w:t xml:space="preserve">оператор зобов’язаний </w:t>
      </w:r>
      <w:r w:rsidR="00316B0D" w:rsidRPr="00A3772E">
        <w:rPr>
          <w:b/>
          <w:color w:val="000000" w:themeColor="text1"/>
          <w:u w:val="single"/>
        </w:rPr>
        <w:t>повернути споживачеві на його вимогу частку невикористаних коштів</w:t>
      </w:r>
      <w:r w:rsidR="00316B0D" w:rsidRPr="00A3772E">
        <w:rPr>
          <w:color w:val="000000" w:themeColor="text1"/>
        </w:rPr>
        <w:t xml:space="preserve"> (п. 10 ч.1 ст. 32 Закону України «Про телекомунікації» від 18.11.2003</w:t>
      </w:r>
      <w:r w:rsidR="00F75FF3" w:rsidRPr="00F75FF3">
        <w:rPr>
          <w:color w:val="000000" w:themeColor="text1"/>
          <w:lang w:val="ru-RU"/>
        </w:rPr>
        <w:t xml:space="preserve"> </w:t>
      </w:r>
      <w:r w:rsidR="00316B0D" w:rsidRPr="00A3772E">
        <w:rPr>
          <w:color w:val="000000" w:themeColor="text1"/>
        </w:rPr>
        <w:t xml:space="preserve">р. №1280-IV та п. 21 п. 39 Правила надання та отримання телекомунікаційних послуг, </w:t>
      </w:r>
      <w:r w:rsidR="00316B0D" w:rsidRPr="00A3772E">
        <w:rPr>
          <w:color w:val="000000" w:themeColor="text1"/>
        </w:rPr>
        <w:lastRenderedPageBreak/>
        <w:t xml:space="preserve">затверджених </w:t>
      </w:r>
      <w:r w:rsidR="00291FDC">
        <w:rPr>
          <w:color w:val="000000" w:themeColor="text1"/>
        </w:rPr>
        <w:t>п</w:t>
      </w:r>
      <w:r w:rsidR="00316B0D" w:rsidRPr="00A3772E">
        <w:rPr>
          <w:color w:val="000000" w:themeColor="text1"/>
        </w:rPr>
        <w:t xml:space="preserve">остановою </w:t>
      </w:r>
      <w:r w:rsidR="00291FDC">
        <w:rPr>
          <w:color w:val="000000" w:themeColor="text1"/>
        </w:rPr>
        <w:t>КМУ</w:t>
      </w:r>
      <w:r w:rsidR="00316B0D" w:rsidRPr="00A3772E">
        <w:rPr>
          <w:color w:val="000000" w:themeColor="text1"/>
        </w:rPr>
        <w:t xml:space="preserve"> від 11.04.2012р. №295).</w:t>
      </w:r>
      <w:r w:rsidR="00316B0D" w:rsidRPr="00A3772E">
        <w:rPr>
          <w:b/>
          <w:color w:val="000000" w:themeColor="text1"/>
        </w:rPr>
        <w:t xml:space="preserve"> </w:t>
      </w:r>
      <w:r w:rsidR="00316B0D" w:rsidRPr="00A3772E">
        <w:rPr>
          <w:color w:val="000000" w:themeColor="text1"/>
        </w:rPr>
        <w:t>Відповідні правила законодавства внесені і до внутрішніх Правил надання та отримання телекомунікаційних послуг оператора.</w:t>
      </w:r>
    </w:p>
    <w:p w:rsidR="00316B0D" w:rsidRPr="001A0F3C" w:rsidRDefault="00316B0D" w:rsidP="00316B0D">
      <w:pPr>
        <w:spacing w:before="120"/>
        <w:ind w:firstLine="720"/>
        <w:jc w:val="both"/>
        <w:rPr>
          <w:color w:val="000000" w:themeColor="text1"/>
        </w:rPr>
      </w:pPr>
      <w:r w:rsidRPr="00CF1ED4">
        <w:rPr>
          <w:color w:val="000000" w:themeColor="text1"/>
        </w:rPr>
        <w:t>Абзац 3 ч.3 ст.15 Закону України «Про захист прав споживачів» від 12.05.</w:t>
      </w:r>
      <w:r w:rsidR="00F75FF3" w:rsidRPr="00F75FF3">
        <w:rPr>
          <w:color w:val="000000" w:themeColor="text1"/>
        </w:rPr>
        <w:t>19</w:t>
      </w:r>
      <w:r w:rsidRPr="00CF1ED4">
        <w:rPr>
          <w:color w:val="000000" w:themeColor="text1"/>
        </w:rPr>
        <w:t>91</w:t>
      </w:r>
      <w:r w:rsidR="00F75FF3" w:rsidRPr="00F75FF3">
        <w:rPr>
          <w:color w:val="000000" w:themeColor="text1"/>
        </w:rPr>
        <w:t xml:space="preserve"> </w:t>
      </w:r>
      <w:r w:rsidRPr="00CF1ED4">
        <w:rPr>
          <w:color w:val="000000" w:themeColor="text1"/>
        </w:rPr>
        <w:t>р. №1023-XII передбачає, що «</w:t>
      </w:r>
      <w:r w:rsidRPr="00CF1ED4">
        <w:rPr>
          <w:b/>
          <w:color w:val="000000" w:themeColor="text1"/>
        </w:rPr>
        <w:t>ціна продукції повинна включати в себе всі податки та неподаткові обов'язкові платежі, які відповідно до законодавства сплачуються споживачем</w:t>
      </w:r>
      <w:r w:rsidRPr="00CF1ED4">
        <w:rPr>
          <w:color w:val="000000" w:themeColor="text1"/>
        </w:rPr>
        <w:t xml:space="preserve"> під час придбання відповідної продукції».</w:t>
      </w:r>
      <w:r>
        <w:rPr>
          <w:color w:val="000000" w:themeColor="text1"/>
        </w:rPr>
        <w:t xml:space="preserve"> </w:t>
      </w:r>
      <w:r w:rsidRPr="001A0F3C">
        <w:rPr>
          <w:color w:val="000000" w:themeColor="text1"/>
        </w:rPr>
        <w:t xml:space="preserve">Таким чином, </w:t>
      </w:r>
      <w:r w:rsidRPr="001A0F3C">
        <w:rPr>
          <w:b/>
          <w:color w:val="000000" w:themeColor="text1"/>
        </w:rPr>
        <w:t>оператор телекомунікацій зобов’язаний</w:t>
      </w:r>
      <w:r w:rsidRPr="001A0F3C">
        <w:rPr>
          <w:color w:val="000000" w:themeColor="text1"/>
        </w:rPr>
        <w:t xml:space="preserve"> у разі відмови споживача від </w:t>
      </w:r>
      <w:r>
        <w:rPr>
          <w:b/>
          <w:color w:val="000000" w:themeColor="text1"/>
          <w:u w:val="single"/>
        </w:rPr>
        <w:t>попередньо оплачених послуг</w:t>
      </w:r>
      <w:r w:rsidRPr="00291FDC">
        <w:rPr>
          <w:b/>
          <w:color w:val="000000" w:themeColor="text1"/>
        </w:rPr>
        <w:t xml:space="preserve">, </w:t>
      </w:r>
      <w:r w:rsidRPr="001A0F3C">
        <w:rPr>
          <w:b/>
          <w:color w:val="000000" w:themeColor="text1"/>
        </w:rPr>
        <w:t>повернути споживачу невикористані кошти</w:t>
      </w:r>
      <w:r w:rsidRPr="001A0F3C">
        <w:rPr>
          <w:color w:val="000000" w:themeColor="text1"/>
        </w:rPr>
        <w:t xml:space="preserve">, в повній сплаченій споживачем сумі, тобто </w:t>
      </w:r>
      <w:r w:rsidRPr="001A0F3C">
        <w:rPr>
          <w:b/>
          <w:color w:val="000000" w:themeColor="text1"/>
        </w:rPr>
        <w:t xml:space="preserve">з урахуванням ПДВ та </w:t>
      </w:r>
      <w:r w:rsidRPr="001A0F3C">
        <w:rPr>
          <w:b/>
          <w:color w:val="000000" w:themeColor="text1"/>
          <w:u w:val="single"/>
        </w:rPr>
        <w:t>пенсійного збору</w:t>
      </w:r>
      <w:r w:rsidRPr="001A0F3C">
        <w:rPr>
          <w:color w:val="000000" w:themeColor="text1"/>
        </w:rPr>
        <w:t>.</w:t>
      </w:r>
    </w:p>
    <w:p w:rsidR="00316B0D" w:rsidRPr="0083487A" w:rsidRDefault="00316B0D" w:rsidP="00316B0D">
      <w:pPr>
        <w:spacing w:before="120"/>
        <w:jc w:val="both"/>
        <w:rPr>
          <w:color w:val="000000" w:themeColor="text1"/>
        </w:rPr>
      </w:pPr>
      <w:r w:rsidRPr="001A0F3C">
        <w:rPr>
          <w:color w:val="000000" w:themeColor="text1"/>
        </w:rPr>
        <w:tab/>
      </w:r>
      <w:r w:rsidRPr="0083487A">
        <w:rPr>
          <w:color w:val="000000" w:themeColor="text1"/>
        </w:rPr>
        <w:t>Разом з тим,  чинне законодавство (</w:t>
      </w:r>
      <w:r w:rsidRPr="0083487A">
        <w:rPr>
          <w:b/>
          <w:bCs/>
          <w:color w:val="000000" w:themeColor="text1"/>
        </w:rPr>
        <w:t xml:space="preserve">Порядок №1740) </w:t>
      </w:r>
      <w:r w:rsidRPr="0083487A">
        <w:rPr>
          <w:color w:val="000000" w:themeColor="text1"/>
        </w:rPr>
        <w:t xml:space="preserve">не передбачає зменшення (коригування) платежів </w:t>
      </w:r>
      <w:r>
        <w:rPr>
          <w:color w:val="000000" w:themeColor="text1"/>
        </w:rPr>
        <w:t xml:space="preserve">до </w:t>
      </w:r>
      <w:r w:rsidRPr="0083487A">
        <w:rPr>
          <w:color w:val="000000" w:themeColor="text1"/>
        </w:rPr>
        <w:t>ПФ при поверненні оператором авансу абоненту.</w:t>
      </w:r>
    </w:p>
    <w:p w:rsidR="00316B0D" w:rsidRPr="00EE2D11" w:rsidRDefault="00316B0D" w:rsidP="00316B0D">
      <w:pPr>
        <w:tabs>
          <w:tab w:val="left" w:pos="1153"/>
        </w:tabs>
        <w:spacing w:before="120"/>
        <w:ind w:firstLine="709"/>
        <w:jc w:val="both"/>
        <w:rPr>
          <w:color w:val="000000" w:themeColor="text1"/>
        </w:rPr>
      </w:pPr>
      <w:r w:rsidRPr="00EE2D11">
        <w:rPr>
          <w:color w:val="000000" w:themeColor="text1"/>
        </w:rPr>
        <w:t>Ця проблема вже на розгляді у Кабінеті Міністрів України. КМУ своїм розпорядженням 23.08.2016р. № 615-р, схвалив План заходів щодо дерегуляції господарської діяльності та п. 78 передбачив виправлення ситуації, що склалась.</w:t>
      </w:r>
    </w:p>
    <w:p w:rsidR="00316B0D" w:rsidRPr="00EE2D11" w:rsidRDefault="00316B0D" w:rsidP="00316B0D">
      <w:pPr>
        <w:tabs>
          <w:tab w:val="left" w:pos="1153"/>
        </w:tabs>
        <w:spacing w:before="120"/>
        <w:ind w:firstLine="709"/>
        <w:jc w:val="both"/>
        <w:rPr>
          <w:color w:val="000000" w:themeColor="text1"/>
        </w:rPr>
      </w:pPr>
      <w:r w:rsidRPr="00EE2D11">
        <w:rPr>
          <w:color w:val="000000" w:themeColor="text1"/>
        </w:rPr>
        <w:t>На виконання зазначеного Розпорядження КМУ, враховуючи нагальну необхідніст</w:t>
      </w:r>
      <w:r w:rsidR="00291FDC">
        <w:rPr>
          <w:color w:val="000000" w:themeColor="text1"/>
        </w:rPr>
        <w:t xml:space="preserve">ь визначення дієвого механізму </w:t>
      </w:r>
      <w:r w:rsidRPr="00EE2D11">
        <w:rPr>
          <w:color w:val="000000" w:themeColor="text1"/>
        </w:rPr>
        <w:t xml:space="preserve">повернення надмірно сплачених сум 7,5% збору до ПФ при поверненні сум авансу, вважаємо, що необхідно вжити дієві заходи щодо внесення змін до законодавства, а саме до </w:t>
      </w:r>
      <w:r w:rsidRPr="00EE2D11">
        <w:rPr>
          <w:b/>
          <w:color w:val="000000" w:themeColor="text1"/>
        </w:rPr>
        <w:t>Порядку №1740.</w:t>
      </w:r>
    </w:p>
    <w:p w:rsidR="00316B0D" w:rsidRPr="00EE2D11" w:rsidRDefault="00316B0D" w:rsidP="00316B0D">
      <w:pPr>
        <w:tabs>
          <w:tab w:val="left" w:pos="1153"/>
        </w:tabs>
        <w:spacing w:before="120"/>
        <w:ind w:firstLine="709"/>
        <w:jc w:val="both"/>
        <w:rPr>
          <w:color w:val="000000" w:themeColor="text1"/>
        </w:rPr>
      </w:pPr>
      <w:r w:rsidRPr="00EE2D11">
        <w:rPr>
          <w:color w:val="000000" w:themeColor="text1"/>
        </w:rPr>
        <w:t xml:space="preserve">Оскільки </w:t>
      </w:r>
      <w:r w:rsidRPr="00EE2D11">
        <w:rPr>
          <w:b/>
          <w:color w:val="000000" w:themeColor="text1"/>
        </w:rPr>
        <w:t>оператори перераховують в бюджет 7,5% збору</w:t>
      </w:r>
      <w:r w:rsidRPr="00EE2D11">
        <w:rPr>
          <w:color w:val="000000" w:themeColor="text1"/>
        </w:rPr>
        <w:t xml:space="preserve">, то логічним та юридично обґрунтованим слід визнати </w:t>
      </w:r>
      <w:r w:rsidRPr="00EE2D11">
        <w:rPr>
          <w:b/>
          <w:color w:val="000000" w:themeColor="text1"/>
        </w:rPr>
        <w:t>повернення користувачам</w:t>
      </w:r>
      <w:r w:rsidRPr="00EE2D11">
        <w:rPr>
          <w:color w:val="000000" w:themeColor="text1"/>
        </w:rPr>
        <w:t xml:space="preserve">  послуг стільникового рухомого зв'язку </w:t>
      </w:r>
      <w:r w:rsidRPr="00EE2D11">
        <w:rPr>
          <w:color w:val="000000" w:themeColor="text1"/>
          <w:u w:val="single"/>
        </w:rPr>
        <w:t>невикористаної суми авансу разом з сплаченими сумами пенсійного збору</w:t>
      </w:r>
      <w:r w:rsidRPr="00EE2D11">
        <w:rPr>
          <w:color w:val="000000" w:themeColor="text1"/>
        </w:rPr>
        <w:t xml:space="preserve"> </w:t>
      </w:r>
      <w:r w:rsidRPr="00EE2D11">
        <w:rPr>
          <w:b/>
          <w:color w:val="000000" w:themeColor="text1"/>
          <w:u w:val="single"/>
        </w:rPr>
        <w:t xml:space="preserve">через операторів цих послуг </w:t>
      </w:r>
      <w:r w:rsidRPr="00EE2D11">
        <w:rPr>
          <w:color w:val="000000" w:themeColor="text1"/>
        </w:rPr>
        <w:t>без прямої взаємодії абонентів з Пенсійним фондом України, Державною казначейською службою та інш</w:t>
      </w:r>
      <w:r w:rsidR="000B5925">
        <w:rPr>
          <w:color w:val="000000" w:themeColor="text1"/>
        </w:rPr>
        <w:t>ими державними органами України.</w:t>
      </w:r>
    </w:p>
    <w:p w:rsidR="00316B0D" w:rsidRDefault="00316B0D" w:rsidP="000B5925">
      <w:pPr>
        <w:spacing w:before="120"/>
        <w:ind w:firstLine="709"/>
        <w:jc w:val="both"/>
        <w:rPr>
          <w:color w:val="000000" w:themeColor="text1"/>
        </w:rPr>
      </w:pPr>
      <w:r w:rsidRPr="00EE2D11">
        <w:rPr>
          <w:color w:val="000000" w:themeColor="text1"/>
        </w:rPr>
        <w:t>Пропонуємо розглянути та опрацювати разом з суб’єктами ринку телекомуніка</w:t>
      </w:r>
      <w:bookmarkStart w:id="0" w:name="_GoBack"/>
      <w:bookmarkEnd w:id="0"/>
      <w:r w:rsidRPr="00EE2D11">
        <w:rPr>
          <w:color w:val="000000" w:themeColor="text1"/>
        </w:rPr>
        <w:t xml:space="preserve">цій, </w:t>
      </w:r>
      <w:r w:rsidR="00F75FF3">
        <w:rPr>
          <w:color w:val="000000" w:themeColor="text1"/>
        </w:rPr>
        <w:t>компаніями-</w:t>
      </w:r>
      <w:r w:rsidRPr="00EE2D11">
        <w:rPr>
          <w:color w:val="000000" w:themeColor="text1"/>
        </w:rPr>
        <w:t xml:space="preserve">членами </w:t>
      </w:r>
      <w:r w:rsidR="00F75FF3">
        <w:rPr>
          <w:color w:val="000000" w:themeColor="text1"/>
        </w:rPr>
        <w:t>Палати</w:t>
      </w:r>
      <w:r w:rsidR="00914362">
        <w:rPr>
          <w:color w:val="000000" w:themeColor="text1"/>
        </w:rPr>
        <w:t>, проект</w:t>
      </w:r>
      <w:r w:rsidRPr="00EE2D11">
        <w:rPr>
          <w:color w:val="000000" w:themeColor="text1"/>
        </w:rPr>
        <w:t xml:space="preserve"> змін до Порядку </w:t>
      </w:r>
      <w:r w:rsidR="00911659">
        <w:rPr>
          <w:color w:val="000000" w:themeColor="text1"/>
        </w:rPr>
        <w:t xml:space="preserve">№1740 </w:t>
      </w:r>
      <w:r w:rsidRPr="00EE2D11">
        <w:rPr>
          <w:color w:val="000000" w:themeColor="text1"/>
        </w:rPr>
        <w:t>(детальн</w:t>
      </w:r>
      <w:r w:rsidR="006A2667">
        <w:rPr>
          <w:color w:val="000000" w:themeColor="text1"/>
        </w:rPr>
        <w:t>і</w:t>
      </w:r>
      <w:r w:rsidRPr="00EE2D11">
        <w:rPr>
          <w:color w:val="000000" w:themeColor="text1"/>
        </w:rPr>
        <w:t xml:space="preserve"> пропозиції </w:t>
      </w:r>
      <w:r w:rsidR="004A6C0F">
        <w:rPr>
          <w:color w:val="000000" w:themeColor="text1"/>
        </w:rPr>
        <w:t>у додат</w:t>
      </w:r>
      <w:r w:rsidRPr="00EE2D11">
        <w:rPr>
          <w:color w:val="000000" w:themeColor="text1"/>
        </w:rPr>
        <w:t>к</w:t>
      </w:r>
      <w:r w:rsidR="004A6C0F">
        <w:rPr>
          <w:color w:val="000000" w:themeColor="text1"/>
        </w:rPr>
        <w:t>у</w:t>
      </w:r>
      <w:r w:rsidRPr="00EE2D11">
        <w:rPr>
          <w:color w:val="000000" w:themeColor="text1"/>
        </w:rPr>
        <w:t>) та направити проект документу на розгляд та затвердження Кабінетом Міністрів України.</w:t>
      </w:r>
    </w:p>
    <w:p w:rsidR="000B5925" w:rsidRDefault="000B5925" w:rsidP="000B5925">
      <w:pPr>
        <w:spacing w:before="120"/>
        <w:ind w:firstLine="709"/>
        <w:jc w:val="both"/>
        <w:rPr>
          <w:color w:val="000000"/>
          <w:bdr w:val="none" w:sz="0" w:space="0" w:color="auto" w:frame="1"/>
        </w:rPr>
      </w:pPr>
      <w:r w:rsidRPr="007E5BAF">
        <w:rPr>
          <w:color w:val="000000"/>
          <w:bdr w:val="none" w:sz="0" w:space="0" w:color="auto" w:frame="1"/>
        </w:rPr>
        <w:t xml:space="preserve">У разі виникнення будь-яких запитань щодо цього звернення просимо Вас визначити відповідальну особу, яка зможе звернутися за телефоном 490-5800 та за електронною </w:t>
      </w:r>
      <w:proofErr w:type="spellStart"/>
      <w:r w:rsidRPr="007E5BAF">
        <w:rPr>
          <w:color w:val="000000"/>
          <w:bdr w:val="none" w:sz="0" w:space="0" w:color="auto" w:frame="1"/>
        </w:rPr>
        <w:t>адресою</w:t>
      </w:r>
      <w:proofErr w:type="spellEnd"/>
      <w:r w:rsidRPr="007E5BAF">
        <w:rPr>
          <w:color w:val="000000"/>
          <w:bdr w:val="none" w:sz="0" w:space="0" w:color="auto" w:frame="1"/>
        </w:rPr>
        <w:t xml:space="preserve">: </w:t>
      </w:r>
      <w:hyperlink r:id="rId13" w:history="1">
        <w:r w:rsidRPr="007E5BAF">
          <w:rPr>
            <w:rStyle w:val="a9"/>
            <w:bdr w:val="none" w:sz="0" w:space="0" w:color="auto" w:frame="1"/>
          </w:rPr>
          <w:t>oprokhorovych@chamber.ua</w:t>
        </w:r>
      </w:hyperlink>
      <w:r w:rsidRPr="007E5BAF">
        <w:rPr>
          <w:color w:val="000000"/>
          <w:bdr w:val="none" w:sz="0" w:space="0" w:color="auto" w:frame="1"/>
        </w:rPr>
        <w:t xml:space="preserve"> до Олександра Прохоровича, менеджера Палати з питань стратегічного розвитку (</w:t>
      </w:r>
      <w:r w:rsidRPr="00FE6803">
        <w:t>оподаткування та митна політика</w:t>
      </w:r>
      <w:r w:rsidRPr="007E5BAF">
        <w:rPr>
          <w:color w:val="000000"/>
          <w:bdr w:val="none" w:sz="0" w:space="0" w:color="auto" w:frame="1"/>
        </w:rPr>
        <w:t>).</w:t>
      </w:r>
    </w:p>
    <w:p w:rsidR="00316B0D" w:rsidRPr="00CF1ED4" w:rsidRDefault="00316B0D" w:rsidP="00316B0D">
      <w:pPr>
        <w:spacing w:before="120"/>
        <w:ind w:firstLine="709"/>
        <w:jc w:val="both"/>
        <w:rPr>
          <w:color w:val="000000" w:themeColor="text1"/>
        </w:rPr>
      </w:pPr>
    </w:p>
    <w:p w:rsidR="00316B0D" w:rsidRDefault="00316B0D" w:rsidP="006B6A93">
      <w:pPr>
        <w:ind w:firstLine="709"/>
        <w:rPr>
          <w:color w:val="000000" w:themeColor="text1"/>
        </w:rPr>
      </w:pPr>
      <w:r w:rsidRPr="00CF1ED4">
        <w:rPr>
          <w:color w:val="000000" w:themeColor="text1"/>
        </w:rPr>
        <w:t>Додаток:</w:t>
      </w:r>
      <w:r>
        <w:rPr>
          <w:color w:val="000000" w:themeColor="text1"/>
        </w:rPr>
        <w:t xml:space="preserve"> </w:t>
      </w:r>
      <w:r w:rsidR="00746B67">
        <w:rPr>
          <w:color w:val="000000" w:themeColor="text1"/>
        </w:rPr>
        <w:t xml:space="preserve">проект постанови КМУ на 1 </w:t>
      </w:r>
      <w:proofErr w:type="spellStart"/>
      <w:r w:rsidR="00746B67">
        <w:rPr>
          <w:color w:val="000000" w:themeColor="text1"/>
        </w:rPr>
        <w:t>арк</w:t>
      </w:r>
      <w:proofErr w:type="spellEnd"/>
      <w:r w:rsidR="00746B67">
        <w:rPr>
          <w:color w:val="000000" w:themeColor="text1"/>
        </w:rPr>
        <w:t>. у 1 прим.</w:t>
      </w:r>
    </w:p>
    <w:p w:rsidR="00316B0D" w:rsidRPr="00CF1ED4" w:rsidRDefault="00316B0D" w:rsidP="00316B0D">
      <w:pPr>
        <w:rPr>
          <w:color w:val="000000" w:themeColor="text1"/>
        </w:rPr>
      </w:pPr>
    </w:p>
    <w:p w:rsidR="00316B0D" w:rsidRDefault="00316B0D" w:rsidP="00316B0D">
      <w:pPr>
        <w:jc w:val="both"/>
        <w:rPr>
          <w:b/>
        </w:rPr>
      </w:pPr>
    </w:p>
    <w:p w:rsidR="00316B0D" w:rsidRPr="00AE51E9" w:rsidRDefault="00316B0D" w:rsidP="00316B0D">
      <w:pPr>
        <w:jc w:val="both"/>
        <w:rPr>
          <w:b/>
        </w:rPr>
      </w:pPr>
      <w:r w:rsidRPr="00AE51E9">
        <w:rPr>
          <w:b/>
        </w:rPr>
        <w:t>З глибокою повагою та найкращими побажаннями,</w:t>
      </w:r>
    </w:p>
    <w:p w:rsidR="00316B0D" w:rsidRPr="00AE51E9" w:rsidRDefault="00316B0D" w:rsidP="00316B0D">
      <w:pPr>
        <w:jc w:val="both"/>
      </w:pPr>
    </w:p>
    <w:p w:rsidR="00316B0D" w:rsidRPr="00AE51E9" w:rsidRDefault="00316B0D" w:rsidP="00316B0D">
      <w:pPr>
        <w:jc w:val="both"/>
        <w:rPr>
          <w:b/>
        </w:rPr>
      </w:pPr>
      <w:r w:rsidRPr="00AE51E9">
        <w:rPr>
          <w:rStyle w:val="ab"/>
          <w:color w:val="000000"/>
        </w:rPr>
        <w:t>Президент</w:t>
      </w:r>
      <w:r w:rsidRPr="00AE51E9">
        <w:rPr>
          <w:rStyle w:val="ab"/>
          <w:color w:val="000000"/>
        </w:rPr>
        <w:tab/>
      </w:r>
      <w:r w:rsidRPr="00AE51E9">
        <w:rPr>
          <w:rStyle w:val="ab"/>
          <w:color w:val="000000"/>
        </w:rPr>
        <w:tab/>
      </w:r>
      <w:r w:rsidRPr="00AE51E9">
        <w:rPr>
          <w:rStyle w:val="ab"/>
          <w:color w:val="000000"/>
        </w:rPr>
        <w:tab/>
      </w:r>
      <w:r w:rsidRPr="00AE51E9">
        <w:rPr>
          <w:b/>
        </w:rPr>
        <w:tab/>
      </w:r>
      <w:r w:rsidRPr="00AE51E9">
        <w:rPr>
          <w:b/>
        </w:rPr>
        <w:tab/>
      </w:r>
      <w:r w:rsidRPr="00AE51E9">
        <w:rPr>
          <w:b/>
        </w:rPr>
        <w:tab/>
      </w:r>
      <w:r w:rsidRPr="00AE51E9">
        <w:rPr>
          <w:b/>
        </w:rPr>
        <w:tab/>
      </w:r>
      <w:r w:rsidRPr="00AE51E9">
        <w:rPr>
          <w:b/>
        </w:rPr>
        <w:tab/>
        <w:t xml:space="preserve">                                  Андрій </w:t>
      </w:r>
      <w:proofErr w:type="spellStart"/>
      <w:r w:rsidRPr="00AE51E9">
        <w:rPr>
          <w:b/>
        </w:rPr>
        <w:t>Гундер</w:t>
      </w:r>
      <w:proofErr w:type="spellEnd"/>
      <w:r w:rsidRPr="00AE51E9">
        <w:rPr>
          <w:b/>
        </w:rPr>
        <w:t xml:space="preserve"> </w:t>
      </w:r>
    </w:p>
    <w:p w:rsidR="00316B0D" w:rsidRPr="00AE51E9" w:rsidRDefault="00316B0D" w:rsidP="00316B0D">
      <w:pPr>
        <w:spacing w:before="120" w:after="120"/>
        <w:ind w:firstLine="709"/>
        <w:jc w:val="both"/>
      </w:pPr>
    </w:p>
    <w:p w:rsidR="00316B0D" w:rsidRDefault="00316B0D" w:rsidP="00316B0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316B0D" w:rsidRPr="00CF1ED4" w:rsidRDefault="00316B0D" w:rsidP="00316B0D">
      <w:pPr>
        <w:ind w:left="360"/>
        <w:rPr>
          <w:b/>
          <w:color w:val="000000" w:themeColor="text1"/>
        </w:rPr>
      </w:pPr>
    </w:p>
    <w:p w:rsidR="00316B0D" w:rsidRDefault="00316B0D" w:rsidP="00316B0D">
      <w:pPr>
        <w:pStyle w:val="af2"/>
        <w:spacing w:before="0"/>
        <w:jc w:val="right"/>
        <w:rPr>
          <w:rFonts w:ascii="Times New Roman" w:eastAsiaTheme="minorHAnsi" w:hAnsi="Times New Roman"/>
          <w:i w:val="0"/>
          <w:caps w:val="0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/>
          <w:i w:val="0"/>
          <w:caps w:val="0"/>
          <w:color w:val="000000" w:themeColor="text1"/>
          <w:sz w:val="22"/>
          <w:szCs w:val="22"/>
          <w:lang w:eastAsia="en-US"/>
        </w:rPr>
        <w:br w:type="page"/>
      </w:r>
    </w:p>
    <w:p w:rsidR="00316B0D" w:rsidRDefault="00316B0D" w:rsidP="00316B0D">
      <w:pPr>
        <w:pStyle w:val="af2"/>
        <w:spacing w:before="0"/>
        <w:jc w:val="right"/>
        <w:rPr>
          <w:rFonts w:ascii="Times New Roman" w:hAnsi="Times New Roman"/>
          <w:b w:val="0"/>
          <w:i w:val="0"/>
          <w:caps w:val="0"/>
          <w:sz w:val="22"/>
          <w:szCs w:val="22"/>
        </w:rPr>
      </w:pPr>
    </w:p>
    <w:p w:rsidR="00316B0D" w:rsidRPr="00CF1ED4" w:rsidRDefault="00316B0D" w:rsidP="00316B0D">
      <w:pPr>
        <w:pStyle w:val="af2"/>
        <w:spacing w:before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CF1ED4">
        <w:rPr>
          <w:rFonts w:ascii="Times New Roman" w:hAnsi="Times New Roman"/>
          <w:b w:val="0"/>
          <w:i w:val="0"/>
          <w:caps w:val="0"/>
          <w:sz w:val="22"/>
          <w:szCs w:val="22"/>
        </w:rPr>
        <w:t xml:space="preserve">Додаток </w:t>
      </w:r>
    </w:p>
    <w:p w:rsidR="00316B0D" w:rsidRPr="00CF1ED4" w:rsidRDefault="00316B0D" w:rsidP="00316B0D">
      <w:pPr>
        <w:pStyle w:val="af2"/>
        <w:spacing w:before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6A2667" w:rsidRDefault="006A2667" w:rsidP="00416FFC">
      <w:pPr>
        <w:pStyle w:val="af2"/>
        <w:spacing w:before="0"/>
        <w:rPr>
          <w:rFonts w:ascii="Times New Roman" w:hAnsi="Times New Roman"/>
          <w:b w:val="0"/>
          <w:i w:val="0"/>
          <w:sz w:val="22"/>
          <w:szCs w:val="22"/>
        </w:rPr>
      </w:pPr>
    </w:p>
    <w:p w:rsidR="006A2667" w:rsidRDefault="006A2667" w:rsidP="00416FFC">
      <w:pPr>
        <w:pStyle w:val="af2"/>
        <w:spacing w:before="0"/>
        <w:rPr>
          <w:rFonts w:ascii="Times New Roman" w:hAnsi="Times New Roman"/>
          <w:b w:val="0"/>
          <w:i w:val="0"/>
          <w:sz w:val="22"/>
          <w:szCs w:val="22"/>
        </w:rPr>
      </w:pPr>
    </w:p>
    <w:p w:rsidR="00316B0D" w:rsidRPr="00CF1ED4" w:rsidRDefault="00316B0D" w:rsidP="00416FFC">
      <w:pPr>
        <w:pStyle w:val="af2"/>
        <w:spacing w:before="0"/>
        <w:rPr>
          <w:rFonts w:ascii="Times New Roman" w:hAnsi="Times New Roman"/>
          <w:b w:val="0"/>
          <w:i w:val="0"/>
          <w:sz w:val="22"/>
          <w:szCs w:val="22"/>
        </w:rPr>
      </w:pPr>
      <w:r w:rsidRPr="00CF1ED4">
        <w:rPr>
          <w:rFonts w:ascii="Times New Roman" w:hAnsi="Times New Roman"/>
          <w:b w:val="0"/>
          <w:i w:val="0"/>
          <w:sz w:val="22"/>
          <w:szCs w:val="22"/>
        </w:rPr>
        <w:t>Проект ПОСТАНОВИ</w:t>
      </w:r>
    </w:p>
    <w:p w:rsidR="00416FFC" w:rsidRDefault="00416FFC" w:rsidP="00316B0D">
      <w:pPr>
        <w:pStyle w:val="af2"/>
        <w:spacing w:before="0"/>
        <w:rPr>
          <w:rFonts w:ascii="Times New Roman" w:hAnsi="Times New Roman"/>
          <w:b w:val="0"/>
          <w:i w:val="0"/>
          <w:sz w:val="22"/>
          <w:szCs w:val="22"/>
        </w:rPr>
      </w:pPr>
    </w:p>
    <w:p w:rsidR="00316B0D" w:rsidRDefault="00416FFC" w:rsidP="00316B0D">
      <w:pPr>
        <w:pStyle w:val="af2"/>
        <w:spacing w:before="0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1.</w:t>
      </w:r>
    </w:p>
    <w:p w:rsidR="00416FFC" w:rsidRPr="00CF1ED4" w:rsidRDefault="00416FFC" w:rsidP="00316B0D">
      <w:pPr>
        <w:pStyle w:val="af2"/>
        <w:spacing w:before="0"/>
        <w:rPr>
          <w:rFonts w:ascii="Times New Roman" w:hAnsi="Times New Roman"/>
          <w:b w:val="0"/>
          <w:i w:val="0"/>
          <w:sz w:val="22"/>
          <w:szCs w:val="22"/>
        </w:rPr>
      </w:pPr>
    </w:p>
    <w:p w:rsidR="00316B0D" w:rsidRPr="00CF1ED4" w:rsidRDefault="00316B0D" w:rsidP="00316B0D">
      <w:pPr>
        <w:pStyle w:val="af3"/>
        <w:spacing w:before="0" w:after="0"/>
        <w:rPr>
          <w:rFonts w:ascii="Times New Roman" w:hAnsi="Times New Roman"/>
          <w:b w:val="0"/>
          <w:sz w:val="22"/>
          <w:szCs w:val="22"/>
        </w:rPr>
      </w:pPr>
    </w:p>
    <w:p w:rsidR="00911659" w:rsidRDefault="00911659" w:rsidP="00911659">
      <w:pPr>
        <w:ind w:firstLine="567"/>
        <w:jc w:val="right"/>
      </w:pPr>
      <w:r>
        <w:t xml:space="preserve">ЗАТВЕРДЖЕНО </w:t>
      </w:r>
    </w:p>
    <w:p w:rsidR="00911659" w:rsidRDefault="00911659" w:rsidP="00911659">
      <w:pPr>
        <w:ind w:firstLine="567"/>
        <w:jc w:val="right"/>
      </w:pPr>
      <w:r>
        <w:t>постановою Кабінету Міністрів України</w:t>
      </w:r>
    </w:p>
    <w:p w:rsidR="00911659" w:rsidRDefault="00A27736" w:rsidP="00A27736">
      <w:pPr>
        <w:ind w:firstLine="567"/>
        <w:jc w:val="center"/>
      </w:pPr>
      <w:r>
        <w:t xml:space="preserve">                                                                                                                        </w:t>
      </w:r>
      <w:r w:rsidR="00911659">
        <w:t xml:space="preserve">від                р. </w:t>
      </w:r>
      <w:r w:rsidR="00746B67">
        <w:t>№</w:t>
      </w:r>
      <w:r w:rsidR="00911659">
        <w:t xml:space="preserve"> </w:t>
      </w:r>
    </w:p>
    <w:p w:rsidR="00911659" w:rsidRDefault="00911659" w:rsidP="00911659">
      <w:pPr>
        <w:ind w:firstLine="567"/>
        <w:jc w:val="both"/>
      </w:pPr>
    </w:p>
    <w:p w:rsidR="00911659" w:rsidRDefault="00911659" w:rsidP="00911659">
      <w:pPr>
        <w:ind w:firstLine="567"/>
        <w:jc w:val="both"/>
      </w:pPr>
    </w:p>
    <w:p w:rsidR="00911659" w:rsidRDefault="00911659" w:rsidP="00911659">
      <w:pPr>
        <w:tabs>
          <w:tab w:val="left" w:pos="1845"/>
        </w:tabs>
        <w:ind w:firstLine="567"/>
        <w:jc w:val="center"/>
      </w:pPr>
      <w:r>
        <w:t>ЗМІНИ,</w:t>
      </w:r>
    </w:p>
    <w:p w:rsidR="00911659" w:rsidRDefault="00911659" w:rsidP="00911659">
      <w:pPr>
        <w:ind w:firstLine="567"/>
        <w:jc w:val="center"/>
      </w:pPr>
      <w:r>
        <w:t>що вносяться до Порядку сплати збору на обов'язкове державне пенсійне страхування з окремих видів господарських операцій</w:t>
      </w:r>
    </w:p>
    <w:p w:rsidR="00911659" w:rsidRDefault="00911659" w:rsidP="00911659">
      <w:pPr>
        <w:ind w:firstLine="567"/>
        <w:jc w:val="both"/>
      </w:pPr>
    </w:p>
    <w:p w:rsidR="00316B0D" w:rsidRPr="00CF1ED4" w:rsidRDefault="00911659" w:rsidP="00911659">
      <w:pPr>
        <w:ind w:firstLine="567"/>
        <w:jc w:val="both"/>
      </w:pPr>
      <w:r>
        <w:t xml:space="preserve">1.  Доповнити Порядок </w:t>
      </w:r>
      <w:r w:rsidRPr="00CF1ED4">
        <w:rPr>
          <w:color w:val="000000" w:themeColor="text1"/>
        </w:rPr>
        <w:t>пунктом 15</w:t>
      </w:r>
      <w:r w:rsidRPr="00CF1ED4">
        <w:rPr>
          <w:color w:val="000000" w:themeColor="text1"/>
          <w:vertAlign w:val="superscript"/>
        </w:rPr>
        <w:t>16</w:t>
      </w:r>
      <w:r>
        <w:t xml:space="preserve"> такого змісту:</w:t>
      </w:r>
    </w:p>
    <w:p w:rsidR="00316B0D" w:rsidRPr="00316B0D" w:rsidRDefault="00911659" w:rsidP="00911659">
      <w:pPr>
        <w:jc w:val="both"/>
        <w:rPr>
          <w:rStyle w:val="s1"/>
          <w:color w:val="000000" w:themeColor="text1"/>
        </w:rPr>
      </w:pPr>
      <w:r>
        <w:rPr>
          <w:color w:val="000000" w:themeColor="text1"/>
        </w:rPr>
        <w:t xml:space="preserve"> </w:t>
      </w:r>
      <w:r w:rsidR="00316B0D">
        <w:rPr>
          <w:color w:val="000000" w:themeColor="text1"/>
        </w:rPr>
        <w:t xml:space="preserve"> </w:t>
      </w:r>
    </w:p>
    <w:p w:rsidR="00316B0D" w:rsidRDefault="00316B0D" w:rsidP="00316B0D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color w:val="000000"/>
        </w:rPr>
        <w:t>«15</w:t>
      </w:r>
      <w:r>
        <w:rPr>
          <w:color w:val="000000"/>
          <w:vertAlign w:val="superscript"/>
        </w:rPr>
        <w:t>16</w:t>
      </w:r>
      <w:r>
        <w:rPr>
          <w:color w:val="000000"/>
        </w:rPr>
        <w:t xml:space="preserve">. У разі повернення оператором стільникового зв'язку </w:t>
      </w:r>
      <w:r w:rsidR="00A27736">
        <w:rPr>
          <w:color w:val="000000"/>
        </w:rPr>
        <w:t>абоненту</w:t>
      </w:r>
      <w:r>
        <w:rPr>
          <w:color w:val="000000"/>
        </w:rPr>
        <w:t xml:space="preserve"> невикористаної ним частки коштів за попередньо оплачені послуги стільникового рухомого зв'язку, які він не отримував, оператор од</w:t>
      </w:r>
      <w:r w:rsidR="00A27736">
        <w:rPr>
          <w:color w:val="000000"/>
        </w:rPr>
        <w:t>ночасно зобов’язаний повернути абоненту</w:t>
      </w:r>
      <w:r>
        <w:rPr>
          <w:color w:val="000000"/>
        </w:rPr>
        <w:t xml:space="preserve"> суму збору на обов'язкове державне пенсійне страхування з вартості послуг стільникового рухомого зв'язку, яка була сплачена платником збору оператору одночасно з оплатою ним відповідних послуг. </w:t>
      </w:r>
    </w:p>
    <w:p w:rsidR="00316B0D" w:rsidRPr="00B756A8" w:rsidRDefault="00316B0D" w:rsidP="00316B0D">
      <w:pPr>
        <w:spacing w:before="120"/>
        <w:ind w:firstLine="709"/>
        <w:jc w:val="both"/>
        <w:rPr>
          <w:rStyle w:val="s1"/>
          <w:iCs/>
        </w:rPr>
      </w:pPr>
      <w:r w:rsidRPr="00B756A8">
        <w:t xml:space="preserve">При перерахуванні суми збору на обов'язкове державне пенсійне страхування з послуг стільникового рухомого зв'язку на бюджетні рахунки оператор </w:t>
      </w:r>
      <w:r w:rsidR="00911659">
        <w:t xml:space="preserve">рухомого зв’язку </w:t>
      </w:r>
      <w:r w:rsidRPr="00B756A8">
        <w:t xml:space="preserve">зменшує суму перерахування на суму </w:t>
      </w:r>
      <w:r w:rsidR="00A27736">
        <w:t xml:space="preserve">цього </w:t>
      </w:r>
      <w:r w:rsidRPr="00B756A8">
        <w:t xml:space="preserve">збору, яку </w:t>
      </w:r>
      <w:r w:rsidR="00911659">
        <w:t>він</w:t>
      </w:r>
      <w:r w:rsidRPr="00B756A8">
        <w:t xml:space="preserve"> повернув </w:t>
      </w:r>
      <w:r w:rsidR="00A27736">
        <w:t>абонентам</w:t>
      </w:r>
      <w:r w:rsidRPr="00B756A8">
        <w:t xml:space="preserve"> за їхньою заявою»</w:t>
      </w:r>
      <w:r w:rsidRPr="00B756A8">
        <w:rPr>
          <w:rFonts w:ascii="Helv" w:hAnsi="Helv" w:cs="Helv"/>
          <w:b/>
          <w:bCs/>
          <w:sz w:val="20"/>
          <w:szCs w:val="20"/>
        </w:rPr>
        <w:t>.</w:t>
      </w:r>
    </w:p>
    <w:p w:rsidR="000D6838" w:rsidRPr="000D6838" w:rsidRDefault="000D6838" w:rsidP="000D6838">
      <w:pPr>
        <w:jc w:val="both"/>
        <w:rPr>
          <w:rFonts w:eastAsia="Calibri"/>
          <w:i/>
          <w:sz w:val="22"/>
          <w:lang w:eastAsia="en-US"/>
        </w:rPr>
      </w:pPr>
    </w:p>
    <w:p w:rsidR="000D6838" w:rsidRPr="00911659" w:rsidRDefault="00316B0D" w:rsidP="000D6838">
      <w:pPr>
        <w:spacing w:before="120"/>
        <w:ind w:firstLine="709"/>
        <w:jc w:val="both"/>
      </w:pPr>
      <w:r w:rsidRPr="00911659">
        <w:rPr>
          <w:b/>
        </w:rPr>
        <w:t xml:space="preserve"> </w:t>
      </w:r>
    </w:p>
    <w:p w:rsidR="000D6838" w:rsidRPr="000D6838" w:rsidRDefault="00316B0D" w:rsidP="000D6838">
      <w:r>
        <w:t xml:space="preserve"> </w:t>
      </w:r>
    </w:p>
    <w:p w:rsidR="000D6838" w:rsidRPr="000D6838" w:rsidRDefault="000D6838" w:rsidP="000D6838"/>
    <w:p w:rsidR="000D6838" w:rsidRPr="000D6838" w:rsidRDefault="00316B0D" w:rsidP="000D6838">
      <w:r>
        <w:t xml:space="preserve"> </w:t>
      </w:r>
    </w:p>
    <w:p w:rsidR="006501F5" w:rsidRDefault="006501F5" w:rsidP="00340629">
      <w:pPr>
        <w:jc w:val="both"/>
        <w:rPr>
          <w:b/>
        </w:rPr>
      </w:pPr>
    </w:p>
    <w:p w:rsidR="00340629" w:rsidRPr="00AE51E9" w:rsidRDefault="00316B0D" w:rsidP="00340629">
      <w:pPr>
        <w:spacing w:before="120" w:after="120"/>
        <w:ind w:firstLine="709"/>
        <w:jc w:val="both"/>
      </w:pPr>
      <w:r>
        <w:rPr>
          <w:b/>
        </w:rPr>
        <w:t xml:space="preserve"> </w:t>
      </w:r>
    </w:p>
    <w:p w:rsidR="00E96BEC" w:rsidRPr="00AE51E9" w:rsidRDefault="00E96BEC" w:rsidP="00340629">
      <w:pPr>
        <w:rPr>
          <w:b/>
        </w:rPr>
      </w:pPr>
    </w:p>
    <w:sectPr w:rsidR="00E96BEC" w:rsidRPr="00AE51E9" w:rsidSect="00B536DB">
      <w:headerReference w:type="even" r:id="rId14"/>
      <w:headerReference w:type="default" r:id="rId15"/>
      <w:headerReference w:type="first" r:id="rId16"/>
      <w:footerReference w:type="first" r:id="rId17"/>
      <w:pgSz w:w="11906" w:h="16838"/>
      <w:pgMar w:top="567" w:right="991" w:bottom="567" w:left="85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3D" w:rsidRDefault="00A63F3D" w:rsidP="00742BAD">
      <w:r>
        <w:separator/>
      </w:r>
    </w:p>
  </w:endnote>
  <w:endnote w:type="continuationSeparator" w:id="0">
    <w:p w:rsidR="00A63F3D" w:rsidRDefault="00A63F3D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0F" w:rsidRPr="00EA068F" w:rsidRDefault="00E3250F" w:rsidP="00B536DB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</w:t>
    </w:r>
    <w:r>
      <w:rPr>
        <w:rFonts w:ascii="Arial" w:hAnsi="Arial" w:cs="Arial"/>
        <w:b/>
        <w:i/>
        <w:color w:val="244061"/>
        <w:sz w:val="16"/>
        <w:szCs w:val="16"/>
      </w:rPr>
      <w:t>_________________</w:t>
    </w: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</w:t>
    </w:r>
  </w:p>
  <w:p w:rsidR="00E3250F" w:rsidRPr="00FD004B" w:rsidRDefault="00E3250F" w:rsidP="00B536DB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>– Секретар</w:t>
    </w:r>
    <w:r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Україна".</w:t>
    </w:r>
  </w:p>
  <w:p w:rsidR="00E3250F" w:rsidRPr="00C35D47" w:rsidRDefault="00E3250F" w:rsidP="00B536DB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E3250F" w:rsidRPr="00EA068F" w:rsidRDefault="00E3250F" w:rsidP="00B536DB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  <w:p w:rsidR="00E3250F" w:rsidRDefault="00E32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3D" w:rsidRDefault="00A63F3D" w:rsidP="00742BAD">
      <w:r>
        <w:separator/>
      </w:r>
    </w:p>
  </w:footnote>
  <w:footnote w:type="continuationSeparator" w:id="0">
    <w:p w:rsidR="00A63F3D" w:rsidRDefault="00A63F3D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0F" w:rsidRDefault="00A63F3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0" o:spid="_x0000_s2050" type="#_x0000_t136" style="position:absolute;margin-left:0;margin-top:0;width:492.5pt;height:19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0F" w:rsidRDefault="00A63F3D" w:rsidP="000F30BD">
    <w:pPr>
      <w:pStyle w:val="a3"/>
      <w:ind w:left="-567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1" o:spid="_x0000_s2051" type="#_x0000_t136" style="position:absolute;left:0;text-align:left;margin-left:0;margin-top:0;width:492.5pt;height:19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:rsidR="00E3250F" w:rsidRPr="00712510" w:rsidRDefault="00E3250F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0F" w:rsidRDefault="00E3250F">
    <w:pPr>
      <w:pStyle w:val="a3"/>
    </w:pPr>
    <w:r>
      <w:rPr>
        <w:noProof/>
        <w:lang w:val="en-US" w:eastAsia="en-US"/>
      </w:rPr>
      <w:drawing>
        <wp:inline distT="0" distB="0" distL="0" distR="0" wp14:anchorId="7429C93A" wp14:editId="0219A006">
          <wp:extent cx="6390640" cy="659564"/>
          <wp:effectExtent l="0" t="0" r="0" b="7620"/>
          <wp:docPr id="2" name="Рисунок 2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65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3F3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49" o:spid="_x0000_s2049" type="#_x0000_t136" style="position:absolute;margin-left:0;margin-top:0;width:492.5pt;height:19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5B83"/>
    <w:multiLevelType w:val="hybridMultilevel"/>
    <w:tmpl w:val="72245B82"/>
    <w:lvl w:ilvl="0" w:tplc="A7D073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0BD"/>
    <w:multiLevelType w:val="hybridMultilevel"/>
    <w:tmpl w:val="442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113BB"/>
    <w:multiLevelType w:val="hybridMultilevel"/>
    <w:tmpl w:val="6AF82FD4"/>
    <w:lvl w:ilvl="0" w:tplc="2146E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0617E"/>
    <w:multiLevelType w:val="hybridMultilevel"/>
    <w:tmpl w:val="DAD2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361E6"/>
    <w:multiLevelType w:val="hybridMultilevel"/>
    <w:tmpl w:val="F4BC65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34A19"/>
    <w:multiLevelType w:val="hybridMultilevel"/>
    <w:tmpl w:val="E814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9D5256"/>
    <w:multiLevelType w:val="hybridMultilevel"/>
    <w:tmpl w:val="053C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F15E7"/>
    <w:multiLevelType w:val="hybridMultilevel"/>
    <w:tmpl w:val="D874523A"/>
    <w:lvl w:ilvl="0" w:tplc="C36EEB1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66307"/>
    <w:multiLevelType w:val="hybridMultilevel"/>
    <w:tmpl w:val="838051D0"/>
    <w:lvl w:ilvl="0" w:tplc="FBD26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1D4BF6"/>
    <w:multiLevelType w:val="hybridMultilevel"/>
    <w:tmpl w:val="154A279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155CF"/>
    <w:multiLevelType w:val="hybridMultilevel"/>
    <w:tmpl w:val="525636C2"/>
    <w:lvl w:ilvl="0" w:tplc="F094EF0C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8018EC"/>
    <w:multiLevelType w:val="hybridMultilevel"/>
    <w:tmpl w:val="1D9AEC64"/>
    <w:lvl w:ilvl="0" w:tplc="B3BCCC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BDC1913"/>
    <w:multiLevelType w:val="hybridMultilevel"/>
    <w:tmpl w:val="C6263644"/>
    <w:lvl w:ilvl="0" w:tplc="873EB5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4A4198"/>
    <w:multiLevelType w:val="hybridMultilevel"/>
    <w:tmpl w:val="90CC55E6"/>
    <w:lvl w:ilvl="0" w:tplc="F580C5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F37340D"/>
    <w:multiLevelType w:val="hybridMultilevel"/>
    <w:tmpl w:val="221035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15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19"/>
  </w:num>
  <w:num w:numId="11">
    <w:abstractNumId w:val="6"/>
  </w:num>
  <w:num w:numId="12">
    <w:abstractNumId w:val="1"/>
  </w:num>
  <w:num w:numId="13">
    <w:abstractNumId w:val="20"/>
  </w:num>
  <w:num w:numId="14">
    <w:abstractNumId w:val="1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tyana Sheremet">
    <w15:presenceInfo w15:providerId="AD" w15:userId="S-1-5-21-1320910692-1815770040-1349916565-758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07C2E"/>
    <w:rsid w:val="0002094A"/>
    <w:rsid w:val="000209B7"/>
    <w:rsid w:val="00022B83"/>
    <w:rsid w:val="0004037E"/>
    <w:rsid w:val="00040FBE"/>
    <w:rsid w:val="000426AB"/>
    <w:rsid w:val="000429DF"/>
    <w:rsid w:val="00047D13"/>
    <w:rsid w:val="000563D0"/>
    <w:rsid w:val="00065140"/>
    <w:rsid w:val="00067386"/>
    <w:rsid w:val="000712AD"/>
    <w:rsid w:val="000713D1"/>
    <w:rsid w:val="00071DCF"/>
    <w:rsid w:val="00072CB3"/>
    <w:rsid w:val="000764D8"/>
    <w:rsid w:val="0008718A"/>
    <w:rsid w:val="00090086"/>
    <w:rsid w:val="000A5203"/>
    <w:rsid w:val="000B0DBE"/>
    <w:rsid w:val="000B5925"/>
    <w:rsid w:val="000C1FA2"/>
    <w:rsid w:val="000C3DEB"/>
    <w:rsid w:val="000D18EA"/>
    <w:rsid w:val="000D6838"/>
    <w:rsid w:val="000E1D29"/>
    <w:rsid w:val="000E3826"/>
    <w:rsid w:val="000E63EE"/>
    <w:rsid w:val="000F0214"/>
    <w:rsid w:val="000F30BD"/>
    <w:rsid w:val="00107751"/>
    <w:rsid w:val="001121F8"/>
    <w:rsid w:val="001129C6"/>
    <w:rsid w:val="001144A8"/>
    <w:rsid w:val="001368E3"/>
    <w:rsid w:val="0014059B"/>
    <w:rsid w:val="00145353"/>
    <w:rsid w:val="00154087"/>
    <w:rsid w:val="00165464"/>
    <w:rsid w:val="00167C1D"/>
    <w:rsid w:val="00173309"/>
    <w:rsid w:val="00176FC0"/>
    <w:rsid w:val="00182929"/>
    <w:rsid w:val="0018462B"/>
    <w:rsid w:val="0018481A"/>
    <w:rsid w:val="001949C6"/>
    <w:rsid w:val="001A49ED"/>
    <w:rsid w:val="001A7A1C"/>
    <w:rsid w:val="001B1E0E"/>
    <w:rsid w:val="001C1914"/>
    <w:rsid w:val="001C5DFB"/>
    <w:rsid w:val="001E2372"/>
    <w:rsid w:val="001F2EDF"/>
    <w:rsid w:val="001F6D29"/>
    <w:rsid w:val="00201D61"/>
    <w:rsid w:val="00204B14"/>
    <w:rsid w:val="00206E58"/>
    <w:rsid w:val="002129E8"/>
    <w:rsid w:val="002241E3"/>
    <w:rsid w:val="00230124"/>
    <w:rsid w:val="002424FC"/>
    <w:rsid w:val="002722B6"/>
    <w:rsid w:val="002819F1"/>
    <w:rsid w:val="00286295"/>
    <w:rsid w:val="00291AF4"/>
    <w:rsid w:val="00291FDC"/>
    <w:rsid w:val="00293BCD"/>
    <w:rsid w:val="00294906"/>
    <w:rsid w:val="002A1E61"/>
    <w:rsid w:val="002B416F"/>
    <w:rsid w:val="002B41E3"/>
    <w:rsid w:val="002B60F0"/>
    <w:rsid w:val="002C06AF"/>
    <w:rsid w:val="002C4C9A"/>
    <w:rsid w:val="002D1292"/>
    <w:rsid w:val="002E1592"/>
    <w:rsid w:val="002E1C52"/>
    <w:rsid w:val="002F10D6"/>
    <w:rsid w:val="002F6B40"/>
    <w:rsid w:val="00310407"/>
    <w:rsid w:val="003119DD"/>
    <w:rsid w:val="00311B6E"/>
    <w:rsid w:val="00316B0D"/>
    <w:rsid w:val="0031780C"/>
    <w:rsid w:val="00320A56"/>
    <w:rsid w:val="00326293"/>
    <w:rsid w:val="003323AC"/>
    <w:rsid w:val="003335FB"/>
    <w:rsid w:val="00336BB2"/>
    <w:rsid w:val="00340629"/>
    <w:rsid w:val="00350E18"/>
    <w:rsid w:val="0036110F"/>
    <w:rsid w:val="0036249D"/>
    <w:rsid w:val="0036794C"/>
    <w:rsid w:val="00377540"/>
    <w:rsid w:val="00385169"/>
    <w:rsid w:val="00386D3A"/>
    <w:rsid w:val="003979A2"/>
    <w:rsid w:val="003A1F50"/>
    <w:rsid w:val="003B511D"/>
    <w:rsid w:val="003B5ED9"/>
    <w:rsid w:val="003B74BB"/>
    <w:rsid w:val="003C05FF"/>
    <w:rsid w:val="003C1500"/>
    <w:rsid w:val="003D520D"/>
    <w:rsid w:val="003E256D"/>
    <w:rsid w:val="003E4E18"/>
    <w:rsid w:val="003F0939"/>
    <w:rsid w:val="003F7D10"/>
    <w:rsid w:val="00404E0F"/>
    <w:rsid w:val="00410837"/>
    <w:rsid w:val="00411DF4"/>
    <w:rsid w:val="00413B48"/>
    <w:rsid w:val="00416FFC"/>
    <w:rsid w:val="00420ED4"/>
    <w:rsid w:val="004329B3"/>
    <w:rsid w:val="00440422"/>
    <w:rsid w:val="00442194"/>
    <w:rsid w:val="0045328F"/>
    <w:rsid w:val="00465F45"/>
    <w:rsid w:val="00472201"/>
    <w:rsid w:val="00487357"/>
    <w:rsid w:val="00487B06"/>
    <w:rsid w:val="00497FFD"/>
    <w:rsid w:val="004A043D"/>
    <w:rsid w:val="004A6C0F"/>
    <w:rsid w:val="004B4344"/>
    <w:rsid w:val="004B4D55"/>
    <w:rsid w:val="004B64F6"/>
    <w:rsid w:val="004C0963"/>
    <w:rsid w:val="004C15D3"/>
    <w:rsid w:val="004C3FCF"/>
    <w:rsid w:val="004E394C"/>
    <w:rsid w:val="004E7215"/>
    <w:rsid w:val="004F0D26"/>
    <w:rsid w:val="0050730B"/>
    <w:rsid w:val="00531003"/>
    <w:rsid w:val="00545DBA"/>
    <w:rsid w:val="00547C35"/>
    <w:rsid w:val="00555217"/>
    <w:rsid w:val="00556F08"/>
    <w:rsid w:val="0056346F"/>
    <w:rsid w:val="00567698"/>
    <w:rsid w:val="00570FD0"/>
    <w:rsid w:val="005803E9"/>
    <w:rsid w:val="00581BFA"/>
    <w:rsid w:val="00590E60"/>
    <w:rsid w:val="005A0673"/>
    <w:rsid w:val="005A27B1"/>
    <w:rsid w:val="005A6A22"/>
    <w:rsid w:val="005B0B5D"/>
    <w:rsid w:val="005C0201"/>
    <w:rsid w:val="005D0C5B"/>
    <w:rsid w:val="005D49FE"/>
    <w:rsid w:val="005D690E"/>
    <w:rsid w:val="005D7303"/>
    <w:rsid w:val="005E485F"/>
    <w:rsid w:val="005E64FC"/>
    <w:rsid w:val="005F1110"/>
    <w:rsid w:val="006007A6"/>
    <w:rsid w:val="00612DEE"/>
    <w:rsid w:val="00612EE6"/>
    <w:rsid w:val="00613F9C"/>
    <w:rsid w:val="00624983"/>
    <w:rsid w:val="0064250F"/>
    <w:rsid w:val="00642A4C"/>
    <w:rsid w:val="0064737E"/>
    <w:rsid w:val="006501F5"/>
    <w:rsid w:val="0067204B"/>
    <w:rsid w:val="00682652"/>
    <w:rsid w:val="00682C77"/>
    <w:rsid w:val="0068417E"/>
    <w:rsid w:val="00694C2C"/>
    <w:rsid w:val="006A0F1F"/>
    <w:rsid w:val="006A2667"/>
    <w:rsid w:val="006A48BA"/>
    <w:rsid w:val="006A63D0"/>
    <w:rsid w:val="006B26A5"/>
    <w:rsid w:val="006B6A93"/>
    <w:rsid w:val="006C6ED9"/>
    <w:rsid w:val="006D02CA"/>
    <w:rsid w:val="006D63E3"/>
    <w:rsid w:val="006D6942"/>
    <w:rsid w:val="006E0B96"/>
    <w:rsid w:val="006F6075"/>
    <w:rsid w:val="006F76EB"/>
    <w:rsid w:val="00712510"/>
    <w:rsid w:val="00717D42"/>
    <w:rsid w:val="00722997"/>
    <w:rsid w:val="00742BAD"/>
    <w:rsid w:val="00746B67"/>
    <w:rsid w:val="0076187F"/>
    <w:rsid w:val="00765CFE"/>
    <w:rsid w:val="00784D33"/>
    <w:rsid w:val="00784D53"/>
    <w:rsid w:val="0078776B"/>
    <w:rsid w:val="007939AA"/>
    <w:rsid w:val="007A2437"/>
    <w:rsid w:val="007A465A"/>
    <w:rsid w:val="007C2209"/>
    <w:rsid w:val="007C4A88"/>
    <w:rsid w:val="007C500B"/>
    <w:rsid w:val="007C508D"/>
    <w:rsid w:val="007E58E9"/>
    <w:rsid w:val="007E5E5D"/>
    <w:rsid w:val="007E6323"/>
    <w:rsid w:val="007E7B79"/>
    <w:rsid w:val="007F3122"/>
    <w:rsid w:val="007F31E2"/>
    <w:rsid w:val="007F381B"/>
    <w:rsid w:val="007F691E"/>
    <w:rsid w:val="00803852"/>
    <w:rsid w:val="00807AD4"/>
    <w:rsid w:val="008135B8"/>
    <w:rsid w:val="00822E86"/>
    <w:rsid w:val="008253F3"/>
    <w:rsid w:val="00826CC3"/>
    <w:rsid w:val="00834080"/>
    <w:rsid w:val="00837CAC"/>
    <w:rsid w:val="008406CF"/>
    <w:rsid w:val="008509D2"/>
    <w:rsid w:val="00850D96"/>
    <w:rsid w:val="00851029"/>
    <w:rsid w:val="0085755E"/>
    <w:rsid w:val="00866DC7"/>
    <w:rsid w:val="00876D67"/>
    <w:rsid w:val="00877CFB"/>
    <w:rsid w:val="0089188B"/>
    <w:rsid w:val="0089440A"/>
    <w:rsid w:val="008A6C42"/>
    <w:rsid w:val="008B0CB1"/>
    <w:rsid w:val="008B4252"/>
    <w:rsid w:val="008C17A6"/>
    <w:rsid w:val="008C32A0"/>
    <w:rsid w:val="008C457F"/>
    <w:rsid w:val="008D1847"/>
    <w:rsid w:val="008D45A8"/>
    <w:rsid w:val="008D694E"/>
    <w:rsid w:val="008D7BE7"/>
    <w:rsid w:val="008E18A2"/>
    <w:rsid w:val="008F264B"/>
    <w:rsid w:val="009029FE"/>
    <w:rsid w:val="00911659"/>
    <w:rsid w:val="00912808"/>
    <w:rsid w:val="00913EF0"/>
    <w:rsid w:val="00914362"/>
    <w:rsid w:val="00920E9D"/>
    <w:rsid w:val="0093791A"/>
    <w:rsid w:val="009553F2"/>
    <w:rsid w:val="00965AA4"/>
    <w:rsid w:val="00973BDE"/>
    <w:rsid w:val="009751DE"/>
    <w:rsid w:val="00980DE8"/>
    <w:rsid w:val="00983690"/>
    <w:rsid w:val="009A0B4F"/>
    <w:rsid w:val="009A3AA3"/>
    <w:rsid w:val="009A4C99"/>
    <w:rsid w:val="009B0E3C"/>
    <w:rsid w:val="009B5D2F"/>
    <w:rsid w:val="009C11E4"/>
    <w:rsid w:val="009D064C"/>
    <w:rsid w:val="009D1CA0"/>
    <w:rsid w:val="009D325B"/>
    <w:rsid w:val="009F4B77"/>
    <w:rsid w:val="00A01FE2"/>
    <w:rsid w:val="00A11672"/>
    <w:rsid w:val="00A12DEE"/>
    <w:rsid w:val="00A14BCE"/>
    <w:rsid w:val="00A251CA"/>
    <w:rsid w:val="00A27736"/>
    <w:rsid w:val="00A30D0B"/>
    <w:rsid w:val="00A439A3"/>
    <w:rsid w:val="00A43A89"/>
    <w:rsid w:val="00A453C5"/>
    <w:rsid w:val="00A4627F"/>
    <w:rsid w:val="00A521C9"/>
    <w:rsid w:val="00A61CA9"/>
    <w:rsid w:val="00A63F3D"/>
    <w:rsid w:val="00A6453B"/>
    <w:rsid w:val="00A6745A"/>
    <w:rsid w:val="00A67A7A"/>
    <w:rsid w:val="00A70CC1"/>
    <w:rsid w:val="00A752C8"/>
    <w:rsid w:val="00A93288"/>
    <w:rsid w:val="00A97B35"/>
    <w:rsid w:val="00AA5274"/>
    <w:rsid w:val="00AA56AF"/>
    <w:rsid w:val="00AA5FEB"/>
    <w:rsid w:val="00AA754D"/>
    <w:rsid w:val="00AB2468"/>
    <w:rsid w:val="00AB64F3"/>
    <w:rsid w:val="00AC1320"/>
    <w:rsid w:val="00AC6F02"/>
    <w:rsid w:val="00AD0C4E"/>
    <w:rsid w:val="00AD4AC3"/>
    <w:rsid w:val="00AE51E9"/>
    <w:rsid w:val="00AF3B32"/>
    <w:rsid w:val="00B05663"/>
    <w:rsid w:val="00B05BD1"/>
    <w:rsid w:val="00B15706"/>
    <w:rsid w:val="00B32412"/>
    <w:rsid w:val="00B33EF2"/>
    <w:rsid w:val="00B35E9D"/>
    <w:rsid w:val="00B37528"/>
    <w:rsid w:val="00B5115E"/>
    <w:rsid w:val="00B52F2E"/>
    <w:rsid w:val="00B536DB"/>
    <w:rsid w:val="00B53A2A"/>
    <w:rsid w:val="00B57472"/>
    <w:rsid w:val="00B61287"/>
    <w:rsid w:val="00B65B5F"/>
    <w:rsid w:val="00B66014"/>
    <w:rsid w:val="00B71FE4"/>
    <w:rsid w:val="00B73268"/>
    <w:rsid w:val="00B74200"/>
    <w:rsid w:val="00B8254B"/>
    <w:rsid w:val="00BA16F8"/>
    <w:rsid w:val="00BA584D"/>
    <w:rsid w:val="00BA7398"/>
    <w:rsid w:val="00BB48EA"/>
    <w:rsid w:val="00BD2FF7"/>
    <w:rsid w:val="00BD4DF2"/>
    <w:rsid w:val="00BE65BC"/>
    <w:rsid w:val="00BE692C"/>
    <w:rsid w:val="00BF4A2A"/>
    <w:rsid w:val="00C1019E"/>
    <w:rsid w:val="00C129D5"/>
    <w:rsid w:val="00C13862"/>
    <w:rsid w:val="00C13893"/>
    <w:rsid w:val="00C2608B"/>
    <w:rsid w:val="00C27046"/>
    <w:rsid w:val="00C34541"/>
    <w:rsid w:val="00C35463"/>
    <w:rsid w:val="00C35D47"/>
    <w:rsid w:val="00C40FA3"/>
    <w:rsid w:val="00C534D2"/>
    <w:rsid w:val="00C700CB"/>
    <w:rsid w:val="00C7123B"/>
    <w:rsid w:val="00C7189C"/>
    <w:rsid w:val="00C80404"/>
    <w:rsid w:val="00C80F13"/>
    <w:rsid w:val="00C879B8"/>
    <w:rsid w:val="00C976E7"/>
    <w:rsid w:val="00CA1616"/>
    <w:rsid w:val="00CA6F7B"/>
    <w:rsid w:val="00CA713B"/>
    <w:rsid w:val="00CB32DD"/>
    <w:rsid w:val="00CB3927"/>
    <w:rsid w:val="00CB471B"/>
    <w:rsid w:val="00CB68E2"/>
    <w:rsid w:val="00CC666B"/>
    <w:rsid w:val="00CD3AA8"/>
    <w:rsid w:val="00CD47F0"/>
    <w:rsid w:val="00CD7CB4"/>
    <w:rsid w:val="00CE51AD"/>
    <w:rsid w:val="00D001ED"/>
    <w:rsid w:val="00D040F5"/>
    <w:rsid w:val="00D0456B"/>
    <w:rsid w:val="00D049FA"/>
    <w:rsid w:val="00D22916"/>
    <w:rsid w:val="00D304C3"/>
    <w:rsid w:val="00D33472"/>
    <w:rsid w:val="00D37CEF"/>
    <w:rsid w:val="00D42FC5"/>
    <w:rsid w:val="00D54B7C"/>
    <w:rsid w:val="00D631F6"/>
    <w:rsid w:val="00D67749"/>
    <w:rsid w:val="00D71F0F"/>
    <w:rsid w:val="00D71F8C"/>
    <w:rsid w:val="00D801F9"/>
    <w:rsid w:val="00D865DE"/>
    <w:rsid w:val="00D942BF"/>
    <w:rsid w:val="00DB2235"/>
    <w:rsid w:val="00DB5AB3"/>
    <w:rsid w:val="00DE32C0"/>
    <w:rsid w:val="00E10551"/>
    <w:rsid w:val="00E114C1"/>
    <w:rsid w:val="00E1793E"/>
    <w:rsid w:val="00E25243"/>
    <w:rsid w:val="00E3250F"/>
    <w:rsid w:val="00E3630A"/>
    <w:rsid w:val="00E441CD"/>
    <w:rsid w:val="00E45B8B"/>
    <w:rsid w:val="00E54F78"/>
    <w:rsid w:val="00E616CC"/>
    <w:rsid w:val="00E65D29"/>
    <w:rsid w:val="00E67AE6"/>
    <w:rsid w:val="00E73A3D"/>
    <w:rsid w:val="00E83BB7"/>
    <w:rsid w:val="00E9331F"/>
    <w:rsid w:val="00E96BEC"/>
    <w:rsid w:val="00EA068F"/>
    <w:rsid w:val="00EA2D5C"/>
    <w:rsid w:val="00EB3263"/>
    <w:rsid w:val="00EB7C0A"/>
    <w:rsid w:val="00EC0D5E"/>
    <w:rsid w:val="00EC2270"/>
    <w:rsid w:val="00ED2E7E"/>
    <w:rsid w:val="00ED4439"/>
    <w:rsid w:val="00EE0ADE"/>
    <w:rsid w:val="00F0296B"/>
    <w:rsid w:val="00F02E8D"/>
    <w:rsid w:val="00F06722"/>
    <w:rsid w:val="00F068AF"/>
    <w:rsid w:val="00F12354"/>
    <w:rsid w:val="00F201BF"/>
    <w:rsid w:val="00F255F1"/>
    <w:rsid w:val="00F35C5A"/>
    <w:rsid w:val="00F36506"/>
    <w:rsid w:val="00F36AD4"/>
    <w:rsid w:val="00F3741E"/>
    <w:rsid w:val="00F41B9D"/>
    <w:rsid w:val="00F41E06"/>
    <w:rsid w:val="00F47F3D"/>
    <w:rsid w:val="00F50210"/>
    <w:rsid w:val="00F6789E"/>
    <w:rsid w:val="00F73E5F"/>
    <w:rsid w:val="00F75FF3"/>
    <w:rsid w:val="00F765C3"/>
    <w:rsid w:val="00F80688"/>
    <w:rsid w:val="00F8309D"/>
    <w:rsid w:val="00F83A88"/>
    <w:rsid w:val="00F848E5"/>
    <w:rsid w:val="00F84F00"/>
    <w:rsid w:val="00F84F30"/>
    <w:rsid w:val="00F855F2"/>
    <w:rsid w:val="00F9346C"/>
    <w:rsid w:val="00FA613B"/>
    <w:rsid w:val="00FA6945"/>
    <w:rsid w:val="00FA6E91"/>
    <w:rsid w:val="00FC2E1C"/>
    <w:rsid w:val="00FD004B"/>
    <w:rsid w:val="00FD6E6F"/>
    <w:rsid w:val="00FE217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1">
    <w:name w:val="s1"/>
    <w:basedOn w:val="a0"/>
    <w:rsid w:val="00316B0D"/>
  </w:style>
  <w:style w:type="paragraph" w:customStyle="1" w:styleId="af2">
    <w:name w:val="Установа"/>
    <w:basedOn w:val="a"/>
    <w:uiPriority w:val="99"/>
    <w:rsid w:val="00316B0D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eastAsia="ru-RU"/>
    </w:rPr>
  </w:style>
  <w:style w:type="paragraph" w:customStyle="1" w:styleId="af3">
    <w:name w:val="Назва документа"/>
    <w:basedOn w:val="a"/>
    <w:next w:val="a"/>
    <w:uiPriority w:val="99"/>
    <w:rsid w:val="00316B0D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1">
    <w:name w:val="s1"/>
    <w:basedOn w:val="a0"/>
    <w:rsid w:val="00316B0D"/>
  </w:style>
  <w:style w:type="paragraph" w:customStyle="1" w:styleId="af2">
    <w:name w:val="Установа"/>
    <w:basedOn w:val="a"/>
    <w:uiPriority w:val="99"/>
    <w:rsid w:val="00316B0D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eastAsia="ru-RU"/>
    </w:rPr>
  </w:style>
  <w:style w:type="paragraph" w:customStyle="1" w:styleId="af3">
    <w:name w:val="Назва документа"/>
    <w:basedOn w:val="a"/>
    <w:next w:val="a"/>
    <w:uiPriority w:val="99"/>
    <w:rsid w:val="00316B0D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prokhorovych@chamber.u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ed75cbe085cebeb3605ca86b17cd5be4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d01182984250551bdd643db69317dd08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EE69-0D57-459F-BE03-1CF3FDA85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CA1A4E-57AD-4204-8ADA-4F707873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4A407-2C26-46BC-86E0-8B48FA3499A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F26C68-CB8E-4CE2-9FE1-BBB85EF5B3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9E005C-B41C-4BE8-96A9-021501AC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19</cp:revision>
  <cp:lastPrinted>2016-10-12T13:10:00Z</cp:lastPrinted>
  <dcterms:created xsi:type="dcterms:W3CDTF">2016-11-17T08:35:00Z</dcterms:created>
  <dcterms:modified xsi:type="dcterms:W3CDTF">2016-11-17T09:01:00Z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