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106D21" w:rsidRDefault="00877CFB" w:rsidP="00A97B35"/>
    <w:p w:rsidR="00751CA5" w:rsidRPr="00106D21" w:rsidRDefault="00751CA5" w:rsidP="00340629"/>
    <w:p w:rsidR="00340629" w:rsidRPr="00106D21" w:rsidRDefault="00340629" w:rsidP="00340629">
      <w:r w:rsidRPr="00106D21">
        <w:t>№16-</w:t>
      </w:r>
    </w:p>
    <w:p w:rsidR="00340629" w:rsidRPr="00106D21" w:rsidRDefault="00340629" w:rsidP="00340629">
      <w:r w:rsidRPr="00106D21">
        <w:t xml:space="preserve">від __ </w:t>
      </w:r>
      <w:r w:rsidR="004E21F9" w:rsidRPr="00106D21">
        <w:t xml:space="preserve">листопада </w:t>
      </w:r>
      <w:r w:rsidRPr="00106D21">
        <w:t>2016 року</w:t>
      </w:r>
    </w:p>
    <w:p w:rsidR="00340629" w:rsidRPr="00106D21" w:rsidRDefault="000D6838" w:rsidP="007E58E9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106D21"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0D6838" w:rsidRPr="00106D21" w:rsidRDefault="000D6838" w:rsidP="000D6838">
      <w:r w:rsidRPr="00106D21">
        <w:rPr>
          <w:rFonts w:eastAsia="Calibri"/>
          <w:i/>
          <w:lang w:eastAsia="en-US"/>
        </w:rPr>
        <w:t xml:space="preserve"> 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D6838" w:rsidRPr="00106D21" w:rsidTr="000D6838">
        <w:tc>
          <w:tcPr>
            <w:tcW w:w="5069" w:type="dxa"/>
            <w:shd w:val="clear" w:color="auto" w:fill="auto"/>
          </w:tcPr>
          <w:p w:rsidR="000D6838" w:rsidRPr="00106D21" w:rsidRDefault="000D6838" w:rsidP="000D683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D6838" w:rsidRPr="00106D21" w:rsidTr="002C3F4C">
              <w:tc>
                <w:tcPr>
                  <w:tcW w:w="236" w:type="dxa"/>
                  <w:shd w:val="clear" w:color="auto" w:fill="auto"/>
                </w:tcPr>
                <w:p w:rsidR="000D6838" w:rsidRPr="00106D21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106D21" w:rsidRDefault="000D6838" w:rsidP="000D6838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D6838" w:rsidRPr="00106D21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106D21" w:rsidRDefault="000D6838" w:rsidP="000D6838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846C88" w:rsidRPr="00106D21" w:rsidRDefault="00846C88" w:rsidP="00846C88">
                  <w:pPr>
                    <w:rPr>
                      <w:rFonts w:eastAsia="Calibri"/>
                      <w:b/>
                      <w:szCs w:val="22"/>
                    </w:rPr>
                  </w:pPr>
                  <w:r w:rsidRPr="00106D21">
                    <w:rPr>
                      <w:rFonts w:eastAsia="Calibri"/>
                      <w:b/>
                      <w:szCs w:val="22"/>
                    </w:rPr>
                    <w:t>Голові Комітету Верховної Ради України з питань податкової та митної політики</w:t>
                  </w:r>
                </w:p>
                <w:p w:rsidR="000D6838" w:rsidRPr="00106D21" w:rsidRDefault="00846C88" w:rsidP="00A113C1">
                  <w:pPr>
                    <w:rPr>
                      <w:rFonts w:eastAsia="Calibri"/>
                      <w:b/>
                      <w:szCs w:val="22"/>
                    </w:rPr>
                  </w:pPr>
                  <w:r w:rsidRPr="00106D21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106D21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2C3F4C" w:rsidRPr="00106D21" w:rsidTr="002C3F4C">
              <w:tc>
                <w:tcPr>
                  <w:tcW w:w="236" w:type="dxa"/>
                  <w:shd w:val="clear" w:color="auto" w:fill="auto"/>
                </w:tcPr>
                <w:p w:rsidR="002C3F4C" w:rsidRPr="00106D21" w:rsidRDefault="002C3F4C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106D21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2C3F4C" w:rsidRPr="00106D21" w:rsidRDefault="002C3F4C" w:rsidP="00751CA5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D6838" w:rsidRPr="00106D21" w:rsidRDefault="000D6838" w:rsidP="000D6838">
            <w:pPr>
              <w:rPr>
                <w:b/>
              </w:rPr>
            </w:pPr>
          </w:p>
        </w:tc>
      </w:tr>
    </w:tbl>
    <w:p w:rsidR="00751CA5" w:rsidRPr="00106D21" w:rsidRDefault="00751CA5" w:rsidP="000D6838">
      <w:pPr>
        <w:jc w:val="both"/>
        <w:rPr>
          <w:rFonts w:eastAsia="Calibri"/>
          <w:i/>
          <w:szCs w:val="20"/>
          <w:lang w:eastAsia="en-US"/>
        </w:rPr>
      </w:pPr>
    </w:p>
    <w:p w:rsidR="00846C88" w:rsidRPr="00106D21" w:rsidRDefault="000D6838" w:rsidP="00E37E71">
      <w:pPr>
        <w:jc w:val="both"/>
        <w:rPr>
          <w:rFonts w:eastAsia="Calibri"/>
          <w:i/>
          <w:szCs w:val="20"/>
          <w:lang w:eastAsia="en-US"/>
        </w:rPr>
      </w:pPr>
      <w:r w:rsidRPr="00106D21">
        <w:rPr>
          <w:rFonts w:eastAsia="Calibri"/>
          <w:i/>
          <w:szCs w:val="20"/>
          <w:lang w:eastAsia="en-US"/>
        </w:rPr>
        <w:t xml:space="preserve">Щодо </w:t>
      </w:r>
      <w:r w:rsidR="00846C88" w:rsidRPr="00106D21">
        <w:rPr>
          <w:rFonts w:eastAsia="Calibri"/>
          <w:i/>
          <w:szCs w:val="20"/>
          <w:lang w:eastAsia="en-US"/>
        </w:rPr>
        <w:t>введення автоматичного перегляду ціни на оренду</w:t>
      </w:r>
    </w:p>
    <w:p w:rsidR="00846C88" w:rsidRPr="00106D21" w:rsidRDefault="00846C88" w:rsidP="00E37E71">
      <w:pPr>
        <w:jc w:val="both"/>
        <w:rPr>
          <w:rFonts w:eastAsia="Calibri"/>
          <w:i/>
          <w:szCs w:val="20"/>
          <w:lang w:eastAsia="en-US"/>
        </w:rPr>
      </w:pPr>
      <w:r w:rsidRPr="00106D21">
        <w:rPr>
          <w:rFonts w:eastAsia="Calibri"/>
          <w:i/>
          <w:szCs w:val="20"/>
          <w:lang w:eastAsia="en-US"/>
        </w:rPr>
        <w:t xml:space="preserve">за землі державної та комунальної форми власності </w:t>
      </w:r>
    </w:p>
    <w:p w:rsidR="000D6838" w:rsidRPr="00106D21" w:rsidRDefault="00846C88" w:rsidP="00E37E71">
      <w:pPr>
        <w:jc w:val="both"/>
        <w:rPr>
          <w:rFonts w:eastAsia="Calibri"/>
          <w:i/>
          <w:szCs w:val="20"/>
          <w:lang w:eastAsia="en-US"/>
        </w:rPr>
      </w:pPr>
      <w:r w:rsidRPr="00106D21">
        <w:rPr>
          <w:rFonts w:eastAsia="Calibri"/>
          <w:i/>
          <w:szCs w:val="20"/>
          <w:lang w:eastAsia="en-US"/>
        </w:rPr>
        <w:t>при зміні нормативної грошової оцінки землі</w:t>
      </w:r>
    </w:p>
    <w:p w:rsidR="000D6838" w:rsidRPr="00106D21" w:rsidRDefault="000D6838" w:rsidP="000D6838">
      <w:pPr>
        <w:jc w:val="both"/>
        <w:rPr>
          <w:rFonts w:eastAsia="Calibri"/>
          <w:i/>
          <w:sz w:val="22"/>
          <w:lang w:eastAsia="en-US"/>
        </w:rPr>
      </w:pPr>
    </w:p>
    <w:p w:rsidR="00846C88" w:rsidRPr="00106D21" w:rsidRDefault="00846C88" w:rsidP="00846C88">
      <w:pPr>
        <w:ind w:firstLine="709"/>
        <w:jc w:val="center"/>
        <w:rPr>
          <w:b/>
        </w:rPr>
      </w:pPr>
      <w:r w:rsidRPr="00106D21">
        <w:rPr>
          <w:b/>
        </w:rPr>
        <w:t>Шановна Ніно Петрівно!</w:t>
      </w:r>
    </w:p>
    <w:p w:rsidR="000D6838" w:rsidRPr="00106D21" w:rsidRDefault="000D6838" w:rsidP="000D6838">
      <w:pPr>
        <w:rPr>
          <w:lang w:eastAsia="en-US"/>
        </w:rPr>
      </w:pPr>
    </w:p>
    <w:p w:rsidR="00041948" w:rsidRPr="00106D21" w:rsidRDefault="00041948" w:rsidP="00106D21">
      <w:pPr>
        <w:spacing w:after="120"/>
        <w:ind w:firstLine="709"/>
        <w:jc w:val="both"/>
      </w:pPr>
      <w:r w:rsidRPr="00106D21">
        <w:t xml:space="preserve">Від імені Ради директорів Американської торгівельної палати в Україні (надалі – Палата) та компаній-членів засвідчуємо Вам свою глибоку повагу та звертаємось до Вас з наступного питання. </w:t>
      </w:r>
    </w:p>
    <w:p w:rsidR="00106D21" w:rsidRPr="00106D21" w:rsidRDefault="00106D21" w:rsidP="00106D21">
      <w:pPr>
        <w:spacing w:after="120"/>
        <w:ind w:firstLine="709"/>
        <w:jc w:val="both"/>
        <w:rPr>
          <w:color w:val="000000" w:themeColor="text1"/>
        </w:rPr>
      </w:pPr>
      <w:r w:rsidRPr="00106D21">
        <w:rPr>
          <w:color w:val="000000" w:themeColor="text1"/>
        </w:rPr>
        <w:t xml:space="preserve"> У</w:t>
      </w:r>
      <w:r w:rsidRPr="00106D21">
        <w:rPr>
          <w:color w:val="000000" w:themeColor="text1"/>
        </w:rPr>
        <w:t xml:space="preserve"> процесі здійснення господарської діяльності платники податку зустрічаються з  проблемою щодо своєчасного та повного нарахування орендної плати за землі державної та комунальної форми власності. Зокрема, для визначення розміру земельного податку та орендної плати за землі державної та комунальної форм </w:t>
      </w:r>
      <w:r w:rsidR="00615342" w:rsidRPr="00106D21">
        <w:rPr>
          <w:color w:val="000000" w:themeColor="text1"/>
        </w:rPr>
        <w:t xml:space="preserve">власності </w:t>
      </w:r>
      <w:r w:rsidRPr="00106D21">
        <w:rPr>
          <w:color w:val="000000" w:themeColor="text1"/>
        </w:rPr>
        <w:t>(</w:t>
      </w:r>
      <w:r w:rsidR="00615342">
        <w:rPr>
          <w:color w:val="000000" w:themeColor="text1"/>
        </w:rPr>
        <w:t>на</w:t>
      </w:r>
      <w:r w:rsidRPr="00106D21">
        <w:rPr>
          <w:color w:val="000000" w:themeColor="text1"/>
        </w:rPr>
        <w:t>далі</w:t>
      </w:r>
      <w:r w:rsidR="00615342">
        <w:rPr>
          <w:color w:val="000000" w:themeColor="text1"/>
        </w:rPr>
        <w:t xml:space="preserve"> </w:t>
      </w:r>
      <w:r w:rsidR="00615342" w:rsidRPr="00106D21">
        <w:t>–</w:t>
      </w:r>
      <w:r w:rsidR="00615342">
        <w:t xml:space="preserve"> </w:t>
      </w:r>
      <w:r w:rsidRPr="00106D21">
        <w:rPr>
          <w:color w:val="000000" w:themeColor="text1"/>
        </w:rPr>
        <w:t>орендна плата за землю) згідно з</w:t>
      </w:r>
      <w:r>
        <w:rPr>
          <w:color w:val="000000" w:themeColor="text1"/>
        </w:rPr>
        <w:t>і</w:t>
      </w:r>
      <w:r w:rsidRPr="00106D21">
        <w:rPr>
          <w:color w:val="000000" w:themeColor="text1"/>
        </w:rPr>
        <w:t xml:space="preserve"> ст. 289 П</w:t>
      </w:r>
      <w:r>
        <w:rPr>
          <w:color w:val="000000" w:themeColor="text1"/>
        </w:rPr>
        <w:t xml:space="preserve">одаткового кодексу України (надалі </w:t>
      </w:r>
      <w:r w:rsidRPr="00106D21">
        <w:t>–</w:t>
      </w:r>
      <w:r>
        <w:t xml:space="preserve"> ПКУ</w:t>
      </w:r>
      <w:r>
        <w:rPr>
          <w:color w:val="000000" w:themeColor="text1"/>
        </w:rPr>
        <w:t xml:space="preserve">) </w:t>
      </w:r>
      <w:r w:rsidRPr="00106D21">
        <w:rPr>
          <w:color w:val="000000" w:themeColor="text1"/>
        </w:rPr>
        <w:t>використовується нормативна грошова оцінка земельних ділянок</w:t>
      </w:r>
      <w:r>
        <w:rPr>
          <w:color w:val="000000" w:themeColor="text1"/>
        </w:rPr>
        <w:t xml:space="preserve"> (на</w:t>
      </w:r>
      <w:r w:rsidRPr="00106D21">
        <w:rPr>
          <w:color w:val="000000" w:themeColor="text1"/>
        </w:rPr>
        <w:t xml:space="preserve">далі </w:t>
      </w:r>
      <w:r w:rsidRPr="00106D21">
        <w:t xml:space="preserve">– </w:t>
      </w:r>
      <w:r w:rsidRPr="00106D21">
        <w:rPr>
          <w:color w:val="000000" w:themeColor="text1"/>
        </w:rPr>
        <w:t>НГО</w:t>
      </w:r>
      <w:r>
        <w:rPr>
          <w:color w:val="000000" w:themeColor="text1"/>
        </w:rPr>
        <w:t>)</w:t>
      </w:r>
      <w:r w:rsidRPr="00106D21">
        <w:rPr>
          <w:color w:val="000000" w:themeColor="text1"/>
        </w:rPr>
        <w:t>.</w:t>
      </w:r>
    </w:p>
    <w:p w:rsidR="00106D21" w:rsidRPr="00106D21" w:rsidRDefault="00106D21" w:rsidP="00106D21">
      <w:pPr>
        <w:pStyle w:val="ac"/>
        <w:spacing w:before="0" w:beforeAutospacing="0" w:after="120" w:afterAutospacing="0"/>
        <w:ind w:firstLine="709"/>
        <w:jc w:val="both"/>
        <w:rPr>
          <w:color w:val="0D0D0D" w:themeColor="text1" w:themeTint="F2"/>
        </w:rPr>
      </w:pPr>
      <w:r w:rsidRPr="00106D21">
        <w:rPr>
          <w:color w:val="000000" w:themeColor="text1"/>
        </w:rPr>
        <w:t>Компанії уклад</w:t>
      </w:r>
      <w:r>
        <w:rPr>
          <w:color w:val="000000" w:themeColor="text1"/>
        </w:rPr>
        <w:t xml:space="preserve">ають з органами місцевої влади </w:t>
      </w:r>
      <w:r w:rsidRPr="00106D21">
        <w:rPr>
          <w:color w:val="000000" w:themeColor="text1"/>
        </w:rPr>
        <w:t xml:space="preserve">договори оренди земельної ділянки державної та комунальної власності, щодо якої відповідними органами прийнято нормативну грошову оцінку. Це великий обсяг договорів, який потребує постійного адміністрування. Адже </w:t>
      </w:r>
      <w:r>
        <w:rPr>
          <w:color w:val="000000" w:themeColor="text1"/>
        </w:rPr>
        <w:t>НГО</w:t>
      </w:r>
      <w:r w:rsidR="00615342">
        <w:rPr>
          <w:color w:val="000000" w:themeColor="text1"/>
        </w:rPr>
        <w:t xml:space="preserve"> </w:t>
      </w:r>
      <w:r w:rsidRPr="00106D21">
        <w:rPr>
          <w:color w:val="000000" w:themeColor="text1"/>
        </w:rPr>
        <w:t xml:space="preserve">затверджується відповідною сільською, селищною, міською, районною радою і переглядається час від часу. </w:t>
      </w:r>
      <w:r w:rsidRPr="00106D21">
        <w:rPr>
          <w:color w:val="0D0D0D" w:themeColor="text1" w:themeTint="F2"/>
        </w:rPr>
        <w:t xml:space="preserve">Крім цього, як тільки платник податків дізнається про зміну НГО земельної ділянки державної або комунальної власності  платник податку змушений звертатись до місцевої ради з проханням внесення змін до договору. </w:t>
      </w:r>
    </w:p>
    <w:p w:rsidR="00106D21" w:rsidRPr="00106D21" w:rsidRDefault="00106D21" w:rsidP="00106D21">
      <w:pPr>
        <w:pStyle w:val="ac"/>
        <w:spacing w:before="0" w:beforeAutospacing="0" w:after="120" w:afterAutospacing="0"/>
        <w:ind w:firstLine="720"/>
        <w:jc w:val="both"/>
        <w:rPr>
          <w:color w:val="0D0D0D" w:themeColor="text1" w:themeTint="F2"/>
        </w:rPr>
      </w:pPr>
      <w:r w:rsidRPr="00106D21">
        <w:rPr>
          <w:color w:val="0D0D0D" w:themeColor="text1" w:themeTint="F2"/>
        </w:rPr>
        <w:t>Процес відслідковування НГО, уточнення показників звітності з орендної плати за землю, внесення змін до договорів оренди з органами місцевої ради потребує значного часу на адміністрування орендної плати за землю у платника податків.</w:t>
      </w:r>
    </w:p>
    <w:p w:rsidR="00106D21" w:rsidRPr="00106D21" w:rsidRDefault="00106D21" w:rsidP="00106D21">
      <w:pPr>
        <w:spacing w:after="120"/>
        <w:ind w:firstLine="720"/>
        <w:jc w:val="both"/>
        <w:rPr>
          <w:color w:val="000000" w:themeColor="text1"/>
        </w:rPr>
      </w:pPr>
      <w:r w:rsidRPr="00106D21">
        <w:rPr>
          <w:color w:val="000000" w:themeColor="text1"/>
        </w:rPr>
        <w:t>Судова практика Верховного суду України останніх років (2014-2016</w:t>
      </w:r>
      <w:r>
        <w:rPr>
          <w:color w:val="000000" w:themeColor="text1"/>
        </w:rPr>
        <w:t xml:space="preserve"> </w:t>
      </w:r>
      <w:r w:rsidRPr="00106D21">
        <w:rPr>
          <w:color w:val="000000" w:themeColor="text1"/>
        </w:rPr>
        <w:t>р</w:t>
      </w:r>
      <w:r>
        <w:rPr>
          <w:color w:val="000000" w:themeColor="text1"/>
        </w:rPr>
        <w:t>р</w:t>
      </w:r>
      <w:r w:rsidRPr="00106D21">
        <w:rPr>
          <w:color w:val="000000" w:themeColor="text1"/>
        </w:rPr>
        <w:t>.) визначає, що зміна розміру земельної плати є підставою для перегляду встановленого договором розміру орендної плати шляхом внесення відповідних змін до договору оренди.  Зміна розміру земельної плати не призводить до автоматичної зміни  умов договору в частині орендної плати.</w:t>
      </w:r>
    </w:p>
    <w:p w:rsidR="00106D21" w:rsidRPr="00106D21" w:rsidRDefault="00106D21" w:rsidP="00106D21">
      <w:pPr>
        <w:pStyle w:val="ac"/>
        <w:spacing w:before="0" w:beforeAutospacing="0" w:after="120" w:afterAutospacing="0"/>
        <w:ind w:firstLine="720"/>
        <w:jc w:val="both"/>
      </w:pPr>
      <w:r w:rsidRPr="00106D21">
        <w:rPr>
          <w:color w:val="000000" w:themeColor="text1"/>
        </w:rPr>
        <w:t xml:space="preserve">Поряд з цим позиція податкових органів зводиться до того, що </w:t>
      </w:r>
      <w:r w:rsidRPr="00106D21">
        <w:t>у разі зміни НГО землі, яка є базою оподаткування для плати за землю:</w:t>
      </w:r>
    </w:p>
    <w:p w:rsidR="00106D21" w:rsidRPr="00106D21" w:rsidRDefault="00106D21" w:rsidP="00106D21">
      <w:pPr>
        <w:pStyle w:val="ac"/>
        <w:numPr>
          <w:ilvl w:val="0"/>
          <w:numId w:val="22"/>
        </w:numPr>
        <w:spacing w:before="0" w:beforeAutospacing="0" w:after="120" w:afterAutospacing="0"/>
        <w:jc w:val="both"/>
      </w:pPr>
      <w:r w:rsidRPr="00106D21">
        <w:lastRenderedPageBreak/>
        <w:t>у бік збільшення НГО –автоматично змінюється річна сума податкового зобов'язання по орендній платі за земельні ділянки державної і комунальної власності;</w:t>
      </w:r>
    </w:p>
    <w:p w:rsidR="00106D21" w:rsidRPr="00106D21" w:rsidRDefault="00106D21" w:rsidP="00106D21">
      <w:pPr>
        <w:pStyle w:val="ac"/>
        <w:numPr>
          <w:ilvl w:val="0"/>
          <w:numId w:val="22"/>
        </w:numPr>
        <w:spacing w:before="0" w:beforeAutospacing="0" w:after="120" w:afterAutospacing="0"/>
        <w:jc w:val="both"/>
      </w:pPr>
      <w:r w:rsidRPr="00106D21">
        <w:t xml:space="preserve">у бік зменшення НГО – сторона зобов`язана </w:t>
      </w:r>
      <w:proofErr w:type="spellStart"/>
      <w:r w:rsidRPr="00106D21">
        <w:t>внести</w:t>
      </w:r>
      <w:proofErr w:type="spellEnd"/>
      <w:r w:rsidRPr="00106D21">
        <w:t xml:space="preserve"> зміни до договору і лише з моменту внесення змін до договору має право застосовувати змінену НГО.</w:t>
      </w:r>
    </w:p>
    <w:p w:rsidR="00106D21" w:rsidRPr="00106D21" w:rsidRDefault="00106D21" w:rsidP="00106D21">
      <w:pPr>
        <w:pStyle w:val="ac"/>
        <w:spacing w:before="0" w:beforeAutospacing="0" w:after="120" w:afterAutospacing="0"/>
        <w:ind w:firstLine="720"/>
        <w:jc w:val="both"/>
        <w:rPr>
          <w:color w:val="000000" w:themeColor="text1"/>
        </w:rPr>
      </w:pPr>
      <w:r w:rsidRPr="00106D21">
        <w:t>Тобто фіскальний орган застосовує подвійний підхід з оподаткування до однієї і тієї ж операції</w:t>
      </w:r>
      <w:r>
        <w:t xml:space="preserve"> </w:t>
      </w:r>
      <w:r w:rsidRPr="00106D21">
        <w:t>– зміни НГО.</w:t>
      </w:r>
    </w:p>
    <w:p w:rsidR="00106D21" w:rsidRPr="00106D21" w:rsidRDefault="00106D21" w:rsidP="00106D21">
      <w:pPr>
        <w:spacing w:after="120"/>
        <w:ind w:firstLine="720"/>
        <w:jc w:val="both"/>
        <w:rPr>
          <w:color w:val="000000" w:themeColor="text1"/>
        </w:rPr>
      </w:pPr>
      <w:r w:rsidRPr="00106D21">
        <w:rPr>
          <w:color w:val="0D0D0D" w:themeColor="text1" w:themeTint="F2"/>
        </w:rPr>
        <w:t>Тому</w:t>
      </w:r>
      <w:r>
        <w:rPr>
          <w:color w:val="0D0D0D" w:themeColor="text1" w:themeTint="F2"/>
        </w:rPr>
        <w:t>,</w:t>
      </w:r>
      <w:r w:rsidRPr="00106D21">
        <w:rPr>
          <w:color w:val="0D0D0D" w:themeColor="text1" w:themeTint="F2"/>
        </w:rPr>
        <w:t xml:space="preserve"> з метою однакового підходу до сплати орендної плати за землю при зміні НГО було б доцільним визначити, що </w:t>
      </w:r>
      <w:r w:rsidRPr="00106D21">
        <w:rPr>
          <w:color w:val="000000" w:themeColor="text1"/>
        </w:rPr>
        <w:t>у разі зміни нормативної грошової оцінки землі, яка є базою оподаткування для плати за землю, відповідно автоматично змінюються і ціна оренди за землі державної та комунальної форми власності.</w:t>
      </w:r>
    </w:p>
    <w:p w:rsidR="00106D21" w:rsidRPr="00B128C4" w:rsidRDefault="00106D21" w:rsidP="00106D21">
      <w:pPr>
        <w:spacing w:after="120"/>
        <w:ind w:firstLine="720"/>
        <w:jc w:val="both"/>
        <w:rPr>
          <w:color w:val="000000" w:themeColor="text1"/>
        </w:rPr>
      </w:pPr>
      <w:r w:rsidRPr="00106D21">
        <w:rPr>
          <w:color w:val="000000" w:themeColor="text1"/>
        </w:rPr>
        <w:t>З огляду на зазначене вище</w:t>
      </w:r>
      <w:r>
        <w:rPr>
          <w:color w:val="000000" w:themeColor="text1"/>
        </w:rPr>
        <w:t>,</w:t>
      </w:r>
      <w:r w:rsidRPr="00106D21">
        <w:rPr>
          <w:color w:val="000000" w:themeColor="text1"/>
        </w:rPr>
        <w:t xml:space="preserve"> пропонуємо </w:t>
      </w:r>
      <w:proofErr w:type="spellStart"/>
      <w:r w:rsidRPr="00106D21">
        <w:rPr>
          <w:color w:val="000000" w:themeColor="text1"/>
        </w:rPr>
        <w:t>внести</w:t>
      </w:r>
      <w:proofErr w:type="spellEnd"/>
      <w:r w:rsidRPr="00106D21">
        <w:rPr>
          <w:color w:val="000000" w:themeColor="text1"/>
        </w:rPr>
        <w:t xml:space="preserve"> зміни до ПКУ, зокрема </w:t>
      </w:r>
      <w:r w:rsidRPr="00B128C4">
        <w:rPr>
          <w:color w:val="000000" w:themeColor="text1"/>
        </w:rPr>
        <w:t>ст. 288 ПКУ доповнити пунктом 288.5.4 наступного змісту:</w:t>
      </w:r>
    </w:p>
    <w:p w:rsidR="00106D21" w:rsidRPr="00106D21" w:rsidRDefault="00106D21" w:rsidP="00B128C4">
      <w:pPr>
        <w:spacing w:after="120"/>
        <w:ind w:firstLine="709"/>
        <w:jc w:val="both"/>
        <w:rPr>
          <w:b/>
          <w:i/>
          <w:color w:val="0D0D0D" w:themeColor="text1" w:themeTint="F2"/>
        </w:rPr>
      </w:pPr>
      <w:r w:rsidRPr="00106D21">
        <w:rPr>
          <w:b/>
          <w:i/>
          <w:color w:val="000000" w:themeColor="text1"/>
        </w:rPr>
        <w:t>«при зміни нормативної грошової оцінки земельної ділянки,  розмір орендної плати за земельні ділянки державної та комунальної форм власності з дати такої зміни змінюється автоматично та не потребує внесення змін до договору оренди між оренд</w:t>
      </w:r>
      <w:r w:rsidR="00B128C4">
        <w:rPr>
          <w:b/>
          <w:i/>
          <w:color w:val="000000" w:themeColor="text1"/>
        </w:rPr>
        <w:t>одавцем (власником) і орендарем».</w:t>
      </w:r>
    </w:p>
    <w:p w:rsidR="00E93E07" w:rsidRDefault="00106D21" w:rsidP="00106D21">
      <w:pPr>
        <w:spacing w:after="120"/>
        <w:ind w:firstLine="709"/>
        <w:jc w:val="both"/>
        <w:rPr>
          <w:color w:val="000000" w:themeColor="text1"/>
        </w:rPr>
      </w:pPr>
      <w:r w:rsidRPr="00106D21">
        <w:rPr>
          <w:color w:val="000000" w:themeColor="text1"/>
        </w:rPr>
        <w:t>Заздалегідь вдячні</w:t>
      </w:r>
      <w:r w:rsidR="00E93E07">
        <w:rPr>
          <w:color w:val="000000" w:themeColor="text1"/>
        </w:rPr>
        <w:t xml:space="preserve"> за врахування нашої пропозиції.</w:t>
      </w:r>
    </w:p>
    <w:p w:rsidR="00106D21" w:rsidRPr="00106D21" w:rsidRDefault="00106D21" w:rsidP="00106D21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106D21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106D21">
        <w:rPr>
          <w:color w:val="000000"/>
          <w:bdr w:val="none" w:sz="0" w:space="0" w:color="auto" w:frame="1"/>
        </w:rPr>
        <w:t>адресою</w:t>
      </w:r>
      <w:proofErr w:type="spellEnd"/>
      <w:r w:rsidRPr="00106D21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106D21">
          <w:rPr>
            <w:rStyle w:val="a9"/>
            <w:bdr w:val="none" w:sz="0" w:space="0" w:color="auto" w:frame="1"/>
          </w:rPr>
          <w:t>oprokhorovych@chamber.ua</w:t>
        </w:r>
      </w:hyperlink>
      <w:r w:rsidRPr="00106D21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106D21">
        <w:t>оподаткування та митна політика</w:t>
      </w:r>
      <w:r w:rsidRPr="00106D21">
        <w:rPr>
          <w:color w:val="000000"/>
          <w:bdr w:val="none" w:sz="0" w:space="0" w:color="auto" w:frame="1"/>
        </w:rPr>
        <w:t xml:space="preserve">). </w:t>
      </w:r>
    </w:p>
    <w:p w:rsidR="00106D21" w:rsidRPr="00106D21" w:rsidRDefault="00106D21" w:rsidP="000D6838"/>
    <w:p w:rsidR="00340629" w:rsidRPr="00106D21" w:rsidRDefault="00340629" w:rsidP="00340629">
      <w:pPr>
        <w:jc w:val="both"/>
        <w:rPr>
          <w:b/>
        </w:rPr>
      </w:pPr>
      <w:r w:rsidRPr="00106D21">
        <w:rPr>
          <w:b/>
        </w:rPr>
        <w:t>З глибокою повагою,</w:t>
      </w:r>
    </w:p>
    <w:p w:rsidR="00340629" w:rsidRPr="00106D21" w:rsidRDefault="00340629" w:rsidP="00340629">
      <w:pPr>
        <w:jc w:val="both"/>
      </w:pPr>
    </w:p>
    <w:p w:rsidR="00340629" w:rsidRPr="00106D21" w:rsidRDefault="00340629" w:rsidP="00340629">
      <w:pPr>
        <w:jc w:val="both"/>
        <w:rPr>
          <w:b/>
        </w:rPr>
      </w:pPr>
      <w:r w:rsidRPr="00106D21">
        <w:rPr>
          <w:rStyle w:val="ab"/>
          <w:color w:val="000000"/>
        </w:rPr>
        <w:t>Президент</w:t>
      </w:r>
      <w:r w:rsidRPr="00106D21">
        <w:rPr>
          <w:rStyle w:val="ab"/>
          <w:color w:val="000000"/>
        </w:rPr>
        <w:tab/>
      </w:r>
      <w:r w:rsidRPr="00106D21">
        <w:rPr>
          <w:rStyle w:val="ab"/>
          <w:color w:val="000000"/>
        </w:rPr>
        <w:tab/>
      </w:r>
      <w:r w:rsidRPr="00106D21">
        <w:rPr>
          <w:rStyle w:val="ab"/>
          <w:color w:val="000000"/>
        </w:rPr>
        <w:tab/>
      </w:r>
      <w:r w:rsidRPr="00106D21">
        <w:rPr>
          <w:b/>
        </w:rPr>
        <w:tab/>
      </w:r>
      <w:r w:rsidRPr="00106D21">
        <w:rPr>
          <w:b/>
        </w:rPr>
        <w:tab/>
      </w:r>
      <w:r w:rsidRPr="00106D21">
        <w:rPr>
          <w:b/>
        </w:rPr>
        <w:tab/>
      </w:r>
      <w:r w:rsidRPr="00106D21">
        <w:rPr>
          <w:b/>
        </w:rPr>
        <w:tab/>
      </w:r>
      <w:r w:rsidRPr="00106D21">
        <w:rPr>
          <w:b/>
        </w:rPr>
        <w:tab/>
        <w:t xml:space="preserve">                                  Андрій </w:t>
      </w:r>
      <w:proofErr w:type="spellStart"/>
      <w:r w:rsidRPr="00106D21">
        <w:rPr>
          <w:b/>
        </w:rPr>
        <w:t>Гундер</w:t>
      </w:r>
      <w:proofErr w:type="spellEnd"/>
      <w:r w:rsidRPr="00106D21">
        <w:rPr>
          <w:b/>
        </w:rPr>
        <w:t xml:space="preserve"> </w:t>
      </w:r>
    </w:p>
    <w:p w:rsidR="00340629" w:rsidRPr="00106D21" w:rsidRDefault="00340629" w:rsidP="00340629">
      <w:pPr>
        <w:spacing w:before="120" w:after="120"/>
        <w:ind w:firstLine="709"/>
        <w:jc w:val="both"/>
      </w:pPr>
    </w:p>
    <w:p w:rsidR="00E96BEC" w:rsidRPr="00106D21" w:rsidRDefault="00E96BEC" w:rsidP="00340629">
      <w:pPr>
        <w:rPr>
          <w:b/>
        </w:rPr>
      </w:pPr>
    </w:p>
    <w:sectPr w:rsidR="00E96BEC" w:rsidRPr="00106D21" w:rsidSect="00B536DB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567" w:right="991" w:bottom="567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DF" w:rsidRDefault="00496BDF" w:rsidP="00742BAD">
      <w:r>
        <w:separator/>
      </w:r>
    </w:p>
  </w:endnote>
  <w:endnote w:type="continuationSeparator" w:id="0">
    <w:p w:rsidR="00496BDF" w:rsidRDefault="00496BDF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Pr="00EA068F" w:rsidRDefault="00E3250F" w:rsidP="00B536DB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E3250F" w:rsidRPr="00FD004B" w:rsidRDefault="00E3250F" w:rsidP="00B536DB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E3250F" w:rsidRPr="00C35D47" w:rsidRDefault="00E3250F" w:rsidP="00B536DB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E3250F" w:rsidRPr="00EA068F" w:rsidRDefault="00E3250F" w:rsidP="00B536DB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  <w:p w:rsidR="00E3250F" w:rsidRDefault="00E32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DF" w:rsidRDefault="00496BDF" w:rsidP="00742BAD">
      <w:r>
        <w:separator/>
      </w:r>
    </w:p>
  </w:footnote>
  <w:footnote w:type="continuationSeparator" w:id="0">
    <w:p w:rsidR="00496BDF" w:rsidRDefault="00496BDF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496B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496BDF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E3250F" w:rsidRPr="00712510" w:rsidRDefault="00E3250F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E3250F">
    <w:pPr>
      <w:pStyle w:val="a3"/>
    </w:pPr>
    <w:r>
      <w:rPr>
        <w:noProof/>
        <w:lang w:val="en-US" w:eastAsia="en-US"/>
      </w:rPr>
      <w:drawing>
        <wp:inline distT="0" distB="0" distL="0" distR="0" wp14:anchorId="7429C93A" wp14:editId="0219A006">
          <wp:extent cx="6390640" cy="659564"/>
          <wp:effectExtent l="0" t="0" r="0" b="7620"/>
          <wp:docPr id="2" name="Рисунок 2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B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B679A3"/>
    <w:multiLevelType w:val="hybridMultilevel"/>
    <w:tmpl w:val="4C62B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51A40"/>
    <w:multiLevelType w:val="hybridMultilevel"/>
    <w:tmpl w:val="FC6E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20"/>
  </w:num>
  <w:num w:numId="11">
    <w:abstractNumId w:val="6"/>
  </w:num>
  <w:num w:numId="12">
    <w:abstractNumId w:val="1"/>
  </w:num>
  <w:num w:numId="13">
    <w:abstractNumId w:val="21"/>
  </w:num>
  <w:num w:numId="14">
    <w:abstractNumId w:val="1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yana Sheremet">
    <w15:presenceInfo w15:providerId="AD" w15:userId="S-1-5-21-1320910692-1815770040-1349916565-75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1948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C1FA2"/>
    <w:rsid w:val="000C3DEB"/>
    <w:rsid w:val="000D18EA"/>
    <w:rsid w:val="000D6838"/>
    <w:rsid w:val="000E1D29"/>
    <w:rsid w:val="000E3826"/>
    <w:rsid w:val="000E63EE"/>
    <w:rsid w:val="000F0214"/>
    <w:rsid w:val="000F30BD"/>
    <w:rsid w:val="00106D21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E496C"/>
    <w:rsid w:val="001F2EDF"/>
    <w:rsid w:val="001F6D29"/>
    <w:rsid w:val="00201D61"/>
    <w:rsid w:val="00204B14"/>
    <w:rsid w:val="00206E58"/>
    <w:rsid w:val="002129E8"/>
    <w:rsid w:val="002241E3"/>
    <w:rsid w:val="00230124"/>
    <w:rsid w:val="002424FC"/>
    <w:rsid w:val="00266987"/>
    <w:rsid w:val="002722B6"/>
    <w:rsid w:val="002819F1"/>
    <w:rsid w:val="00286295"/>
    <w:rsid w:val="00291AF4"/>
    <w:rsid w:val="00293BCD"/>
    <w:rsid w:val="00294906"/>
    <w:rsid w:val="002A1E61"/>
    <w:rsid w:val="002B416F"/>
    <w:rsid w:val="002B41E3"/>
    <w:rsid w:val="002B60F0"/>
    <w:rsid w:val="002C06AF"/>
    <w:rsid w:val="002C3F4C"/>
    <w:rsid w:val="002D1292"/>
    <w:rsid w:val="002E1592"/>
    <w:rsid w:val="002F10D6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05FF"/>
    <w:rsid w:val="003C1500"/>
    <w:rsid w:val="003C3BA1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6BDF"/>
    <w:rsid w:val="00497FFD"/>
    <w:rsid w:val="004A043D"/>
    <w:rsid w:val="004A402B"/>
    <w:rsid w:val="004B4344"/>
    <w:rsid w:val="004B4D55"/>
    <w:rsid w:val="004B64F6"/>
    <w:rsid w:val="004C0963"/>
    <w:rsid w:val="004C15D3"/>
    <w:rsid w:val="004C3FCF"/>
    <w:rsid w:val="004E21F9"/>
    <w:rsid w:val="004E394C"/>
    <w:rsid w:val="004E7215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90E60"/>
    <w:rsid w:val="005A0673"/>
    <w:rsid w:val="005A27B1"/>
    <w:rsid w:val="005A6A22"/>
    <w:rsid w:val="005B0B5D"/>
    <w:rsid w:val="005C0201"/>
    <w:rsid w:val="005D0C5B"/>
    <w:rsid w:val="005D49FE"/>
    <w:rsid w:val="005D690E"/>
    <w:rsid w:val="005D7303"/>
    <w:rsid w:val="005E485F"/>
    <w:rsid w:val="005E64FC"/>
    <w:rsid w:val="005F1110"/>
    <w:rsid w:val="006007A6"/>
    <w:rsid w:val="00612DEE"/>
    <w:rsid w:val="00612EE6"/>
    <w:rsid w:val="00613F9C"/>
    <w:rsid w:val="00615342"/>
    <w:rsid w:val="00624983"/>
    <w:rsid w:val="0064250F"/>
    <w:rsid w:val="00642A4C"/>
    <w:rsid w:val="0064737E"/>
    <w:rsid w:val="006501F5"/>
    <w:rsid w:val="00682652"/>
    <w:rsid w:val="00682C77"/>
    <w:rsid w:val="0068417E"/>
    <w:rsid w:val="00694C2C"/>
    <w:rsid w:val="006A0F1F"/>
    <w:rsid w:val="006A48BA"/>
    <w:rsid w:val="006A63D0"/>
    <w:rsid w:val="006B26A5"/>
    <w:rsid w:val="006C6ED9"/>
    <w:rsid w:val="006D02CA"/>
    <w:rsid w:val="006D63E3"/>
    <w:rsid w:val="006D6942"/>
    <w:rsid w:val="006E0B96"/>
    <w:rsid w:val="006F6075"/>
    <w:rsid w:val="006F76EB"/>
    <w:rsid w:val="00712510"/>
    <w:rsid w:val="00722997"/>
    <w:rsid w:val="0074152D"/>
    <w:rsid w:val="00742BAD"/>
    <w:rsid w:val="00751CA5"/>
    <w:rsid w:val="00760B81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4E7A"/>
    <w:rsid w:val="007E58E9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46C88"/>
    <w:rsid w:val="008509D2"/>
    <w:rsid w:val="00850D96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1847"/>
    <w:rsid w:val="008D45A8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751DE"/>
    <w:rsid w:val="00980DE8"/>
    <w:rsid w:val="00983690"/>
    <w:rsid w:val="009A0B4F"/>
    <w:rsid w:val="009A3AA3"/>
    <w:rsid w:val="009A4C99"/>
    <w:rsid w:val="009B0E3C"/>
    <w:rsid w:val="009B5D2F"/>
    <w:rsid w:val="009D064C"/>
    <w:rsid w:val="009D1CA0"/>
    <w:rsid w:val="009D325B"/>
    <w:rsid w:val="009F4B77"/>
    <w:rsid w:val="00A01FE2"/>
    <w:rsid w:val="00A113C1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1CA9"/>
    <w:rsid w:val="00A6453B"/>
    <w:rsid w:val="00A6745A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3B32"/>
    <w:rsid w:val="00B05663"/>
    <w:rsid w:val="00B05BD1"/>
    <w:rsid w:val="00B128C4"/>
    <w:rsid w:val="00B15706"/>
    <w:rsid w:val="00B32412"/>
    <w:rsid w:val="00B33EF2"/>
    <w:rsid w:val="00B35E9D"/>
    <w:rsid w:val="00B37528"/>
    <w:rsid w:val="00B4318B"/>
    <w:rsid w:val="00B5115E"/>
    <w:rsid w:val="00B52F2E"/>
    <w:rsid w:val="00B536DB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700CB"/>
    <w:rsid w:val="00C7123B"/>
    <w:rsid w:val="00C80404"/>
    <w:rsid w:val="00C879B8"/>
    <w:rsid w:val="00C976E7"/>
    <w:rsid w:val="00CA1616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42FC5"/>
    <w:rsid w:val="00D54B7C"/>
    <w:rsid w:val="00D631F6"/>
    <w:rsid w:val="00D67749"/>
    <w:rsid w:val="00D71F0F"/>
    <w:rsid w:val="00D71F8C"/>
    <w:rsid w:val="00D801F9"/>
    <w:rsid w:val="00D865DE"/>
    <w:rsid w:val="00D942BF"/>
    <w:rsid w:val="00DB2235"/>
    <w:rsid w:val="00DB5AB3"/>
    <w:rsid w:val="00E10551"/>
    <w:rsid w:val="00E114C1"/>
    <w:rsid w:val="00E1793E"/>
    <w:rsid w:val="00E25243"/>
    <w:rsid w:val="00E3250F"/>
    <w:rsid w:val="00E3630A"/>
    <w:rsid w:val="00E37E71"/>
    <w:rsid w:val="00E441CD"/>
    <w:rsid w:val="00E45B8B"/>
    <w:rsid w:val="00E54F78"/>
    <w:rsid w:val="00E616CC"/>
    <w:rsid w:val="00E67AE6"/>
    <w:rsid w:val="00E73A3D"/>
    <w:rsid w:val="00E83BB7"/>
    <w:rsid w:val="00E9331F"/>
    <w:rsid w:val="00E93E07"/>
    <w:rsid w:val="00E96BEC"/>
    <w:rsid w:val="00EA068F"/>
    <w:rsid w:val="00EA2D5C"/>
    <w:rsid w:val="00EB3263"/>
    <w:rsid w:val="00EB7C0A"/>
    <w:rsid w:val="00EC0D5E"/>
    <w:rsid w:val="00EC1E4F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06CD"/>
    <w:rsid w:val="00F41B9D"/>
    <w:rsid w:val="00F41E06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581123-2C00-4E19-B3DB-B195CA32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8</cp:revision>
  <cp:lastPrinted>2016-10-12T13:10:00Z</cp:lastPrinted>
  <dcterms:created xsi:type="dcterms:W3CDTF">2016-11-03T13:47:00Z</dcterms:created>
  <dcterms:modified xsi:type="dcterms:W3CDTF">2016-11-03T14:20:00Z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