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266987" w:rsidRDefault="00877CFB" w:rsidP="00A97B35"/>
    <w:p w:rsidR="00751CA5" w:rsidRPr="00266987" w:rsidRDefault="00751CA5" w:rsidP="00340629"/>
    <w:p w:rsidR="00340629" w:rsidRPr="00266987" w:rsidRDefault="00340629" w:rsidP="00340629">
      <w:r w:rsidRPr="00266987">
        <w:t>№16-</w:t>
      </w:r>
    </w:p>
    <w:p w:rsidR="00340629" w:rsidRPr="00266987" w:rsidRDefault="00340629" w:rsidP="00340629">
      <w:r w:rsidRPr="00266987">
        <w:t xml:space="preserve">від __ </w:t>
      </w:r>
      <w:r w:rsidR="004E21F9" w:rsidRPr="00266987">
        <w:t xml:space="preserve">листопада </w:t>
      </w:r>
      <w:r w:rsidRPr="00266987">
        <w:t>2016 року</w:t>
      </w:r>
    </w:p>
    <w:p w:rsidR="00340629" w:rsidRPr="00266987" w:rsidRDefault="000D6838" w:rsidP="007E58E9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266987"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0D6838" w:rsidRPr="00266987" w:rsidRDefault="000D6838" w:rsidP="000D6838">
      <w:r w:rsidRPr="00266987">
        <w:rPr>
          <w:rFonts w:eastAsia="Calibri"/>
          <w:i/>
          <w:lang w:eastAsia="en-US"/>
        </w:rPr>
        <w:t xml:space="preserve"> 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D6838" w:rsidRPr="00266987" w:rsidTr="000D6838">
        <w:tc>
          <w:tcPr>
            <w:tcW w:w="5069" w:type="dxa"/>
            <w:shd w:val="clear" w:color="auto" w:fill="auto"/>
          </w:tcPr>
          <w:p w:rsidR="000D6838" w:rsidRPr="00266987" w:rsidRDefault="000D6838" w:rsidP="000D683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D6838" w:rsidRPr="00266987" w:rsidTr="002C3F4C">
              <w:tc>
                <w:tcPr>
                  <w:tcW w:w="236" w:type="dxa"/>
                  <w:shd w:val="clear" w:color="auto" w:fill="auto"/>
                </w:tcPr>
                <w:p w:rsidR="000D6838" w:rsidRPr="00266987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266987" w:rsidRDefault="000D6838" w:rsidP="000D6838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D6838" w:rsidRPr="00266987" w:rsidRDefault="000D6838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D6838" w:rsidRPr="00266987" w:rsidRDefault="000D6838" w:rsidP="000D6838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0D6838" w:rsidRPr="00266987" w:rsidRDefault="000D6838" w:rsidP="002C3F4C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266987">
                    <w:rPr>
                      <w:rFonts w:eastAsia="Calibri"/>
                      <w:b/>
                      <w:szCs w:val="22"/>
                    </w:rPr>
                    <w:t xml:space="preserve">Міністру фінансів України </w:t>
                  </w:r>
                </w:p>
                <w:p w:rsidR="000D6838" w:rsidRPr="00266987" w:rsidRDefault="002C3F4C" w:rsidP="002C3F4C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266987">
                    <w:rPr>
                      <w:rFonts w:eastAsia="Calibri"/>
                      <w:b/>
                      <w:szCs w:val="22"/>
                    </w:rPr>
                    <w:t>О.О.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proofErr w:type="spellStart"/>
                  <w:r w:rsidR="000D6838" w:rsidRPr="00266987">
                    <w:rPr>
                      <w:rFonts w:eastAsia="Calibri"/>
                      <w:b/>
                      <w:szCs w:val="22"/>
                    </w:rPr>
                    <w:t>Данілюку</w:t>
                  </w:r>
                  <w:proofErr w:type="spellEnd"/>
                  <w:r w:rsidR="000D6838" w:rsidRPr="00266987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2C3F4C" w:rsidRPr="002C3F4C" w:rsidRDefault="002C3F4C" w:rsidP="00751CA5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2C3F4C" w:rsidRDefault="002C3F4C" w:rsidP="002C3F4C">
                  <w:pPr>
                    <w:ind w:left="824" w:hanging="824"/>
                    <w:rPr>
                      <w:b/>
                    </w:rPr>
                  </w:pPr>
                  <w:r w:rsidRPr="002C3F4C">
                    <w:rPr>
                      <w:rFonts w:eastAsia="Calibri"/>
                      <w:szCs w:val="22"/>
                    </w:rPr>
                    <w:t>Копія: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 Голові </w:t>
                  </w:r>
                  <w:r>
                    <w:rPr>
                      <w:b/>
                    </w:rPr>
                    <w:t>Державної фіскальної служби</w:t>
                  </w:r>
                  <w:r w:rsidRPr="00BC05CF">
                    <w:rPr>
                      <w:b/>
                    </w:rPr>
                    <w:t xml:space="preserve"> України</w:t>
                  </w:r>
                </w:p>
                <w:p w:rsidR="000D6838" w:rsidRPr="00266987" w:rsidRDefault="002C3F4C" w:rsidP="002C3F4C">
                  <w:pPr>
                    <w:ind w:left="824" w:hanging="824"/>
                    <w:rPr>
                      <w:rFonts w:eastAsia="Calibri"/>
                      <w:b/>
                      <w:szCs w:val="22"/>
                    </w:rPr>
                  </w:pPr>
                  <w:r>
                    <w:rPr>
                      <w:b/>
                    </w:rPr>
                    <w:t xml:space="preserve">              Р.М. </w:t>
                  </w:r>
                  <w:proofErr w:type="spellStart"/>
                  <w:r>
                    <w:rPr>
                      <w:b/>
                    </w:rPr>
                    <w:t>Насірову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C3F4C" w:rsidRPr="00266987" w:rsidTr="002C3F4C">
              <w:tc>
                <w:tcPr>
                  <w:tcW w:w="236" w:type="dxa"/>
                  <w:shd w:val="clear" w:color="auto" w:fill="auto"/>
                </w:tcPr>
                <w:p w:rsidR="002C3F4C" w:rsidRPr="00266987" w:rsidRDefault="002C3F4C" w:rsidP="000D6838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2C3F4C" w:rsidRPr="00266987" w:rsidRDefault="002C3F4C" w:rsidP="00751CA5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D6838" w:rsidRPr="00266987" w:rsidRDefault="000D6838" w:rsidP="000D6838">
            <w:pPr>
              <w:rPr>
                <w:b/>
              </w:rPr>
            </w:pPr>
          </w:p>
        </w:tc>
      </w:tr>
    </w:tbl>
    <w:p w:rsidR="00751CA5" w:rsidRPr="00266987" w:rsidRDefault="00751CA5" w:rsidP="000D6838">
      <w:pPr>
        <w:jc w:val="both"/>
        <w:rPr>
          <w:rFonts w:eastAsia="Calibri"/>
          <w:i/>
          <w:szCs w:val="20"/>
          <w:lang w:eastAsia="en-US"/>
        </w:rPr>
      </w:pPr>
    </w:p>
    <w:p w:rsidR="000D6838" w:rsidRPr="00266987" w:rsidRDefault="000D6838" w:rsidP="00E37E71">
      <w:pPr>
        <w:jc w:val="both"/>
        <w:rPr>
          <w:rFonts w:eastAsia="Calibri"/>
          <w:i/>
          <w:szCs w:val="20"/>
          <w:lang w:eastAsia="en-US"/>
        </w:rPr>
      </w:pPr>
      <w:r w:rsidRPr="00266987">
        <w:rPr>
          <w:rFonts w:eastAsia="Calibri"/>
          <w:i/>
          <w:szCs w:val="20"/>
          <w:lang w:eastAsia="en-US"/>
        </w:rPr>
        <w:t xml:space="preserve">Щодо </w:t>
      </w:r>
      <w:r w:rsidR="00E37E71" w:rsidRPr="00E37E71">
        <w:rPr>
          <w:rFonts w:eastAsia="Calibri"/>
          <w:i/>
          <w:szCs w:val="20"/>
          <w:lang w:eastAsia="en-US"/>
        </w:rPr>
        <w:t xml:space="preserve">реєстрації </w:t>
      </w:r>
      <w:r w:rsidR="00EC1E4F">
        <w:rPr>
          <w:rFonts w:eastAsia="Calibri"/>
          <w:i/>
          <w:szCs w:val="20"/>
          <w:lang w:eastAsia="en-US"/>
        </w:rPr>
        <w:t xml:space="preserve">розрахунків </w:t>
      </w:r>
      <w:r w:rsidR="00E37E71" w:rsidRPr="00E37E71">
        <w:rPr>
          <w:rFonts w:eastAsia="Calibri"/>
          <w:i/>
          <w:szCs w:val="20"/>
          <w:lang w:eastAsia="en-US"/>
        </w:rPr>
        <w:t xml:space="preserve">коригувань до </w:t>
      </w:r>
      <w:r w:rsidR="00E37E71">
        <w:rPr>
          <w:rFonts w:eastAsia="Calibri"/>
          <w:i/>
          <w:szCs w:val="20"/>
          <w:lang w:eastAsia="en-US"/>
        </w:rPr>
        <w:t>податкових накладних</w:t>
      </w:r>
    </w:p>
    <w:p w:rsidR="000D6838" w:rsidRPr="00266987" w:rsidRDefault="000D6838" w:rsidP="000D6838">
      <w:pPr>
        <w:jc w:val="both"/>
        <w:rPr>
          <w:rFonts w:eastAsia="Calibri"/>
          <w:i/>
          <w:sz w:val="22"/>
          <w:lang w:eastAsia="en-US"/>
        </w:rPr>
      </w:pPr>
    </w:p>
    <w:p w:rsidR="000D6838" w:rsidRPr="00266987" w:rsidRDefault="000D6838" w:rsidP="00266987">
      <w:pPr>
        <w:jc w:val="center"/>
        <w:rPr>
          <w:b/>
        </w:rPr>
      </w:pPr>
      <w:r w:rsidRPr="00266987">
        <w:rPr>
          <w:b/>
        </w:rPr>
        <w:t xml:space="preserve">Шановний Олександре Олександровичу! </w:t>
      </w:r>
    </w:p>
    <w:p w:rsidR="000D6838" w:rsidRPr="00266987" w:rsidRDefault="000D6838" w:rsidP="000D6838">
      <w:pPr>
        <w:rPr>
          <w:lang w:eastAsia="en-US"/>
        </w:rPr>
      </w:pPr>
    </w:p>
    <w:p w:rsidR="00041948" w:rsidRPr="001B6581" w:rsidRDefault="00041948" w:rsidP="00041948">
      <w:pPr>
        <w:spacing w:after="120"/>
        <w:ind w:firstLine="709"/>
        <w:jc w:val="both"/>
      </w:pPr>
      <w:r w:rsidRPr="001B6581">
        <w:t>Від імен</w:t>
      </w:r>
      <w:r>
        <w:t xml:space="preserve">і Ради директорів Американської </w:t>
      </w:r>
      <w:r w:rsidRPr="001B6581">
        <w:t>торгівельної палати в Україні (надалі</w:t>
      </w:r>
      <w:r>
        <w:t xml:space="preserve"> </w:t>
      </w:r>
      <w:r w:rsidRPr="001B6581">
        <w:t>– Палата) та компаній</w:t>
      </w:r>
      <w:r>
        <w:t>-</w:t>
      </w:r>
      <w:r w:rsidRPr="001B6581">
        <w:t>членів засвідчуємо Вам свою глибоку повагу та звертаємось до Вас з наступного</w:t>
      </w:r>
      <w:r>
        <w:t xml:space="preserve"> </w:t>
      </w:r>
      <w:r w:rsidRPr="001B6581">
        <w:t xml:space="preserve">питання. </w:t>
      </w:r>
    </w:p>
    <w:p w:rsidR="00041948" w:rsidRDefault="00041948" w:rsidP="00041948">
      <w:pPr>
        <w:spacing w:after="120"/>
        <w:ind w:firstLine="709"/>
        <w:jc w:val="both"/>
      </w:pPr>
      <w:r>
        <w:t xml:space="preserve">Починаючи з вересня 2016 року платники податків стикаються з неможливістю зареєструвати в Єдиному реєстрі податкових накладних (надалі – ЄРПН) розрахунки коригування до податкових накладних, якщо такі накладні були складені більше ніж 1095 днів тому. При цьому кожного разу після відхилення спроби реєстрації платники отримують автоматичне електронне повідомлення наступного змісту: </w:t>
      </w:r>
      <w:r w:rsidRPr="008E552D">
        <w:t>«</w:t>
      </w:r>
      <w:r w:rsidRPr="0077739F">
        <w:rPr>
          <w:i/>
        </w:rPr>
        <w:t>Порушено вимоги підпункту 2 пункту 9 порядку ведення Єдиного реєстру податкових накладних, а саме: дата складання податкової накладної не може бути меншою ніж 1095 днів від дати складання розрахунку коригування</w:t>
      </w:r>
      <w:r w:rsidRPr="008E552D">
        <w:t>»</w:t>
      </w:r>
      <w:r>
        <w:t>.</w:t>
      </w:r>
    </w:p>
    <w:p w:rsidR="00041948" w:rsidRDefault="00041948" w:rsidP="00041948">
      <w:pPr>
        <w:spacing w:after="120"/>
        <w:ind w:firstLine="709"/>
        <w:jc w:val="both"/>
      </w:pPr>
      <w:r>
        <w:t xml:space="preserve">Слід зазначити, що раніше подібних проблем з реєстрацією не спостерігалось. Тому виглядає дивним, що подібні обмеження виникли саме зараз, попри відсутність будь-яких законодавчих підстав. Жодною нормою Податкового кодексу України чи іншого законодавчого акту не передбачені обмеження прав платників податку стосовно часу, протягом якого можливі коригування до податкових накладних. Поряд з тим, в підпункті 2 пункту 9 </w:t>
      </w:r>
      <w:r w:rsidRPr="002E2E03">
        <w:t>Порядку ведення Єдиного реєстру податкових накладних</w:t>
      </w:r>
      <w:r>
        <w:t xml:space="preserve"> (затверджений Постановою КМУ від 29 грудня 2010 р. №</w:t>
      </w:r>
      <w:r w:rsidRPr="002E2E03">
        <w:t xml:space="preserve"> 1246</w:t>
      </w:r>
      <w:r>
        <w:t xml:space="preserve">), який згадується в електронному повідомленні, насправді йдеться про </w:t>
      </w:r>
      <w:r w:rsidRPr="002E2E03">
        <w:t xml:space="preserve">відсутність в </w:t>
      </w:r>
      <w:r>
        <w:t>ЄРПН</w:t>
      </w:r>
      <w:r w:rsidRPr="002E2E03">
        <w:t xml:space="preserve"> відомостей, що містяться у податковій накладній, яка коригується</w:t>
      </w:r>
      <w:r>
        <w:t xml:space="preserve">. Тобто серед причин, передбачених Порядком для відмови у прийнятті розрахунку коригування, відсутня така причина, як обмеження строку 1095 днів. </w:t>
      </w:r>
    </w:p>
    <w:p w:rsidR="00041948" w:rsidRPr="00C41F23" w:rsidRDefault="00041948" w:rsidP="00041948">
      <w:pPr>
        <w:spacing w:after="120"/>
        <w:ind w:firstLine="709"/>
        <w:jc w:val="both"/>
      </w:pPr>
      <w:r>
        <w:t>Одночасно звертаємо увагу, що передбачений ст.</w:t>
      </w:r>
      <w:r w:rsidRPr="00BC05CF">
        <w:t>102 Податкового кодексу України</w:t>
      </w:r>
      <w:r w:rsidRPr="00543A7A">
        <w:t xml:space="preserve"> </w:t>
      </w:r>
      <w:r>
        <w:t xml:space="preserve">строк </w:t>
      </w:r>
      <w:r w:rsidRPr="00C41F23">
        <w:t>давності 1095</w:t>
      </w:r>
      <w:r>
        <w:t xml:space="preserve"> </w:t>
      </w:r>
      <w:r w:rsidRPr="00C41F23">
        <w:t>днів застосову</w:t>
      </w:r>
      <w:r>
        <w:t>є</w:t>
      </w:r>
      <w:r w:rsidRPr="00C41F23">
        <w:t>ться до таких можливостей контролюючого органу</w:t>
      </w:r>
      <w:r>
        <w:t>,</w:t>
      </w:r>
      <w:r w:rsidRPr="00C41F23">
        <w:t xml:space="preserve"> я</w:t>
      </w:r>
      <w:r>
        <w:t>к</w:t>
      </w:r>
      <w:r w:rsidRPr="00C41F23">
        <w:t xml:space="preserve"> визначення суми грошового зобов’язання, стягнення суми податкового боргу та </w:t>
      </w:r>
      <w:r>
        <w:t>щодо</w:t>
      </w:r>
      <w:r w:rsidRPr="00C41F23">
        <w:t xml:space="preserve"> </w:t>
      </w:r>
      <w:r>
        <w:t>права</w:t>
      </w:r>
      <w:r w:rsidRPr="00C41F23">
        <w:t xml:space="preserve"> платник</w:t>
      </w:r>
      <w:r>
        <w:t>ів податку</w:t>
      </w:r>
      <w:r w:rsidRPr="00C41F23">
        <w:t xml:space="preserve"> </w:t>
      </w:r>
      <w:r>
        <w:t>з</w:t>
      </w:r>
      <w:r w:rsidRPr="00C41F23">
        <w:t xml:space="preserve"> поверненн</w:t>
      </w:r>
      <w:r>
        <w:t>я</w:t>
      </w:r>
      <w:r w:rsidRPr="00C41F23">
        <w:t xml:space="preserve"> переплат.</w:t>
      </w:r>
      <w:r>
        <w:t xml:space="preserve"> Жодних підстав для застосування цього строку до операцій з коригування податкових накладних не передбачено.</w:t>
      </w:r>
    </w:p>
    <w:p w:rsidR="00041948" w:rsidRDefault="00041948" w:rsidP="00041948">
      <w:pPr>
        <w:spacing w:after="120"/>
        <w:ind w:firstLine="708"/>
        <w:jc w:val="both"/>
      </w:pPr>
      <w:r>
        <w:t xml:space="preserve">Таким чином, встановлення всупереч чинному законодавству технічних перешкод в реєстрації коригувань до податкових накладних, </w:t>
      </w:r>
      <w:r w:rsidRPr="00C41F23">
        <w:t xml:space="preserve">призводить до обмеження прав та можливостей </w:t>
      </w:r>
      <w:r w:rsidRPr="00C41F23">
        <w:lastRenderedPageBreak/>
        <w:t>платників податку</w:t>
      </w:r>
      <w:r>
        <w:t xml:space="preserve"> щодо ведення підприємницької діяльності і сплати податків у відповідності до Податкового кодексу України. Наприклад, сторони обмежені в можливості належним чином відобразити в податковій звітності зміни в умовах договору стосовно номенклатури товарів, зміни їх вартості, або у разі повернення товарів, тощо. При цьому постачальники за договором не можуть належим чином зменшити свої податкові зобов’язання, як це передбачено Податковим кодексом України, оскільки таке право виникає лише після реєстрації в ЄРПН розрахунку коригування до податкової накладної. </w:t>
      </w:r>
    </w:p>
    <w:p w:rsidR="00041948" w:rsidRDefault="00041948" w:rsidP="00041948">
      <w:pPr>
        <w:spacing w:after="120"/>
        <w:ind w:firstLine="708"/>
        <w:jc w:val="both"/>
      </w:pPr>
      <w:r>
        <w:t xml:space="preserve">Зважаючи на вищевикладене, а також беручи до уваги той факт, що зазначена проблема </w:t>
      </w:r>
      <w:r w:rsidRPr="0077739F">
        <w:t>стосу</w:t>
      </w:r>
      <w:r>
        <w:t>є</w:t>
      </w:r>
      <w:r w:rsidRPr="0077739F">
        <w:t xml:space="preserve">ться значної кількості платників податків </w:t>
      </w:r>
      <w:r>
        <w:t xml:space="preserve">– </w:t>
      </w:r>
      <w:r w:rsidR="00EC1E4F">
        <w:t>компаній-</w:t>
      </w:r>
      <w:r>
        <w:t xml:space="preserve">членів </w:t>
      </w:r>
      <w:r w:rsidR="00EC1E4F">
        <w:t>Палати</w:t>
      </w:r>
      <w:r>
        <w:t xml:space="preserve"> </w:t>
      </w:r>
      <w:r w:rsidR="00EC1E4F">
        <w:t>просимо:</w:t>
      </w:r>
    </w:p>
    <w:p w:rsidR="00041948" w:rsidRPr="00EA04ED" w:rsidRDefault="00041948" w:rsidP="00CD7057">
      <w:pPr>
        <w:pStyle w:val="ad"/>
        <w:numPr>
          <w:ilvl w:val="0"/>
          <w:numId w:val="21"/>
        </w:numPr>
        <w:spacing w:after="120"/>
        <w:ind w:left="0" w:firstLine="709"/>
        <w:contextualSpacing w:val="0"/>
        <w:jc w:val="both"/>
      </w:pPr>
      <w:r>
        <w:t xml:space="preserve">Міністерство фінансів України </w:t>
      </w:r>
      <w:r w:rsidR="00EC1E4F">
        <w:t xml:space="preserve">– </w:t>
      </w:r>
      <w:r>
        <w:t>н</w:t>
      </w:r>
      <w:r w:rsidRPr="00EA04ED">
        <w:t>адати в порядку, передбаченому податковим законодавством</w:t>
      </w:r>
      <w:r>
        <w:t xml:space="preserve">, </w:t>
      </w:r>
      <w:r w:rsidRPr="00447445">
        <w:t xml:space="preserve">узагальнюючу податкову консультацію </w:t>
      </w:r>
      <w:r>
        <w:t xml:space="preserve">щодо можливості таких коригувань та відсутності підстав </w:t>
      </w:r>
      <w:bookmarkStart w:id="0" w:name="_GoBack"/>
      <w:bookmarkEnd w:id="0"/>
      <w:r>
        <w:t>для відмови в їх реєстрації;</w:t>
      </w:r>
    </w:p>
    <w:p w:rsidR="00041948" w:rsidRDefault="00041948" w:rsidP="00CD7057">
      <w:pPr>
        <w:pStyle w:val="ad"/>
        <w:numPr>
          <w:ilvl w:val="0"/>
          <w:numId w:val="21"/>
        </w:numPr>
        <w:spacing w:after="120"/>
        <w:ind w:left="0" w:firstLine="709"/>
        <w:contextualSpacing w:val="0"/>
        <w:jc w:val="both"/>
      </w:pPr>
      <w:r>
        <w:t>Державну фіскальну службу України – якомога скоріше відновити технічну можливість для реєстрації в ЄРПН розрахунків коригування до податкових накладних, складених більш ніж 1095 днів тому.</w:t>
      </w:r>
    </w:p>
    <w:p w:rsidR="00CD7057" w:rsidRPr="00CD7057" w:rsidRDefault="00CD7057" w:rsidP="00CD7057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CD7057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CD7057">
        <w:rPr>
          <w:color w:val="000000"/>
          <w:bdr w:val="none" w:sz="0" w:space="0" w:color="auto" w:frame="1"/>
        </w:rPr>
        <w:t>адресою</w:t>
      </w:r>
      <w:proofErr w:type="spellEnd"/>
      <w:r w:rsidRPr="00CD7057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CD7057">
          <w:rPr>
            <w:rStyle w:val="a9"/>
            <w:bdr w:val="none" w:sz="0" w:space="0" w:color="auto" w:frame="1"/>
          </w:rPr>
          <w:t>oprokhorovych@chamber.ua</w:t>
        </w:r>
      </w:hyperlink>
      <w:r w:rsidRPr="00CD7057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C361E3">
        <w:t>оподаткування та митна політика</w:t>
      </w:r>
      <w:r w:rsidRPr="00CD7057">
        <w:rPr>
          <w:color w:val="000000"/>
          <w:bdr w:val="none" w:sz="0" w:space="0" w:color="auto" w:frame="1"/>
        </w:rPr>
        <w:t xml:space="preserve">). </w:t>
      </w:r>
    </w:p>
    <w:p w:rsidR="000D6838" w:rsidRPr="00CD7057" w:rsidRDefault="000D6838" w:rsidP="000D6838"/>
    <w:p w:rsidR="00CD7057" w:rsidRPr="00CD7057" w:rsidRDefault="00CD7057" w:rsidP="000D6838"/>
    <w:p w:rsidR="00340629" w:rsidRPr="00266987" w:rsidRDefault="00340629" w:rsidP="00340629">
      <w:pPr>
        <w:jc w:val="both"/>
        <w:rPr>
          <w:b/>
        </w:rPr>
      </w:pPr>
      <w:r w:rsidRPr="00266987">
        <w:rPr>
          <w:b/>
        </w:rPr>
        <w:t>З глибокою повагою,</w:t>
      </w:r>
    </w:p>
    <w:p w:rsidR="00340629" w:rsidRPr="00266987" w:rsidRDefault="00340629" w:rsidP="00340629">
      <w:pPr>
        <w:jc w:val="both"/>
      </w:pPr>
    </w:p>
    <w:p w:rsidR="00340629" w:rsidRPr="00266987" w:rsidRDefault="00340629" w:rsidP="00340629">
      <w:pPr>
        <w:jc w:val="both"/>
        <w:rPr>
          <w:b/>
        </w:rPr>
      </w:pPr>
      <w:r w:rsidRPr="00266987">
        <w:rPr>
          <w:rStyle w:val="ab"/>
          <w:color w:val="000000"/>
        </w:rPr>
        <w:t>Президент</w:t>
      </w:r>
      <w:r w:rsidRPr="00266987">
        <w:rPr>
          <w:rStyle w:val="ab"/>
          <w:color w:val="000000"/>
        </w:rPr>
        <w:tab/>
      </w:r>
      <w:r w:rsidRPr="00266987">
        <w:rPr>
          <w:rStyle w:val="ab"/>
          <w:color w:val="000000"/>
        </w:rPr>
        <w:tab/>
      </w:r>
      <w:r w:rsidRPr="00266987">
        <w:rPr>
          <w:rStyle w:val="ab"/>
          <w:color w:val="000000"/>
        </w:rPr>
        <w:tab/>
      </w:r>
      <w:r w:rsidRPr="00266987">
        <w:rPr>
          <w:b/>
        </w:rPr>
        <w:tab/>
      </w:r>
      <w:r w:rsidRPr="00266987">
        <w:rPr>
          <w:b/>
        </w:rPr>
        <w:tab/>
      </w:r>
      <w:r w:rsidRPr="00266987">
        <w:rPr>
          <w:b/>
        </w:rPr>
        <w:tab/>
      </w:r>
      <w:r w:rsidRPr="00266987">
        <w:rPr>
          <w:b/>
        </w:rPr>
        <w:tab/>
      </w:r>
      <w:r w:rsidRPr="00266987">
        <w:rPr>
          <w:b/>
        </w:rPr>
        <w:tab/>
        <w:t xml:space="preserve">                                  Андрій </w:t>
      </w:r>
      <w:proofErr w:type="spellStart"/>
      <w:r w:rsidRPr="00266987">
        <w:rPr>
          <w:b/>
        </w:rPr>
        <w:t>Гундер</w:t>
      </w:r>
      <w:proofErr w:type="spellEnd"/>
      <w:r w:rsidRPr="00266987">
        <w:rPr>
          <w:b/>
        </w:rPr>
        <w:t xml:space="preserve"> </w:t>
      </w:r>
    </w:p>
    <w:p w:rsidR="00340629" w:rsidRPr="00266987" w:rsidRDefault="00340629" w:rsidP="00340629">
      <w:pPr>
        <w:spacing w:before="120" w:after="120"/>
        <w:ind w:firstLine="709"/>
        <w:jc w:val="both"/>
      </w:pPr>
    </w:p>
    <w:p w:rsidR="00E96BEC" w:rsidRPr="00266987" w:rsidRDefault="00E96BEC" w:rsidP="00340629">
      <w:pPr>
        <w:rPr>
          <w:b/>
        </w:rPr>
      </w:pPr>
    </w:p>
    <w:sectPr w:rsidR="00E96BEC" w:rsidRPr="00266987" w:rsidSect="00B536DB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567" w:right="99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0B" w:rsidRDefault="00643A0B" w:rsidP="00742BAD">
      <w:r>
        <w:separator/>
      </w:r>
    </w:p>
  </w:endnote>
  <w:endnote w:type="continuationSeparator" w:id="0">
    <w:p w:rsidR="00643A0B" w:rsidRDefault="00643A0B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Pr="00EA068F" w:rsidRDefault="00E3250F" w:rsidP="00B536DB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E3250F" w:rsidRPr="00FD004B" w:rsidRDefault="00E3250F" w:rsidP="00B536DB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E3250F" w:rsidRPr="00C35D47" w:rsidRDefault="00E3250F" w:rsidP="00B536DB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E3250F" w:rsidRPr="00EA068F" w:rsidRDefault="00E3250F" w:rsidP="00B536DB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  <w:p w:rsidR="00E3250F" w:rsidRDefault="00E32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0B" w:rsidRDefault="00643A0B" w:rsidP="00742BAD">
      <w:r>
        <w:separator/>
      </w:r>
    </w:p>
  </w:footnote>
  <w:footnote w:type="continuationSeparator" w:id="0">
    <w:p w:rsidR="00643A0B" w:rsidRDefault="00643A0B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643A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643A0B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E3250F" w:rsidRPr="00712510" w:rsidRDefault="00E3250F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0F" w:rsidRDefault="00E3250F">
    <w:pPr>
      <w:pStyle w:val="a3"/>
    </w:pPr>
    <w:r>
      <w:rPr>
        <w:noProof/>
        <w:lang w:val="en-US" w:eastAsia="en-US"/>
      </w:rPr>
      <w:drawing>
        <wp:inline distT="0" distB="0" distL="0" distR="0" wp14:anchorId="7429C93A" wp14:editId="0219A006">
          <wp:extent cx="6390640" cy="659564"/>
          <wp:effectExtent l="0" t="0" r="0" b="7620"/>
          <wp:docPr id="2" name="Рисунок 2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A0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251A40"/>
    <w:multiLevelType w:val="hybridMultilevel"/>
    <w:tmpl w:val="FC6E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9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yana Sheremet">
    <w15:presenceInfo w15:providerId="AD" w15:userId="S-1-5-21-1320910692-1815770040-1349916565-75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1948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C1FA2"/>
    <w:rsid w:val="000C3DEB"/>
    <w:rsid w:val="000D18EA"/>
    <w:rsid w:val="000D6838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E496C"/>
    <w:rsid w:val="001F2EDF"/>
    <w:rsid w:val="001F6D29"/>
    <w:rsid w:val="00201D61"/>
    <w:rsid w:val="00204B14"/>
    <w:rsid w:val="00206E58"/>
    <w:rsid w:val="002129E8"/>
    <w:rsid w:val="002241E3"/>
    <w:rsid w:val="00230124"/>
    <w:rsid w:val="002424FC"/>
    <w:rsid w:val="00266987"/>
    <w:rsid w:val="002722B6"/>
    <w:rsid w:val="002819F1"/>
    <w:rsid w:val="00286295"/>
    <w:rsid w:val="00291AF4"/>
    <w:rsid w:val="00293BCD"/>
    <w:rsid w:val="00294906"/>
    <w:rsid w:val="002A1E61"/>
    <w:rsid w:val="002B416F"/>
    <w:rsid w:val="002B41E3"/>
    <w:rsid w:val="002B60F0"/>
    <w:rsid w:val="002C06AF"/>
    <w:rsid w:val="002C3F4C"/>
    <w:rsid w:val="002D1292"/>
    <w:rsid w:val="002E1592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05FF"/>
    <w:rsid w:val="003C1500"/>
    <w:rsid w:val="003C3BA1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A402B"/>
    <w:rsid w:val="004B4344"/>
    <w:rsid w:val="004B4D55"/>
    <w:rsid w:val="004B64F6"/>
    <w:rsid w:val="004C0963"/>
    <w:rsid w:val="004C15D3"/>
    <w:rsid w:val="004C3FCF"/>
    <w:rsid w:val="004E21F9"/>
    <w:rsid w:val="004E394C"/>
    <w:rsid w:val="004E7215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90E60"/>
    <w:rsid w:val="005A0673"/>
    <w:rsid w:val="005A27B1"/>
    <w:rsid w:val="005A6A22"/>
    <w:rsid w:val="005B0B5D"/>
    <w:rsid w:val="005C0201"/>
    <w:rsid w:val="005D0C5B"/>
    <w:rsid w:val="005D49FE"/>
    <w:rsid w:val="005D690E"/>
    <w:rsid w:val="005D7303"/>
    <w:rsid w:val="005E485F"/>
    <w:rsid w:val="005E64FC"/>
    <w:rsid w:val="005F1110"/>
    <w:rsid w:val="006007A6"/>
    <w:rsid w:val="00612DEE"/>
    <w:rsid w:val="00612EE6"/>
    <w:rsid w:val="00613F9C"/>
    <w:rsid w:val="00624983"/>
    <w:rsid w:val="0064250F"/>
    <w:rsid w:val="00642A4C"/>
    <w:rsid w:val="00643A0B"/>
    <w:rsid w:val="0064737E"/>
    <w:rsid w:val="006501F5"/>
    <w:rsid w:val="00682652"/>
    <w:rsid w:val="00682C77"/>
    <w:rsid w:val="0068417E"/>
    <w:rsid w:val="00694C2C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6F6075"/>
    <w:rsid w:val="006F76EB"/>
    <w:rsid w:val="00712510"/>
    <w:rsid w:val="00722997"/>
    <w:rsid w:val="0074152D"/>
    <w:rsid w:val="00742BAD"/>
    <w:rsid w:val="00751CA5"/>
    <w:rsid w:val="00760B81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4E7A"/>
    <w:rsid w:val="007E58E9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0D96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1847"/>
    <w:rsid w:val="008D45A8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751DE"/>
    <w:rsid w:val="00980DE8"/>
    <w:rsid w:val="00983690"/>
    <w:rsid w:val="009A0B4F"/>
    <w:rsid w:val="009A3AA3"/>
    <w:rsid w:val="009A4C99"/>
    <w:rsid w:val="009B0E3C"/>
    <w:rsid w:val="009B5D2F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45A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6DB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700CB"/>
    <w:rsid w:val="00C7123B"/>
    <w:rsid w:val="00C80404"/>
    <w:rsid w:val="00C879B8"/>
    <w:rsid w:val="00C976E7"/>
    <w:rsid w:val="00CA1616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057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42FC5"/>
    <w:rsid w:val="00D54B7C"/>
    <w:rsid w:val="00D631F6"/>
    <w:rsid w:val="00D67749"/>
    <w:rsid w:val="00D71F0F"/>
    <w:rsid w:val="00D71F8C"/>
    <w:rsid w:val="00D801F9"/>
    <w:rsid w:val="00D865DE"/>
    <w:rsid w:val="00D942BF"/>
    <w:rsid w:val="00DB2235"/>
    <w:rsid w:val="00DB5AB3"/>
    <w:rsid w:val="00E10551"/>
    <w:rsid w:val="00E114C1"/>
    <w:rsid w:val="00E1793E"/>
    <w:rsid w:val="00E25243"/>
    <w:rsid w:val="00E3250F"/>
    <w:rsid w:val="00E3630A"/>
    <w:rsid w:val="00E37E71"/>
    <w:rsid w:val="00E441CD"/>
    <w:rsid w:val="00E45B8B"/>
    <w:rsid w:val="00E54F78"/>
    <w:rsid w:val="00E616CC"/>
    <w:rsid w:val="00E67AE6"/>
    <w:rsid w:val="00E73A3D"/>
    <w:rsid w:val="00E83BB7"/>
    <w:rsid w:val="00E9331F"/>
    <w:rsid w:val="00E96BEC"/>
    <w:rsid w:val="00EA068F"/>
    <w:rsid w:val="00EA2D5C"/>
    <w:rsid w:val="00EB3263"/>
    <w:rsid w:val="00EB7C0A"/>
    <w:rsid w:val="00EC0D5E"/>
    <w:rsid w:val="00EC1E4F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06CD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0DDDD6-C325-4D26-B4C0-D1A4C57E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6</cp:revision>
  <cp:lastPrinted>2016-10-12T13:10:00Z</cp:lastPrinted>
  <dcterms:created xsi:type="dcterms:W3CDTF">2016-11-03T13:01:00Z</dcterms:created>
  <dcterms:modified xsi:type="dcterms:W3CDTF">2016-11-03T13:50:00Z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