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AE51E9" w:rsidRDefault="00877CFB" w:rsidP="00A97B35"/>
    <w:p w:rsidR="00340629" w:rsidRPr="00AE51E9" w:rsidRDefault="00340629" w:rsidP="00340629">
      <w:r w:rsidRPr="00AE51E9">
        <w:t>№16-</w:t>
      </w:r>
    </w:p>
    <w:p w:rsidR="00340629" w:rsidRPr="00AE51E9" w:rsidRDefault="00340629" w:rsidP="00340629">
      <w:r w:rsidRPr="00AE51E9">
        <w:t xml:space="preserve">від __ </w:t>
      </w:r>
      <w:r w:rsidR="007E5E5D" w:rsidRPr="00AE51E9">
        <w:t>жовтня</w:t>
      </w:r>
      <w:r w:rsidRPr="00AE51E9">
        <w:t xml:space="preserve"> 2016 року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340629" w:rsidRPr="00AE51E9" w:rsidTr="00E442E4">
        <w:tc>
          <w:tcPr>
            <w:tcW w:w="5069" w:type="dxa"/>
            <w:shd w:val="clear" w:color="auto" w:fill="auto"/>
          </w:tcPr>
          <w:p w:rsidR="00340629" w:rsidRPr="00AE51E9" w:rsidRDefault="00340629" w:rsidP="00E442E4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40629" w:rsidRPr="00AE51E9" w:rsidTr="00F47F3D">
              <w:tc>
                <w:tcPr>
                  <w:tcW w:w="236" w:type="dxa"/>
                  <w:shd w:val="clear" w:color="auto" w:fill="auto"/>
                </w:tcPr>
                <w:p w:rsidR="00340629" w:rsidRPr="00AE51E9" w:rsidRDefault="00340629" w:rsidP="00E442E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AE51E9" w:rsidRDefault="00340629" w:rsidP="00E442E4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340629" w:rsidRPr="00AE51E9" w:rsidRDefault="00340629" w:rsidP="00E442E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AE51E9" w:rsidRDefault="00340629" w:rsidP="00E442E4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340629" w:rsidRPr="00AE51E9" w:rsidRDefault="00340629" w:rsidP="00E442E4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340629" w:rsidRPr="00AE51E9" w:rsidRDefault="00E45B8B" w:rsidP="00E442E4">
                  <w:pPr>
                    <w:rPr>
                      <w:rFonts w:eastAsia="Calibri"/>
                      <w:b/>
                      <w:szCs w:val="22"/>
                    </w:rPr>
                  </w:pPr>
                  <w:r w:rsidRPr="00AE51E9">
                    <w:rPr>
                      <w:rFonts w:eastAsia="Calibri"/>
                      <w:b/>
                      <w:szCs w:val="22"/>
                    </w:rPr>
                    <w:t xml:space="preserve">Голові </w:t>
                  </w:r>
                  <w:r w:rsidR="00442194" w:rsidRPr="00AE51E9">
                    <w:rPr>
                      <w:rFonts w:eastAsia="Calibri"/>
                      <w:b/>
                      <w:szCs w:val="22"/>
                    </w:rPr>
                    <w:t>Комітету Верховної Ради України з питань податкової та митної політики</w:t>
                  </w:r>
                </w:p>
                <w:p w:rsidR="00442194" w:rsidRPr="00AE51E9" w:rsidRDefault="00442194" w:rsidP="00E442E4">
                  <w:pPr>
                    <w:rPr>
                      <w:rFonts w:eastAsia="Calibri"/>
                      <w:b/>
                      <w:szCs w:val="22"/>
                    </w:rPr>
                  </w:pPr>
                  <w:r w:rsidRPr="00AE51E9">
                    <w:rPr>
                      <w:rFonts w:eastAsia="Calibri"/>
                      <w:b/>
                      <w:szCs w:val="22"/>
                    </w:rPr>
                    <w:t xml:space="preserve">Н.П. </w:t>
                  </w:r>
                  <w:proofErr w:type="spellStart"/>
                  <w:r w:rsidRPr="00AE51E9">
                    <w:rPr>
                      <w:rFonts w:eastAsia="Calibri"/>
                      <w:b/>
                      <w:szCs w:val="22"/>
                    </w:rPr>
                    <w:t>Южаніній</w:t>
                  </w:r>
                  <w:proofErr w:type="spellEnd"/>
                  <w:r w:rsidRPr="00AE51E9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442194" w:rsidRPr="00AE51E9" w:rsidRDefault="00442194" w:rsidP="00E442E4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340629" w:rsidRPr="00AE51E9" w:rsidRDefault="00340629" w:rsidP="007E5E5D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340629" w:rsidRPr="00AE51E9" w:rsidRDefault="00340629" w:rsidP="00E442E4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340629" w:rsidRPr="00AE51E9" w:rsidRDefault="00340629" w:rsidP="007E5E5D">
      <w:pPr>
        <w:jc w:val="both"/>
        <w:rPr>
          <w:rFonts w:eastAsia="Calibri"/>
          <w:i/>
          <w:sz w:val="22"/>
          <w:lang w:eastAsia="en-US"/>
        </w:rPr>
      </w:pPr>
      <w:r w:rsidRPr="00AE51E9">
        <w:rPr>
          <w:rFonts w:eastAsia="Calibri"/>
          <w:i/>
          <w:sz w:val="22"/>
          <w:lang w:eastAsia="en-US"/>
        </w:rPr>
        <w:t xml:space="preserve">Щодо </w:t>
      </w:r>
      <w:r w:rsidR="007E5E5D" w:rsidRPr="00AE51E9">
        <w:rPr>
          <w:rFonts w:eastAsia="Calibri"/>
          <w:i/>
          <w:sz w:val="22"/>
          <w:lang w:eastAsia="en-US"/>
        </w:rPr>
        <w:t>законопроекту №5132</w:t>
      </w:r>
      <w:r w:rsidR="009B0E3C" w:rsidRPr="00AE51E9">
        <w:rPr>
          <w:rFonts w:eastAsia="Calibri"/>
          <w:i/>
          <w:sz w:val="22"/>
          <w:lang w:eastAsia="en-US"/>
        </w:rPr>
        <w:t xml:space="preserve"> </w:t>
      </w:r>
    </w:p>
    <w:p w:rsidR="007E5E5D" w:rsidRPr="00AE51E9" w:rsidRDefault="007E5E5D" w:rsidP="007E5E5D">
      <w:pPr>
        <w:jc w:val="both"/>
        <w:rPr>
          <w:rFonts w:eastAsia="Calibri"/>
          <w:i/>
          <w:sz w:val="22"/>
          <w:lang w:eastAsia="en-US"/>
        </w:rPr>
      </w:pPr>
      <w:r w:rsidRPr="00AE51E9">
        <w:rPr>
          <w:rFonts w:eastAsia="Calibri"/>
          <w:i/>
          <w:sz w:val="22"/>
          <w:lang w:eastAsia="en-US"/>
        </w:rPr>
        <w:t>«Про внесення змін до Податкового кодексу України»</w:t>
      </w:r>
    </w:p>
    <w:p w:rsidR="00340629" w:rsidRPr="00AE51E9" w:rsidRDefault="00340629" w:rsidP="00340629">
      <w:pPr>
        <w:jc w:val="both"/>
        <w:rPr>
          <w:rFonts w:eastAsia="Calibri"/>
          <w:i/>
          <w:sz w:val="22"/>
          <w:lang w:eastAsia="en-US"/>
        </w:rPr>
      </w:pPr>
    </w:p>
    <w:p w:rsidR="00340629" w:rsidRPr="00AE51E9" w:rsidRDefault="00340629" w:rsidP="00340629">
      <w:pPr>
        <w:jc w:val="both"/>
        <w:rPr>
          <w:rFonts w:eastAsia="Calibri"/>
          <w:i/>
          <w:sz w:val="22"/>
          <w:lang w:eastAsia="en-US"/>
        </w:rPr>
      </w:pPr>
    </w:p>
    <w:p w:rsidR="00340629" w:rsidRPr="00AE51E9" w:rsidRDefault="009B0E3C" w:rsidP="00340629">
      <w:pPr>
        <w:jc w:val="center"/>
        <w:rPr>
          <w:b/>
        </w:rPr>
      </w:pPr>
      <w:r w:rsidRPr="00AE51E9">
        <w:rPr>
          <w:b/>
        </w:rPr>
        <w:t>Шановна Ніно Петрівно</w:t>
      </w:r>
      <w:r w:rsidR="00340629" w:rsidRPr="00AE51E9">
        <w:rPr>
          <w:b/>
        </w:rPr>
        <w:t>!</w:t>
      </w:r>
    </w:p>
    <w:p w:rsidR="00340629" w:rsidRPr="00AE51E9" w:rsidRDefault="00340629" w:rsidP="00340629">
      <w:pPr>
        <w:rPr>
          <w:lang w:eastAsia="en-US"/>
        </w:rPr>
      </w:pPr>
    </w:p>
    <w:p w:rsidR="00340629" w:rsidRPr="00AE51E9" w:rsidRDefault="00340629" w:rsidP="007E5E5D">
      <w:pPr>
        <w:spacing w:after="120"/>
        <w:ind w:firstLine="709"/>
        <w:jc w:val="both"/>
      </w:pPr>
      <w:r w:rsidRPr="00AE51E9">
        <w:t xml:space="preserve">Від імені Ради директорів Американської торгівельної палати в Україні (надалі – Палата) та компаній–членів засвідчуємо Вам свою глибоку повагу та звертаємось до Вас з наступного питання. </w:t>
      </w:r>
    </w:p>
    <w:p w:rsidR="007E5E5D" w:rsidRPr="00AE51E9" w:rsidRDefault="007E5E5D" w:rsidP="007E5E5D">
      <w:pPr>
        <w:pStyle w:val="ad"/>
        <w:spacing w:after="120"/>
        <w:ind w:left="0" w:firstLine="709"/>
        <w:contextualSpacing w:val="0"/>
        <w:jc w:val="both"/>
      </w:pPr>
      <w:r w:rsidRPr="00AE51E9">
        <w:rPr>
          <w:shd w:val="clear" w:color="auto" w:fill="FFFFFF"/>
        </w:rPr>
        <w:t>15.09</w:t>
      </w:r>
      <w:r w:rsidR="002F6B40" w:rsidRPr="00AE51E9">
        <w:rPr>
          <w:shd w:val="clear" w:color="auto" w:fill="FFFFFF"/>
        </w:rPr>
        <w:t xml:space="preserve">.2016 </w:t>
      </w:r>
      <w:r w:rsidRPr="00AE51E9">
        <w:rPr>
          <w:shd w:val="clear" w:color="auto" w:fill="FFFFFF"/>
        </w:rPr>
        <w:t xml:space="preserve">у Верховній Раді України було зареєстровано </w:t>
      </w:r>
      <w:r w:rsidR="002F6B40" w:rsidRPr="00AE51E9">
        <w:rPr>
          <w:rFonts w:eastAsiaTheme="minorEastAsia"/>
          <w:lang w:eastAsia="ru-RU"/>
        </w:rPr>
        <w:t xml:space="preserve">проект Закону </w:t>
      </w:r>
      <w:r w:rsidRPr="00AE51E9">
        <w:rPr>
          <w:rFonts w:eastAsiaTheme="minorEastAsia"/>
          <w:lang w:eastAsia="ru-RU"/>
        </w:rPr>
        <w:t xml:space="preserve">України </w:t>
      </w:r>
      <w:r w:rsidRPr="00AE51E9">
        <w:t>«Про внесення змін до Податкового кодексу України» за реєстр. №5132.</w:t>
      </w:r>
    </w:p>
    <w:p w:rsidR="007E5E5D" w:rsidRPr="00AE51E9" w:rsidRDefault="007E5E5D" w:rsidP="00A61CA9">
      <w:pPr>
        <w:pStyle w:val="ad"/>
        <w:spacing w:after="120"/>
        <w:ind w:left="0" w:firstLine="709"/>
        <w:contextualSpacing w:val="0"/>
        <w:jc w:val="both"/>
      </w:pPr>
      <w:r w:rsidRPr="00AE51E9">
        <w:t xml:space="preserve">За результатами опрацювання тексту цього законопроекту компаніями-членами Палати, </w:t>
      </w:r>
      <w:r w:rsidR="009F4B77" w:rsidRPr="00AE51E9">
        <w:t>надаємо наступні пропозиції/зауваження</w:t>
      </w:r>
      <w:r w:rsidRPr="00AE51E9">
        <w:t>:</w:t>
      </w:r>
    </w:p>
    <w:p w:rsidR="007E5E5D" w:rsidRPr="00AE51E9" w:rsidRDefault="007E5E5D" w:rsidP="000C1FA2">
      <w:pPr>
        <w:pStyle w:val="ad"/>
        <w:numPr>
          <w:ilvl w:val="0"/>
          <w:numId w:val="20"/>
        </w:numPr>
        <w:spacing w:after="120"/>
        <w:ind w:left="0" w:firstLine="709"/>
        <w:contextualSpacing w:val="0"/>
        <w:jc w:val="both"/>
      </w:pPr>
      <w:r w:rsidRPr="00AE51E9">
        <w:rPr>
          <w:b/>
        </w:rPr>
        <w:t>Щодо пункту 200.11 статті 200</w:t>
      </w:r>
      <w:r w:rsidRPr="00AE51E9">
        <w:t xml:space="preserve"> – у нинішній редакції </w:t>
      </w:r>
      <w:r w:rsidR="00040FBE" w:rsidRPr="00AE51E9">
        <w:t xml:space="preserve">цієї статті </w:t>
      </w:r>
      <w:r w:rsidRPr="00AE51E9">
        <w:t xml:space="preserve">Податкового кодексу України </w:t>
      </w:r>
      <w:r w:rsidR="00040FBE" w:rsidRPr="00AE51E9">
        <w:t>контролюючий орган має</w:t>
      </w:r>
      <w:r w:rsidRPr="00AE51E9">
        <w:t xml:space="preserve"> право провести додаткову документальну перевірку бюджетного відшкодування за опе</w:t>
      </w:r>
      <w:r w:rsidR="00040FBE" w:rsidRPr="00AE51E9">
        <w:t xml:space="preserve">раціями з придбання товарів у с/г виробників за період до </w:t>
      </w:r>
      <w:r w:rsidRPr="00AE51E9">
        <w:t>1 січня 2016, якщо бюдже</w:t>
      </w:r>
      <w:r w:rsidR="00040FBE" w:rsidRPr="00AE51E9">
        <w:t>тне відшкодування ще не погашено</w:t>
      </w:r>
      <w:r w:rsidRPr="00AE51E9">
        <w:t>.</w:t>
      </w:r>
      <w:r w:rsidR="00040FBE" w:rsidRPr="00AE51E9">
        <w:t xml:space="preserve"> Законопроектом пропонується це право поширити також і на 2016 рік та</w:t>
      </w:r>
      <w:r w:rsidRPr="00AE51E9">
        <w:t xml:space="preserve"> </w:t>
      </w:r>
      <w:r w:rsidR="00040FBE" w:rsidRPr="00AE51E9">
        <w:t>наступні періоди</w:t>
      </w:r>
      <w:r w:rsidRPr="00AE51E9">
        <w:t xml:space="preserve"> (</w:t>
      </w:r>
      <w:r w:rsidR="00040FBE" w:rsidRPr="00AE51E9">
        <w:t>термін прибрано</w:t>
      </w:r>
      <w:r w:rsidRPr="00AE51E9">
        <w:t>).</w:t>
      </w:r>
      <w:r w:rsidR="00040FBE" w:rsidRPr="00AE51E9">
        <w:t xml:space="preserve"> </w:t>
      </w:r>
    </w:p>
    <w:p w:rsidR="007E5E5D" w:rsidRPr="00AE51E9" w:rsidRDefault="00040FBE" w:rsidP="00A61CA9">
      <w:pPr>
        <w:pStyle w:val="ad"/>
        <w:spacing w:after="120"/>
        <w:ind w:left="0" w:firstLine="709"/>
        <w:contextualSpacing w:val="0"/>
        <w:jc w:val="both"/>
      </w:pPr>
      <w:r w:rsidRPr="00AE51E9">
        <w:t xml:space="preserve">У цьому зв’язку, заперечуємо </w:t>
      </w:r>
      <w:r w:rsidR="007E5E5D" w:rsidRPr="00AE51E9">
        <w:t>проти такої редакції</w:t>
      </w:r>
      <w:r w:rsidRPr="00AE51E9">
        <w:t xml:space="preserve"> статті</w:t>
      </w:r>
      <w:r w:rsidR="007E5E5D" w:rsidRPr="00AE51E9">
        <w:t xml:space="preserve">, </w:t>
      </w:r>
      <w:r w:rsidRPr="00AE51E9">
        <w:t>оскільки</w:t>
      </w:r>
      <w:r w:rsidR="007E5E5D" w:rsidRPr="00AE51E9">
        <w:t xml:space="preserve"> це формально може привести до затягування процес</w:t>
      </w:r>
      <w:r w:rsidRPr="00AE51E9">
        <w:t>у</w:t>
      </w:r>
      <w:r w:rsidR="007E5E5D" w:rsidRPr="00AE51E9">
        <w:t xml:space="preserve"> перевірки </w:t>
      </w:r>
      <w:r w:rsidRPr="00AE51E9">
        <w:t>та</w:t>
      </w:r>
      <w:r w:rsidR="00DB2235" w:rsidRPr="00AE51E9">
        <w:t xml:space="preserve"> відшкодування ПДВ, а </w:t>
      </w:r>
      <w:r w:rsidR="007E5E5D" w:rsidRPr="00AE51E9">
        <w:t xml:space="preserve">для перевірки заявлених сум існує </w:t>
      </w:r>
      <w:r w:rsidR="00DB2235" w:rsidRPr="00AE51E9">
        <w:t>система електронного адміністрування ПДВ (СЕА ПДВ) та Є</w:t>
      </w:r>
      <w:r w:rsidR="007E5E5D" w:rsidRPr="00AE51E9">
        <w:t>диний реєстр податкових накладних</w:t>
      </w:r>
      <w:r w:rsidR="00DB2235" w:rsidRPr="00AE51E9">
        <w:t xml:space="preserve"> (ЄРПН)</w:t>
      </w:r>
      <w:r w:rsidR="007E5E5D" w:rsidRPr="00AE51E9">
        <w:t>.</w:t>
      </w:r>
      <w:r w:rsidR="00DB2235" w:rsidRPr="00AE51E9">
        <w:t xml:space="preserve"> Тому п</w:t>
      </w:r>
      <w:r w:rsidR="007E5E5D" w:rsidRPr="00AE51E9">
        <w:t>ропонуємо залишити стару редакцію</w:t>
      </w:r>
      <w:r w:rsidR="00DB2235" w:rsidRPr="00AE51E9">
        <w:t xml:space="preserve"> статті 200 </w:t>
      </w:r>
      <w:r w:rsidR="007E5E5D" w:rsidRPr="00AE51E9">
        <w:t xml:space="preserve">або </w:t>
      </w:r>
      <w:r w:rsidR="00DB2235" w:rsidRPr="00AE51E9">
        <w:t xml:space="preserve">видалити пункт 200.11 ПКУ </w:t>
      </w:r>
      <w:r w:rsidR="007E5E5D" w:rsidRPr="00AE51E9">
        <w:t>зовсім.</w:t>
      </w:r>
    </w:p>
    <w:p w:rsidR="006C6ED9" w:rsidRPr="00AE51E9" w:rsidRDefault="006E0B96" w:rsidP="006E0B96">
      <w:pPr>
        <w:pStyle w:val="ad"/>
        <w:numPr>
          <w:ilvl w:val="0"/>
          <w:numId w:val="20"/>
        </w:numPr>
        <w:spacing w:after="120"/>
        <w:ind w:left="0" w:firstLine="709"/>
        <w:contextualSpacing w:val="0"/>
        <w:jc w:val="both"/>
      </w:pPr>
      <w:r w:rsidRPr="00AE51E9">
        <w:rPr>
          <w:b/>
        </w:rPr>
        <w:t>Абсолютно є незрозумілим пропозиція по вирівнюванню ставок на дизельне пальне стандарту Євро-4 та Євро-5 до рівня стандарту Євро 2,3</w:t>
      </w:r>
      <w:r w:rsidRPr="00AE51E9">
        <w:t xml:space="preserve">. В Україні починаючи із 2015 року продаж бензинів стандарту Євро 2,3 заборонено. Протягом 2016 року жодна компанія не виробляла </w:t>
      </w:r>
      <w:r w:rsidR="000C3DEB" w:rsidRPr="00AE51E9">
        <w:t>та</w:t>
      </w:r>
      <w:r w:rsidRPr="00AE51E9">
        <w:t xml:space="preserve"> не імпортувала дизельне пальне стандарту Євро 2,3. Весь обсяг дизельного пального, який споживається в Україні в 2016 році оподатковувався по ставці 95 Євро/1000літрів, </w:t>
      </w:r>
      <w:r w:rsidR="006C6ED9" w:rsidRPr="00AE51E9">
        <w:t>тому збільшення ставки акцизного податку</w:t>
      </w:r>
      <w:r w:rsidRPr="00AE51E9">
        <w:t xml:space="preserve"> на 30,5 євро/1000 літрів призведе до подорожчання дизельного п</w:t>
      </w:r>
      <w:r w:rsidR="006C6ED9" w:rsidRPr="00AE51E9">
        <w:t>ального для кінцевих споживачів, у</w:t>
      </w:r>
      <w:r w:rsidRPr="00AE51E9">
        <w:t xml:space="preserve"> тому числі пром</w:t>
      </w:r>
      <w:r w:rsidR="006C6ED9" w:rsidRPr="00AE51E9">
        <w:t>ислових та аграрних на 1,10 грн</w:t>
      </w:r>
      <w:r w:rsidRPr="00AE51E9">
        <w:t xml:space="preserve">/літр. </w:t>
      </w:r>
    </w:p>
    <w:p w:rsidR="000C1FA2" w:rsidRPr="00AE51E9" w:rsidRDefault="006C6ED9" w:rsidP="006C6ED9">
      <w:pPr>
        <w:pStyle w:val="ad"/>
        <w:spacing w:after="120"/>
        <w:ind w:left="0" w:firstLine="709"/>
        <w:contextualSpacing w:val="0"/>
        <w:jc w:val="both"/>
      </w:pPr>
      <w:r w:rsidRPr="00AE51E9">
        <w:t>У</w:t>
      </w:r>
      <w:r w:rsidR="006E0B96" w:rsidRPr="00AE51E9">
        <w:t xml:space="preserve"> будь-якому випадку вважаємо необґрунтованим вирівнювання ставок для дизельного пального стандарту Євро 2,3 та стандарту Євро 4,5 та таким що потенційно може призвести до формування нових корупційних схем постачання неякісного пального.</w:t>
      </w:r>
    </w:p>
    <w:p w:rsidR="001F6D29" w:rsidRPr="00AE51E9" w:rsidRDefault="001F6D29" w:rsidP="00022B83">
      <w:pPr>
        <w:pStyle w:val="ad"/>
        <w:numPr>
          <w:ilvl w:val="0"/>
          <w:numId w:val="20"/>
        </w:numPr>
        <w:spacing w:after="120"/>
        <w:ind w:left="0" w:firstLine="709"/>
        <w:contextualSpacing w:val="0"/>
        <w:jc w:val="both"/>
      </w:pPr>
      <w:r w:rsidRPr="00AE51E9">
        <w:rPr>
          <w:b/>
          <w:bCs/>
        </w:rPr>
        <w:lastRenderedPageBreak/>
        <w:t xml:space="preserve">Пропонуємо збільшити ставки базового акцизу з імпорту та виробництва зрідженого газу на 31 Євро/1000 літрів. </w:t>
      </w:r>
      <w:r w:rsidRPr="00AE51E9">
        <w:t xml:space="preserve">В Україні через дуже низьке відношення ставки акцизного податку на зріджений газ до ставки акцизного податку на бензини (18% = 31/171,50) відбувається неприродній ріст споживання зрідженого газу за рахунок заміщення споживання бензинів, зокрема протягом останніх 2 роки близько 1 млрд. літрів споживання бензинів в річному вимірі перетекло в зріджений газ. Дана тенденція призводить до багатьох структурних </w:t>
      </w:r>
      <w:proofErr w:type="spellStart"/>
      <w:r w:rsidRPr="00AE51E9">
        <w:t>дисбалансів</w:t>
      </w:r>
      <w:proofErr w:type="spellEnd"/>
      <w:r w:rsidRPr="00AE51E9">
        <w:t>, серед яких:</w:t>
      </w:r>
      <w:bookmarkStart w:id="0" w:name="_GoBack"/>
      <w:bookmarkEnd w:id="0"/>
    </w:p>
    <w:p w:rsidR="001F6D29" w:rsidRPr="00AE51E9" w:rsidRDefault="001F6D29" w:rsidP="00022B83">
      <w:pPr>
        <w:pStyle w:val="ad"/>
        <w:spacing w:after="120"/>
        <w:ind w:left="0" w:firstLine="709"/>
        <w:contextualSpacing w:val="0"/>
        <w:jc w:val="both"/>
      </w:pPr>
      <w:r w:rsidRPr="00AE51E9">
        <w:t xml:space="preserve">- заміщення споживання бензинів на споживання зрідженого газу призводить до значних втрат бюджету – на кожній 1 000 літрів заміщення зрідженим газом бюджет втрачає 140,5 </w:t>
      </w:r>
      <w:r w:rsidR="00022B83" w:rsidRPr="00AE51E9">
        <w:t>є</w:t>
      </w:r>
      <w:r w:rsidRPr="00AE51E9">
        <w:t>вро. Загальні річні втрати</w:t>
      </w:r>
      <w:r w:rsidR="00022B83" w:rsidRPr="00AE51E9">
        <w:t xml:space="preserve"> бюджету від поступлення акцизного податку </w:t>
      </w:r>
      <w:r w:rsidRPr="00AE51E9">
        <w:t>по зниженій ставці через переті</w:t>
      </w:r>
      <w:r w:rsidR="00E67AE6" w:rsidRPr="00AE51E9">
        <w:t xml:space="preserve">кання у 2016 </w:t>
      </w:r>
      <w:r w:rsidR="00022B83" w:rsidRPr="00AE51E9">
        <w:t xml:space="preserve">році </w:t>
      </w:r>
      <w:r w:rsidR="00E67AE6" w:rsidRPr="00AE51E9">
        <w:t xml:space="preserve">складатимуть </w:t>
      </w:r>
      <w:r w:rsidR="00022B83" w:rsidRPr="00AE51E9">
        <w:t>приблизно</w:t>
      </w:r>
      <w:r w:rsidR="00E67AE6" w:rsidRPr="00AE51E9">
        <w:t xml:space="preserve"> </w:t>
      </w:r>
      <w:r w:rsidRPr="00AE51E9">
        <w:rPr>
          <w:bCs/>
        </w:rPr>
        <w:t>4,0 млрд. грн</w:t>
      </w:r>
      <w:r w:rsidR="00022B83" w:rsidRPr="00AE51E9">
        <w:rPr>
          <w:bCs/>
        </w:rPr>
        <w:t>.</w:t>
      </w:r>
      <w:r w:rsidR="00E67AE6" w:rsidRPr="00AE51E9">
        <w:rPr>
          <w:bCs/>
        </w:rPr>
        <w:t>;</w:t>
      </w:r>
    </w:p>
    <w:p w:rsidR="001F6D29" w:rsidRPr="00AE51E9" w:rsidRDefault="001F6D29" w:rsidP="00022B83">
      <w:pPr>
        <w:pStyle w:val="ad"/>
        <w:spacing w:after="120"/>
        <w:ind w:left="0" w:firstLine="709"/>
        <w:contextualSpacing w:val="0"/>
        <w:jc w:val="both"/>
      </w:pPr>
      <w:r w:rsidRPr="00AE51E9">
        <w:t>- відсутність відповідної інфраструктури для приймання, транспортування та продажу зр</w:t>
      </w:r>
      <w:r w:rsidR="00E67AE6" w:rsidRPr="00AE51E9">
        <w:t>ідженого газу в великих обсягах;</w:t>
      </w:r>
    </w:p>
    <w:p w:rsidR="001F6D29" w:rsidRPr="00AE51E9" w:rsidRDefault="001F6D29" w:rsidP="00022B83">
      <w:pPr>
        <w:pStyle w:val="ad"/>
        <w:spacing w:after="120"/>
        <w:ind w:left="0" w:firstLine="709"/>
        <w:contextualSpacing w:val="0"/>
        <w:jc w:val="both"/>
      </w:pPr>
      <w:r w:rsidRPr="00AE51E9">
        <w:t>- відсутність</w:t>
      </w:r>
      <w:r w:rsidR="00022B83" w:rsidRPr="00AE51E9">
        <w:t xml:space="preserve"> в східноєвропейському регіоні </w:t>
      </w:r>
      <w:r w:rsidRPr="00AE51E9">
        <w:t>достатніх вільних обсягів зрідженого газу і, як наслідок, українським споживачам доводиться переплачувати за зріджений газ в порівнянні із європейськими.</w:t>
      </w:r>
      <w:r w:rsidR="00022B83" w:rsidRPr="00AE51E9">
        <w:t xml:space="preserve"> </w:t>
      </w:r>
      <w:r w:rsidRPr="00AE51E9">
        <w:t xml:space="preserve">Протягом останніх двох місяців різниця в котируваннях </w:t>
      </w:r>
      <w:r w:rsidR="00022B83" w:rsidRPr="00AE51E9">
        <w:t>у</w:t>
      </w:r>
      <w:r w:rsidRPr="00AE51E9">
        <w:t xml:space="preserve"> поставках на українських кордонах </w:t>
      </w:r>
      <w:r w:rsidR="00022B83" w:rsidRPr="00AE51E9">
        <w:t>у</w:t>
      </w:r>
      <w:r w:rsidRPr="00AE51E9">
        <w:t xml:space="preserve"> порів</w:t>
      </w:r>
      <w:r w:rsidR="00022B83" w:rsidRPr="00AE51E9">
        <w:t xml:space="preserve">нянні із європейськими виросла </w:t>
      </w:r>
      <w:r w:rsidRPr="00AE51E9">
        <w:t xml:space="preserve">з від’ємної (традиційно ціна </w:t>
      </w:r>
      <w:r w:rsidR="00022B83" w:rsidRPr="00AE51E9">
        <w:t>в</w:t>
      </w:r>
      <w:r w:rsidRPr="00AE51E9">
        <w:t xml:space="preserve"> Україну була дешевша на логістику до Європи на 40 </w:t>
      </w:r>
      <w:proofErr w:type="spellStart"/>
      <w:r w:rsidRPr="00AE51E9">
        <w:t>дол</w:t>
      </w:r>
      <w:proofErr w:type="spellEnd"/>
      <w:r w:rsidRPr="00AE51E9">
        <w:t xml:space="preserve">./тону) до плюсової біля 70 </w:t>
      </w:r>
      <w:proofErr w:type="spellStart"/>
      <w:r w:rsidRPr="00AE51E9">
        <w:t>дол</w:t>
      </w:r>
      <w:proofErr w:type="spellEnd"/>
      <w:r w:rsidRPr="00AE51E9">
        <w:t>./тону.</w:t>
      </w:r>
    </w:p>
    <w:p w:rsidR="001F6D29" w:rsidRPr="00AE51E9" w:rsidRDefault="001F6D29" w:rsidP="00022B83">
      <w:pPr>
        <w:pStyle w:val="ad"/>
        <w:spacing w:after="120"/>
        <w:ind w:left="0" w:firstLine="709"/>
        <w:contextualSpacing w:val="0"/>
        <w:jc w:val="both"/>
      </w:pPr>
      <w:r w:rsidRPr="00AE51E9">
        <w:t>У наших найближчих східно-європейських сусідів</w:t>
      </w:r>
      <w:r w:rsidR="00022B83" w:rsidRPr="00AE51E9">
        <w:t>,</w:t>
      </w:r>
      <w:r w:rsidRPr="00AE51E9">
        <w:t xml:space="preserve"> де в свій час відбувались подібні тенденції по заміщенню бензинів зрідженим газом, давно вже переглянули співвідношення акцизних ставок для зрідженого газу та бензинів. Зокрема, у Литві ставка на зріджений газ з 1</w:t>
      </w:r>
      <w:r w:rsidR="00022B83" w:rsidRPr="00AE51E9">
        <w:t> 000 літрів складає біля 162,7 є</w:t>
      </w:r>
      <w:r w:rsidRPr="00AE51E9">
        <w:t>вро (або 304,10 за 1 000 кг)</w:t>
      </w:r>
      <w:r w:rsidR="00022B83" w:rsidRPr="00AE51E9">
        <w:t>,</w:t>
      </w:r>
      <w:r w:rsidRPr="00AE51E9">
        <w:t xml:space="preserve"> що складає 37% від ставки на бензин (434,43 Євро/1000 літрів). В Угорщині протягом 2010-2015</w:t>
      </w:r>
      <w:r w:rsidR="00022B83" w:rsidRPr="00AE51E9">
        <w:t xml:space="preserve"> </w:t>
      </w:r>
      <w:r w:rsidRPr="00AE51E9">
        <w:t>р</w:t>
      </w:r>
      <w:r w:rsidR="00022B83" w:rsidRPr="00AE51E9">
        <w:t>оків</w:t>
      </w:r>
      <w:r w:rsidRPr="00AE51E9">
        <w:t xml:space="preserve"> ставку на зріджений газ було збільшено в 2 рази і доведено до 43% від ставки на бензин (ставка на газ 163,85 </w:t>
      </w:r>
      <w:r w:rsidR="00F06722" w:rsidRPr="00AE51E9">
        <w:t>є</w:t>
      </w:r>
      <w:r w:rsidRPr="00AE51E9">
        <w:t xml:space="preserve">вро/1000 літрів, або 306,27 </w:t>
      </w:r>
      <w:r w:rsidR="00F06722" w:rsidRPr="00AE51E9">
        <w:t>є</w:t>
      </w:r>
      <w:r w:rsidRPr="00AE51E9">
        <w:t xml:space="preserve">вро/1000 кг, ставка на бензин 383,63 </w:t>
      </w:r>
      <w:r w:rsidR="00F06722" w:rsidRPr="00AE51E9">
        <w:t>є</w:t>
      </w:r>
      <w:r w:rsidRPr="00AE51E9">
        <w:t xml:space="preserve">вро/1000 літрів). У Польщі наразі ставка на газ складає 27% від ставки на бензин, але через бурхливе заміщення бензинів ведуться розмови про збільшення ставок на зріджений газ. Ставки на зріджений газ </w:t>
      </w:r>
      <w:r w:rsidR="008D45A8" w:rsidRPr="00AE51E9">
        <w:t>у</w:t>
      </w:r>
      <w:r w:rsidRPr="00AE51E9">
        <w:t xml:space="preserve"> Західній Європі залишаються на низькому рівні, що пояснюється непопулярністю даного продукту в цих країнах </w:t>
      </w:r>
      <w:r w:rsidR="008D45A8" w:rsidRPr="00AE51E9">
        <w:t>та</w:t>
      </w:r>
      <w:r w:rsidRPr="00AE51E9">
        <w:t xml:space="preserve"> низькими його оборотами.</w:t>
      </w:r>
    </w:p>
    <w:p w:rsidR="00340629" w:rsidRPr="00AE51E9" w:rsidRDefault="00340629" w:rsidP="00022B83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  <w:r w:rsidRPr="00AE51E9">
        <w:rPr>
          <w:color w:val="000000"/>
          <w:bdr w:val="none" w:sz="0" w:space="0" w:color="auto" w:frame="1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490-5800 та за електронною </w:t>
      </w:r>
      <w:proofErr w:type="spellStart"/>
      <w:r w:rsidRPr="00AE51E9">
        <w:rPr>
          <w:color w:val="000000"/>
          <w:bdr w:val="none" w:sz="0" w:space="0" w:color="auto" w:frame="1"/>
        </w:rPr>
        <w:t>адресою</w:t>
      </w:r>
      <w:proofErr w:type="spellEnd"/>
      <w:r w:rsidRPr="00AE51E9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AE51E9">
          <w:rPr>
            <w:rStyle w:val="a9"/>
            <w:bdr w:val="none" w:sz="0" w:space="0" w:color="auto" w:frame="1"/>
          </w:rPr>
          <w:t>oprokhorovych@chamber.ua</w:t>
        </w:r>
      </w:hyperlink>
      <w:r w:rsidRPr="00AE51E9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AE51E9">
        <w:t>оподаткування та митна політика</w:t>
      </w:r>
      <w:r w:rsidRPr="00AE51E9">
        <w:rPr>
          <w:color w:val="000000"/>
          <w:bdr w:val="none" w:sz="0" w:space="0" w:color="auto" w:frame="1"/>
        </w:rPr>
        <w:t xml:space="preserve">). </w:t>
      </w:r>
    </w:p>
    <w:p w:rsidR="00340629" w:rsidRPr="00AE51E9" w:rsidRDefault="00340629" w:rsidP="00340629">
      <w:pPr>
        <w:spacing w:before="120" w:after="120"/>
        <w:ind w:firstLine="709"/>
        <w:jc w:val="both"/>
      </w:pPr>
    </w:p>
    <w:p w:rsidR="00340629" w:rsidRPr="00AE51E9" w:rsidRDefault="00340629" w:rsidP="00340629">
      <w:pPr>
        <w:jc w:val="both"/>
        <w:rPr>
          <w:b/>
        </w:rPr>
      </w:pPr>
      <w:r w:rsidRPr="00AE51E9">
        <w:rPr>
          <w:b/>
        </w:rPr>
        <w:t>З глибокою повагою та найкращими побажаннями,</w:t>
      </w:r>
    </w:p>
    <w:p w:rsidR="00340629" w:rsidRPr="00AE51E9" w:rsidRDefault="00340629" w:rsidP="00340629">
      <w:pPr>
        <w:jc w:val="both"/>
      </w:pPr>
    </w:p>
    <w:p w:rsidR="00340629" w:rsidRPr="00AE51E9" w:rsidRDefault="00340629" w:rsidP="00340629">
      <w:pPr>
        <w:jc w:val="both"/>
        <w:rPr>
          <w:b/>
        </w:rPr>
      </w:pPr>
      <w:r w:rsidRPr="00AE51E9">
        <w:rPr>
          <w:rStyle w:val="ab"/>
          <w:color w:val="000000"/>
        </w:rPr>
        <w:t>Президент</w:t>
      </w:r>
      <w:r w:rsidRPr="00AE51E9">
        <w:rPr>
          <w:rStyle w:val="ab"/>
          <w:color w:val="000000"/>
        </w:rPr>
        <w:tab/>
      </w:r>
      <w:r w:rsidRPr="00AE51E9">
        <w:rPr>
          <w:rStyle w:val="ab"/>
          <w:color w:val="000000"/>
        </w:rPr>
        <w:tab/>
      </w:r>
      <w:r w:rsidRPr="00AE51E9">
        <w:rPr>
          <w:rStyle w:val="ab"/>
          <w:color w:val="000000"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  <w:t xml:space="preserve">                                  Андрій </w:t>
      </w:r>
      <w:proofErr w:type="spellStart"/>
      <w:r w:rsidRPr="00AE51E9">
        <w:rPr>
          <w:b/>
        </w:rPr>
        <w:t>Гундер</w:t>
      </w:r>
      <w:proofErr w:type="spellEnd"/>
      <w:r w:rsidRPr="00AE51E9">
        <w:rPr>
          <w:b/>
        </w:rPr>
        <w:t xml:space="preserve"> </w:t>
      </w:r>
    </w:p>
    <w:p w:rsidR="00340629" w:rsidRPr="00AE51E9" w:rsidRDefault="00340629" w:rsidP="00340629">
      <w:pPr>
        <w:spacing w:before="120" w:after="120"/>
        <w:ind w:firstLine="709"/>
        <w:jc w:val="both"/>
      </w:pPr>
    </w:p>
    <w:p w:rsidR="00E96BEC" w:rsidRPr="00AE51E9" w:rsidRDefault="00E96BEC" w:rsidP="00340629">
      <w:pPr>
        <w:rPr>
          <w:b/>
        </w:rPr>
      </w:pPr>
    </w:p>
    <w:sectPr w:rsidR="00E96BEC" w:rsidRPr="00AE51E9" w:rsidSect="00A97B3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8C" w:rsidRDefault="00D71F8C" w:rsidP="00742BAD">
      <w:r>
        <w:separator/>
      </w:r>
    </w:p>
  </w:endnote>
  <w:endnote w:type="continuationSeparator" w:id="0">
    <w:p w:rsidR="00D71F8C" w:rsidRDefault="00D71F8C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C" w:rsidRPr="00EA068F" w:rsidRDefault="00D54B7C" w:rsidP="00D54B7C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D54B7C" w:rsidRPr="00FD004B" w:rsidRDefault="00D54B7C" w:rsidP="00D54B7C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D54B7C" w:rsidRPr="00C35D47" w:rsidRDefault="00D54B7C" w:rsidP="00D54B7C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8C" w:rsidRDefault="00D71F8C" w:rsidP="00742BAD">
      <w:r>
        <w:separator/>
      </w:r>
    </w:p>
  </w:footnote>
  <w:footnote w:type="continuationSeparator" w:id="0">
    <w:p w:rsidR="00D71F8C" w:rsidRDefault="00D71F8C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D71F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D71F8C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  <w:lang w:val="en-US" w:eastAsia="en-US"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D71F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6307"/>
    <w:multiLevelType w:val="hybridMultilevel"/>
    <w:tmpl w:val="838051D0"/>
    <w:lvl w:ilvl="0" w:tplc="FBD2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8"/>
  </w:num>
  <w:num w:numId="11">
    <w:abstractNumId w:val="6"/>
  </w:num>
  <w:num w:numId="12">
    <w:abstractNumId w:val="1"/>
  </w:num>
  <w:num w:numId="13">
    <w:abstractNumId w:val="19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2B83"/>
    <w:rsid w:val="0004037E"/>
    <w:rsid w:val="00040FB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C1FA2"/>
    <w:rsid w:val="000C3DEB"/>
    <w:rsid w:val="000D18EA"/>
    <w:rsid w:val="000E1D29"/>
    <w:rsid w:val="000E3826"/>
    <w:rsid w:val="000E63EE"/>
    <w:rsid w:val="000F0214"/>
    <w:rsid w:val="000F30BD"/>
    <w:rsid w:val="00107751"/>
    <w:rsid w:val="001121F8"/>
    <w:rsid w:val="001129C6"/>
    <w:rsid w:val="001144A8"/>
    <w:rsid w:val="001368E3"/>
    <w:rsid w:val="0014059B"/>
    <w:rsid w:val="00154087"/>
    <w:rsid w:val="00165464"/>
    <w:rsid w:val="00167C1D"/>
    <w:rsid w:val="00173309"/>
    <w:rsid w:val="00176FC0"/>
    <w:rsid w:val="00182929"/>
    <w:rsid w:val="0018462B"/>
    <w:rsid w:val="0018481A"/>
    <w:rsid w:val="001949C6"/>
    <w:rsid w:val="001A49ED"/>
    <w:rsid w:val="001A7A1C"/>
    <w:rsid w:val="001B1E0E"/>
    <w:rsid w:val="001C1914"/>
    <w:rsid w:val="001C5DFB"/>
    <w:rsid w:val="001F2EDF"/>
    <w:rsid w:val="001F6D29"/>
    <w:rsid w:val="00201D61"/>
    <w:rsid w:val="00204B14"/>
    <w:rsid w:val="00206E58"/>
    <w:rsid w:val="002129E8"/>
    <w:rsid w:val="00230124"/>
    <w:rsid w:val="002424FC"/>
    <w:rsid w:val="002722B6"/>
    <w:rsid w:val="002819F1"/>
    <w:rsid w:val="00286295"/>
    <w:rsid w:val="00293BCD"/>
    <w:rsid w:val="00294906"/>
    <w:rsid w:val="002A1E61"/>
    <w:rsid w:val="002B416F"/>
    <w:rsid w:val="002B41E3"/>
    <w:rsid w:val="002B60F0"/>
    <w:rsid w:val="002C06AF"/>
    <w:rsid w:val="002D1292"/>
    <w:rsid w:val="002E1592"/>
    <w:rsid w:val="002F10D6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11D"/>
    <w:rsid w:val="003B5ED9"/>
    <w:rsid w:val="003B74BB"/>
    <w:rsid w:val="003C1500"/>
    <w:rsid w:val="003D520D"/>
    <w:rsid w:val="003E256D"/>
    <w:rsid w:val="003E4E18"/>
    <w:rsid w:val="003F0939"/>
    <w:rsid w:val="003F7D10"/>
    <w:rsid w:val="00404E0F"/>
    <w:rsid w:val="00410837"/>
    <w:rsid w:val="00411DF4"/>
    <w:rsid w:val="00413B48"/>
    <w:rsid w:val="00420ED4"/>
    <w:rsid w:val="004329B3"/>
    <w:rsid w:val="00440422"/>
    <w:rsid w:val="00442194"/>
    <w:rsid w:val="0045328F"/>
    <w:rsid w:val="00465F45"/>
    <w:rsid w:val="00472201"/>
    <w:rsid w:val="00487357"/>
    <w:rsid w:val="00487B06"/>
    <w:rsid w:val="00497FFD"/>
    <w:rsid w:val="004A043D"/>
    <w:rsid w:val="004B4344"/>
    <w:rsid w:val="004B4D55"/>
    <w:rsid w:val="004B64F6"/>
    <w:rsid w:val="004C0963"/>
    <w:rsid w:val="004C15D3"/>
    <w:rsid w:val="004C3FCF"/>
    <w:rsid w:val="004E394C"/>
    <w:rsid w:val="004E7215"/>
    <w:rsid w:val="0050730B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90E60"/>
    <w:rsid w:val="005A0673"/>
    <w:rsid w:val="005A27B1"/>
    <w:rsid w:val="005A6A22"/>
    <w:rsid w:val="005C0201"/>
    <w:rsid w:val="005D0C5B"/>
    <w:rsid w:val="005D49FE"/>
    <w:rsid w:val="005D7303"/>
    <w:rsid w:val="005E64FC"/>
    <w:rsid w:val="005F1110"/>
    <w:rsid w:val="006007A6"/>
    <w:rsid w:val="00612DEE"/>
    <w:rsid w:val="00612EE6"/>
    <w:rsid w:val="00624983"/>
    <w:rsid w:val="0064250F"/>
    <w:rsid w:val="00642A4C"/>
    <w:rsid w:val="0064737E"/>
    <w:rsid w:val="00682652"/>
    <w:rsid w:val="00682C77"/>
    <w:rsid w:val="0068417E"/>
    <w:rsid w:val="006A0F1F"/>
    <w:rsid w:val="006A48BA"/>
    <w:rsid w:val="006A63D0"/>
    <w:rsid w:val="006B26A5"/>
    <w:rsid w:val="006C6ED9"/>
    <w:rsid w:val="006D02CA"/>
    <w:rsid w:val="006D63E3"/>
    <w:rsid w:val="006D6942"/>
    <w:rsid w:val="006E0B96"/>
    <w:rsid w:val="00712510"/>
    <w:rsid w:val="00722997"/>
    <w:rsid w:val="00742BAD"/>
    <w:rsid w:val="0076187F"/>
    <w:rsid w:val="00765CFE"/>
    <w:rsid w:val="00784D33"/>
    <w:rsid w:val="00784D53"/>
    <w:rsid w:val="0078776B"/>
    <w:rsid w:val="007939AA"/>
    <w:rsid w:val="007A2437"/>
    <w:rsid w:val="007A465A"/>
    <w:rsid w:val="007C2209"/>
    <w:rsid w:val="007C4A88"/>
    <w:rsid w:val="007C500B"/>
    <w:rsid w:val="007C508D"/>
    <w:rsid w:val="007E5E5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22E86"/>
    <w:rsid w:val="008253F3"/>
    <w:rsid w:val="00826CC3"/>
    <w:rsid w:val="00834080"/>
    <w:rsid w:val="00837CAC"/>
    <w:rsid w:val="008406CF"/>
    <w:rsid w:val="008509D2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45A8"/>
    <w:rsid w:val="008D7BE7"/>
    <w:rsid w:val="008E18A2"/>
    <w:rsid w:val="008F264B"/>
    <w:rsid w:val="009029FE"/>
    <w:rsid w:val="00912808"/>
    <w:rsid w:val="00913EF0"/>
    <w:rsid w:val="00920E9D"/>
    <w:rsid w:val="0093791A"/>
    <w:rsid w:val="009553F2"/>
    <w:rsid w:val="00965AA4"/>
    <w:rsid w:val="00973BDE"/>
    <w:rsid w:val="009751DE"/>
    <w:rsid w:val="00980DE8"/>
    <w:rsid w:val="009A0B4F"/>
    <w:rsid w:val="009A3AA3"/>
    <w:rsid w:val="009A4C99"/>
    <w:rsid w:val="009B0E3C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30D0B"/>
    <w:rsid w:val="00A439A3"/>
    <w:rsid w:val="00A43A89"/>
    <w:rsid w:val="00A4627F"/>
    <w:rsid w:val="00A521C9"/>
    <w:rsid w:val="00A61CA9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3B32"/>
    <w:rsid w:val="00B05663"/>
    <w:rsid w:val="00B05BD1"/>
    <w:rsid w:val="00B15706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D4DF2"/>
    <w:rsid w:val="00BE65BC"/>
    <w:rsid w:val="00BE692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6F7B"/>
    <w:rsid w:val="00CA713B"/>
    <w:rsid w:val="00CB32DD"/>
    <w:rsid w:val="00CB3927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54B7C"/>
    <w:rsid w:val="00D631F6"/>
    <w:rsid w:val="00D67749"/>
    <w:rsid w:val="00D71F0F"/>
    <w:rsid w:val="00D71F8C"/>
    <w:rsid w:val="00D801F9"/>
    <w:rsid w:val="00D865DE"/>
    <w:rsid w:val="00D942BF"/>
    <w:rsid w:val="00DB2235"/>
    <w:rsid w:val="00DB5AB3"/>
    <w:rsid w:val="00E10551"/>
    <w:rsid w:val="00E114C1"/>
    <w:rsid w:val="00E1793E"/>
    <w:rsid w:val="00E25243"/>
    <w:rsid w:val="00E3630A"/>
    <w:rsid w:val="00E441CD"/>
    <w:rsid w:val="00E45B8B"/>
    <w:rsid w:val="00E54F78"/>
    <w:rsid w:val="00E616CC"/>
    <w:rsid w:val="00E67AE6"/>
    <w:rsid w:val="00E83BB7"/>
    <w:rsid w:val="00E9331F"/>
    <w:rsid w:val="00E96BEC"/>
    <w:rsid w:val="00EA068F"/>
    <w:rsid w:val="00EA2D5C"/>
    <w:rsid w:val="00EB3263"/>
    <w:rsid w:val="00EB7C0A"/>
    <w:rsid w:val="00EC0D5E"/>
    <w:rsid w:val="00EC2270"/>
    <w:rsid w:val="00ED2E7E"/>
    <w:rsid w:val="00ED4439"/>
    <w:rsid w:val="00EE0ADE"/>
    <w:rsid w:val="00F0296B"/>
    <w:rsid w:val="00F02E8D"/>
    <w:rsid w:val="00F06722"/>
    <w:rsid w:val="00F068AF"/>
    <w:rsid w:val="00F12354"/>
    <w:rsid w:val="00F201BF"/>
    <w:rsid w:val="00F255F1"/>
    <w:rsid w:val="00F35C5A"/>
    <w:rsid w:val="00F36506"/>
    <w:rsid w:val="00F36AD4"/>
    <w:rsid w:val="00F3741E"/>
    <w:rsid w:val="00F41B9D"/>
    <w:rsid w:val="00F41E06"/>
    <w:rsid w:val="00F47F3D"/>
    <w:rsid w:val="00F50210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C2408FE-5F3E-4503-981A-5B9D2A47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17</cp:revision>
  <cp:lastPrinted>2014-11-11T14:45:00Z</cp:lastPrinted>
  <dcterms:created xsi:type="dcterms:W3CDTF">2016-10-10T08:59:00Z</dcterms:created>
  <dcterms:modified xsi:type="dcterms:W3CDTF">2016-10-10T13:13:00Z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