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D" w:rsidRPr="0097493E" w:rsidRDefault="000F30BD" w:rsidP="00A97B35">
      <w:r w:rsidRPr="0097493E">
        <w:t>№16-</w:t>
      </w:r>
    </w:p>
    <w:tbl>
      <w:tblPr>
        <w:tblW w:w="10441" w:type="dxa"/>
        <w:tblInd w:w="108" w:type="dxa"/>
        <w:tblLook w:val="04A0" w:firstRow="1" w:lastRow="0" w:firstColumn="1" w:lastColumn="0" w:noHBand="0" w:noVBand="1"/>
      </w:tblPr>
      <w:tblGrid>
        <w:gridCol w:w="5069"/>
        <w:gridCol w:w="5372"/>
      </w:tblGrid>
      <w:tr w:rsidR="000F30BD" w:rsidRPr="0097493E" w:rsidTr="006356E2">
        <w:tc>
          <w:tcPr>
            <w:tcW w:w="5069" w:type="dxa"/>
            <w:shd w:val="clear" w:color="auto" w:fill="auto"/>
          </w:tcPr>
          <w:p w:rsidR="000F30BD" w:rsidRPr="0097493E" w:rsidRDefault="006A6338" w:rsidP="006A6338">
            <w:pPr>
              <w:ind w:left="-108"/>
              <w:jc w:val="both"/>
              <w:rPr>
                <w:rFonts w:eastAsia="Calibri"/>
                <w:i/>
                <w:lang w:eastAsia="en-US"/>
              </w:rPr>
            </w:pPr>
            <w:r>
              <w:rPr>
                <w:rFonts w:eastAsia="Calibri"/>
                <w:lang w:eastAsia="en-US"/>
              </w:rPr>
              <w:t xml:space="preserve">від </w:t>
            </w:r>
            <w:r w:rsidR="00EE3780">
              <w:rPr>
                <w:rFonts w:eastAsia="Calibri"/>
                <w:lang w:eastAsia="en-US"/>
              </w:rPr>
              <w:t xml:space="preserve">__ </w:t>
            </w:r>
            <w:r w:rsidR="006356E2" w:rsidRPr="0097493E">
              <w:rPr>
                <w:rFonts w:eastAsia="Calibri"/>
                <w:lang w:eastAsia="en-US"/>
              </w:rPr>
              <w:t>вересня</w:t>
            </w:r>
            <w:r w:rsidR="00D631F6" w:rsidRPr="0097493E">
              <w:rPr>
                <w:rFonts w:eastAsia="Calibri"/>
                <w:lang w:eastAsia="en-US"/>
              </w:rPr>
              <w:t xml:space="preserve"> </w:t>
            </w:r>
            <w:r w:rsidR="000F30BD" w:rsidRPr="0097493E">
              <w:rPr>
                <w:rFonts w:eastAsia="Calibri"/>
                <w:lang w:eastAsia="en-US"/>
              </w:rPr>
              <w:t>2016 рок</w:t>
            </w:r>
            <w:r w:rsidR="00EB3263" w:rsidRPr="0097493E">
              <w:rPr>
                <w:rFonts w:eastAsia="Calibri"/>
                <w:lang w:eastAsia="en-US"/>
              </w:rPr>
              <w:t>у</w:t>
            </w:r>
            <w:r w:rsidR="000F30BD" w:rsidRPr="0097493E">
              <w:rPr>
                <w:rFonts w:eastAsia="Calibri"/>
                <w:lang w:eastAsia="en-US"/>
              </w:rPr>
              <w:t xml:space="preserve"> </w:t>
            </w:r>
          </w:p>
        </w:tc>
        <w:tc>
          <w:tcPr>
            <w:tcW w:w="5372" w:type="dxa"/>
            <w:shd w:val="clear" w:color="auto" w:fill="auto"/>
          </w:tcPr>
          <w:tbl>
            <w:tblPr>
              <w:tblW w:w="0" w:type="auto"/>
              <w:tblLook w:val="04A0" w:firstRow="1" w:lastRow="0" w:firstColumn="1" w:lastColumn="0" w:noHBand="0" w:noVBand="1"/>
            </w:tblPr>
            <w:tblGrid>
              <w:gridCol w:w="236"/>
              <w:gridCol w:w="4617"/>
            </w:tblGrid>
            <w:tr w:rsidR="000F30BD" w:rsidRPr="0097493E" w:rsidTr="00413B48">
              <w:tc>
                <w:tcPr>
                  <w:tcW w:w="236" w:type="dxa"/>
                  <w:shd w:val="clear" w:color="auto" w:fill="auto"/>
                </w:tcPr>
                <w:p w:rsidR="000F30BD" w:rsidRPr="0097493E" w:rsidRDefault="000F30BD">
                  <w:pPr>
                    <w:rPr>
                      <w:rFonts w:ascii="Calibri" w:eastAsia="Calibri" w:hAnsi="Calibri"/>
                      <w:b/>
                      <w:sz w:val="22"/>
                      <w:szCs w:val="22"/>
                    </w:rPr>
                  </w:pPr>
                </w:p>
                <w:p w:rsidR="000F30BD" w:rsidRPr="0097493E" w:rsidRDefault="000F30BD">
                  <w:pPr>
                    <w:ind w:right="-109"/>
                    <w:jc w:val="right"/>
                    <w:rPr>
                      <w:rFonts w:ascii="Calibri" w:eastAsia="Calibri" w:hAnsi="Calibri"/>
                      <w:sz w:val="22"/>
                      <w:szCs w:val="22"/>
                    </w:rPr>
                  </w:pPr>
                </w:p>
                <w:p w:rsidR="000F30BD" w:rsidRPr="0097493E" w:rsidRDefault="000F30BD">
                  <w:pPr>
                    <w:rPr>
                      <w:rFonts w:ascii="Calibri" w:eastAsia="Calibri" w:hAnsi="Calibri"/>
                      <w:b/>
                      <w:sz w:val="22"/>
                      <w:szCs w:val="22"/>
                    </w:rPr>
                  </w:pPr>
                </w:p>
                <w:p w:rsidR="000F30BD" w:rsidRPr="0097493E" w:rsidRDefault="00D37CEF">
                  <w:pPr>
                    <w:ind w:firstLine="3261"/>
                    <w:rPr>
                      <w:rFonts w:ascii="Calibri" w:eastAsia="Calibri" w:hAnsi="Calibri"/>
                      <w:b/>
                      <w:sz w:val="22"/>
                      <w:szCs w:val="22"/>
                    </w:rPr>
                  </w:pPr>
                  <w:r w:rsidRPr="0097493E">
                    <w:rPr>
                      <w:rFonts w:ascii="Calibri" w:eastAsia="Calibri" w:hAnsi="Calibri"/>
                      <w:b/>
                      <w:sz w:val="22"/>
                      <w:szCs w:val="22"/>
                    </w:rPr>
                    <w:t xml:space="preserve"> </w:t>
                  </w:r>
                </w:p>
              </w:tc>
              <w:tc>
                <w:tcPr>
                  <w:tcW w:w="4617" w:type="dxa"/>
                  <w:shd w:val="clear" w:color="auto" w:fill="auto"/>
                </w:tcPr>
                <w:p w:rsidR="000F30BD" w:rsidRPr="0097493E" w:rsidRDefault="000F30BD">
                  <w:pPr>
                    <w:rPr>
                      <w:rFonts w:eastAsia="Calibri"/>
                      <w:b/>
                      <w:szCs w:val="22"/>
                    </w:rPr>
                  </w:pPr>
                </w:p>
                <w:p w:rsidR="006A6338" w:rsidRDefault="006A6338" w:rsidP="00B15706">
                  <w:pPr>
                    <w:ind w:left="824"/>
                    <w:rPr>
                      <w:rFonts w:eastAsia="Calibri"/>
                      <w:b/>
                      <w:szCs w:val="22"/>
                    </w:rPr>
                  </w:pPr>
                </w:p>
                <w:p w:rsidR="00B15706" w:rsidRPr="0097493E" w:rsidRDefault="006A6338" w:rsidP="00B15706">
                  <w:pPr>
                    <w:ind w:left="824"/>
                    <w:rPr>
                      <w:rFonts w:eastAsia="Calibri"/>
                      <w:b/>
                      <w:szCs w:val="22"/>
                    </w:rPr>
                  </w:pPr>
                  <w:r>
                    <w:rPr>
                      <w:rFonts w:eastAsia="Calibri"/>
                      <w:b/>
                      <w:szCs w:val="22"/>
                    </w:rPr>
                    <w:t xml:space="preserve">Заступнику Міністра фінансів </w:t>
                  </w:r>
                  <w:r w:rsidR="00B15706" w:rsidRPr="0097493E">
                    <w:rPr>
                      <w:rFonts w:eastAsia="Calibri"/>
                      <w:b/>
                      <w:szCs w:val="22"/>
                    </w:rPr>
                    <w:t>України</w:t>
                  </w:r>
                </w:p>
                <w:p w:rsidR="000F30BD" w:rsidRPr="0097493E" w:rsidRDefault="006A6338" w:rsidP="00B15706">
                  <w:pPr>
                    <w:ind w:left="824"/>
                    <w:rPr>
                      <w:rFonts w:eastAsia="Calibri"/>
                      <w:b/>
                      <w:szCs w:val="22"/>
                    </w:rPr>
                  </w:pPr>
                  <w:r>
                    <w:rPr>
                      <w:rFonts w:eastAsia="Calibri"/>
                      <w:b/>
                      <w:szCs w:val="22"/>
                    </w:rPr>
                    <w:t>С</w:t>
                  </w:r>
                  <w:r w:rsidR="00B15706" w:rsidRPr="0097493E">
                    <w:rPr>
                      <w:rFonts w:eastAsia="Calibri"/>
                      <w:b/>
                      <w:szCs w:val="22"/>
                    </w:rPr>
                    <w:t xml:space="preserve">.М. </w:t>
                  </w:r>
                  <w:r>
                    <w:rPr>
                      <w:rFonts w:eastAsia="Calibri"/>
                      <w:b/>
                      <w:szCs w:val="22"/>
                    </w:rPr>
                    <w:t>Марченко</w:t>
                  </w:r>
                </w:p>
                <w:p w:rsidR="001129C6" w:rsidRPr="0097493E" w:rsidRDefault="001129C6">
                  <w:pPr>
                    <w:rPr>
                      <w:rFonts w:eastAsia="Calibri"/>
                      <w:b/>
                      <w:szCs w:val="22"/>
                    </w:rPr>
                  </w:pPr>
                </w:p>
                <w:p w:rsidR="001129C6" w:rsidRPr="0097493E" w:rsidRDefault="001129C6" w:rsidP="00877CFB">
                  <w:pPr>
                    <w:ind w:left="824"/>
                    <w:rPr>
                      <w:rFonts w:eastAsia="Calibri"/>
                      <w:b/>
                      <w:szCs w:val="22"/>
                    </w:rPr>
                  </w:pPr>
                </w:p>
              </w:tc>
            </w:tr>
          </w:tbl>
          <w:p w:rsidR="000F30BD" w:rsidRPr="0097493E" w:rsidRDefault="000F30BD" w:rsidP="00A97B35">
            <w:pPr>
              <w:pStyle w:val="ac"/>
              <w:spacing w:before="0" w:beforeAutospacing="0" w:after="0" w:afterAutospacing="0"/>
              <w:rPr>
                <w:b/>
              </w:rPr>
            </w:pPr>
          </w:p>
        </w:tc>
      </w:tr>
    </w:tbl>
    <w:p w:rsidR="006A6338" w:rsidRDefault="006356E2" w:rsidP="00331BF9">
      <w:pPr>
        <w:jc w:val="both"/>
        <w:rPr>
          <w:rFonts w:eastAsia="Calibri"/>
          <w:i/>
          <w:sz w:val="22"/>
          <w:lang w:eastAsia="en-US"/>
        </w:rPr>
      </w:pPr>
      <w:r w:rsidRPr="0097493E">
        <w:rPr>
          <w:rFonts w:eastAsia="Calibri"/>
          <w:i/>
          <w:sz w:val="22"/>
          <w:lang w:eastAsia="en-US"/>
        </w:rPr>
        <w:t>Щодо</w:t>
      </w:r>
      <w:r w:rsidR="00B623F5">
        <w:rPr>
          <w:rFonts w:eastAsia="Calibri"/>
          <w:i/>
          <w:sz w:val="22"/>
          <w:lang w:eastAsia="en-US"/>
        </w:rPr>
        <w:t xml:space="preserve"> </w:t>
      </w:r>
      <w:r w:rsidR="00331BF9" w:rsidRPr="00331BF9">
        <w:rPr>
          <w:rFonts w:eastAsia="Calibri"/>
          <w:i/>
          <w:sz w:val="22"/>
          <w:lang w:eastAsia="en-US"/>
        </w:rPr>
        <w:t xml:space="preserve">акцизного податку з роздрібного продажу </w:t>
      </w:r>
      <w:r w:rsidR="00331BF9">
        <w:rPr>
          <w:rFonts w:eastAsia="Calibri"/>
          <w:i/>
          <w:sz w:val="22"/>
          <w:lang w:eastAsia="en-US"/>
        </w:rPr>
        <w:t>пального</w:t>
      </w:r>
    </w:p>
    <w:p w:rsidR="00B623F5" w:rsidRDefault="00B623F5" w:rsidP="006A6338">
      <w:pPr>
        <w:jc w:val="both"/>
        <w:rPr>
          <w:rFonts w:eastAsia="Calibri"/>
          <w:i/>
          <w:sz w:val="22"/>
          <w:lang w:eastAsia="en-US"/>
        </w:rPr>
      </w:pPr>
    </w:p>
    <w:p w:rsidR="00C2053C" w:rsidRPr="00C2053C" w:rsidRDefault="00C2053C" w:rsidP="00A97B35">
      <w:pPr>
        <w:jc w:val="center"/>
        <w:rPr>
          <w:b/>
          <w:lang w:val="ru-RU"/>
        </w:rPr>
      </w:pPr>
    </w:p>
    <w:p w:rsidR="000F30BD" w:rsidRPr="0097493E" w:rsidRDefault="0018481A" w:rsidP="00A97B35">
      <w:pPr>
        <w:jc w:val="center"/>
        <w:rPr>
          <w:b/>
        </w:rPr>
      </w:pPr>
      <w:r w:rsidRPr="0097493E">
        <w:rPr>
          <w:b/>
        </w:rPr>
        <w:t xml:space="preserve">Шановний </w:t>
      </w:r>
      <w:r w:rsidR="006A6338">
        <w:rPr>
          <w:b/>
        </w:rPr>
        <w:t>Сергію</w:t>
      </w:r>
      <w:r w:rsidR="006A6338" w:rsidRPr="006A6338">
        <w:rPr>
          <w:b/>
        </w:rPr>
        <w:t xml:space="preserve"> Михайлович</w:t>
      </w:r>
      <w:r w:rsidR="006A6338">
        <w:rPr>
          <w:b/>
        </w:rPr>
        <w:t>у</w:t>
      </w:r>
      <w:r w:rsidR="000F30BD" w:rsidRPr="0097493E">
        <w:rPr>
          <w:b/>
        </w:rPr>
        <w:t>!</w:t>
      </w:r>
    </w:p>
    <w:p w:rsidR="00BD4DF2" w:rsidRDefault="00BD4DF2">
      <w:pPr>
        <w:rPr>
          <w:lang w:eastAsia="en-US"/>
        </w:rPr>
      </w:pPr>
    </w:p>
    <w:p w:rsidR="002C4CD3" w:rsidRPr="0097493E" w:rsidRDefault="002C4CD3">
      <w:pPr>
        <w:rPr>
          <w:lang w:eastAsia="en-US"/>
        </w:rPr>
      </w:pPr>
    </w:p>
    <w:p w:rsidR="0097493E" w:rsidRPr="0097493E" w:rsidRDefault="0078776B" w:rsidP="0097493E">
      <w:pPr>
        <w:spacing w:after="120"/>
        <w:ind w:firstLine="709"/>
        <w:jc w:val="both"/>
        <w:rPr>
          <w:bCs/>
        </w:rPr>
      </w:pPr>
      <w:r w:rsidRPr="0097493E">
        <w:rPr>
          <w:bCs/>
        </w:rPr>
        <w:t>Від імені Ради директорів Американської торгівельної палати в Україні</w:t>
      </w:r>
      <w:r w:rsidR="00F068AF" w:rsidRPr="0097493E">
        <w:rPr>
          <w:bCs/>
        </w:rPr>
        <w:t xml:space="preserve"> (надалі </w:t>
      </w:r>
      <w:r w:rsidR="006356E2" w:rsidRPr="0097493E">
        <w:rPr>
          <w:bCs/>
        </w:rPr>
        <w:softHyphen/>
      </w:r>
      <w:r w:rsidR="006A6338" w:rsidRPr="0097493E">
        <w:rPr>
          <w:shd w:val="clear" w:color="auto" w:fill="FFFFFF"/>
        </w:rPr>
        <w:t xml:space="preserve">– </w:t>
      </w:r>
      <w:r w:rsidR="00F068AF" w:rsidRPr="0097493E">
        <w:rPr>
          <w:bCs/>
        </w:rPr>
        <w:t>Палата)</w:t>
      </w:r>
      <w:r w:rsidRPr="0097493E">
        <w:rPr>
          <w:bCs/>
        </w:rPr>
        <w:t xml:space="preserve"> та компаній-членів </w:t>
      </w:r>
      <w:r w:rsidR="00404E0F" w:rsidRPr="0097493E">
        <w:rPr>
          <w:bCs/>
        </w:rPr>
        <w:t xml:space="preserve">Палати </w:t>
      </w:r>
      <w:r w:rsidRPr="0097493E">
        <w:rPr>
          <w:bCs/>
        </w:rPr>
        <w:t>засвідчуємо Вам свою</w:t>
      </w:r>
      <w:r w:rsidR="00866DC7" w:rsidRPr="0097493E">
        <w:rPr>
          <w:bCs/>
        </w:rPr>
        <w:t xml:space="preserve"> високу повагу </w:t>
      </w:r>
      <w:r w:rsidR="006356E2" w:rsidRPr="0097493E">
        <w:rPr>
          <w:bCs/>
        </w:rPr>
        <w:t xml:space="preserve">та звертаємося до Вас щодо </w:t>
      </w:r>
      <w:r w:rsidR="00103815">
        <w:rPr>
          <w:bCs/>
        </w:rPr>
        <w:t>питання скас</w:t>
      </w:r>
      <w:r w:rsidR="006A6338">
        <w:rPr>
          <w:bCs/>
        </w:rPr>
        <w:t xml:space="preserve">ування </w:t>
      </w:r>
      <w:r w:rsidR="00331BF9" w:rsidRPr="00331BF9">
        <w:rPr>
          <w:bCs/>
        </w:rPr>
        <w:t>акцизного податку з роздрібного продажу пального</w:t>
      </w:r>
      <w:r w:rsidR="0097493E" w:rsidRPr="0097493E">
        <w:rPr>
          <w:bCs/>
        </w:rPr>
        <w:t xml:space="preserve">. </w:t>
      </w:r>
    </w:p>
    <w:p w:rsidR="00171451" w:rsidRPr="00C2053C" w:rsidRDefault="00171451" w:rsidP="00171451">
      <w:pPr>
        <w:spacing w:after="60"/>
        <w:ind w:firstLine="709"/>
        <w:jc w:val="both"/>
        <w:rPr>
          <w:szCs w:val="26"/>
        </w:rPr>
      </w:pPr>
      <w:r w:rsidRPr="00C2053C">
        <w:rPr>
          <w:szCs w:val="26"/>
        </w:rPr>
        <w:t xml:space="preserve">Дана пропозиція вже </w:t>
      </w:r>
      <w:r w:rsidR="00AB53E9" w:rsidRPr="00C2053C">
        <w:rPr>
          <w:szCs w:val="26"/>
        </w:rPr>
        <w:t>дов</w:t>
      </w:r>
      <w:r w:rsidR="00AB53E9">
        <w:rPr>
          <w:szCs w:val="26"/>
        </w:rPr>
        <w:t>г</w:t>
      </w:r>
      <w:r w:rsidR="00AB53E9" w:rsidRPr="00C2053C">
        <w:rPr>
          <w:szCs w:val="26"/>
        </w:rPr>
        <w:t xml:space="preserve">ий </w:t>
      </w:r>
      <w:r w:rsidRPr="00C2053C">
        <w:rPr>
          <w:szCs w:val="26"/>
        </w:rPr>
        <w:t xml:space="preserve">час обговорюється і всі представники </w:t>
      </w:r>
      <w:proofErr w:type="spellStart"/>
      <w:r w:rsidRPr="00C2053C">
        <w:rPr>
          <w:szCs w:val="26"/>
        </w:rPr>
        <w:t>нафтопродуктової</w:t>
      </w:r>
      <w:proofErr w:type="spellEnd"/>
      <w:r w:rsidRPr="00C2053C">
        <w:rPr>
          <w:szCs w:val="26"/>
        </w:rPr>
        <w:t xml:space="preserve"> галузі одностайно її підтримують</w:t>
      </w:r>
      <w:r w:rsidR="00C2053C" w:rsidRPr="00C2053C">
        <w:rPr>
          <w:szCs w:val="26"/>
        </w:rPr>
        <w:t>.</w:t>
      </w:r>
      <w:r w:rsidRPr="00C2053C">
        <w:rPr>
          <w:szCs w:val="26"/>
        </w:rPr>
        <w:t xml:space="preserve"> </w:t>
      </w:r>
      <w:r w:rsidR="00C2053C" w:rsidRPr="00C2053C">
        <w:rPr>
          <w:szCs w:val="26"/>
        </w:rPr>
        <w:t>Т</w:t>
      </w:r>
      <w:r w:rsidRPr="00C2053C">
        <w:rPr>
          <w:szCs w:val="26"/>
        </w:rPr>
        <w:t>акож</w:t>
      </w:r>
      <w:r w:rsidR="00C2053C">
        <w:rPr>
          <w:szCs w:val="26"/>
        </w:rPr>
        <w:t>, за нашою інформацією,</w:t>
      </w:r>
      <w:r w:rsidRPr="00C2053C">
        <w:rPr>
          <w:szCs w:val="26"/>
        </w:rPr>
        <w:t xml:space="preserve"> </w:t>
      </w:r>
      <w:r w:rsidR="00C2053C" w:rsidRPr="00C2053C">
        <w:rPr>
          <w:szCs w:val="26"/>
        </w:rPr>
        <w:t>Мін</w:t>
      </w:r>
      <w:r w:rsidR="00C2053C">
        <w:rPr>
          <w:szCs w:val="26"/>
        </w:rPr>
        <w:t xml:space="preserve">істерство фінансів </w:t>
      </w:r>
      <w:r w:rsidRPr="00C2053C">
        <w:rPr>
          <w:szCs w:val="26"/>
        </w:rPr>
        <w:t>визна</w:t>
      </w:r>
      <w:r w:rsidR="00C2053C">
        <w:rPr>
          <w:szCs w:val="26"/>
        </w:rPr>
        <w:t>є,</w:t>
      </w:r>
      <w:r w:rsidRPr="00C2053C">
        <w:rPr>
          <w:szCs w:val="26"/>
        </w:rPr>
        <w:t xml:space="preserve"> що </w:t>
      </w:r>
      <w:r w:rsidR="00AB53E9">
        <w:rPr>
          <w:szCs w:val="26"/>
        </w:rPr>
        <w:t xml:space="preserve">законодавство щодо </w:t>
      </w:r>
      <w:r w:rsidR="00C2053C" w:rsidRPr="00C2053C">
        <w:rPr>
          <w:szCs w:val="26"/>
        </w:rPr>
        <w:t xml:space="preserve">акцизного податку з роздрібного продажу пального </w:t>
      </w:r>
      <w:r w:rsidRPr="00C2053C">
        <w:rPr>
          <w:szCs w:val="26"/>
        </w:rPr>
        <w:t xml:space="preserve">є </w:t>
      </w:r>
      <w:r w:rsidR="00C2053C">
        <w:rPr>
          <w:szCs w:val="26"/>
        </w:rPr>
        <w:t>недосконалим</w:t>
      </w:r>
      <w:r w:rsidRPr="00C2053C">
        <w:rPr>
          <w:szCs w:val="26"/>
        </w:rPr>
        <w:t xml:space="preserve"> та дуже проблемним в частині коректного адміністрування. Було вже декілька спроб його вдосконалити та більш чітко прописати, але через специфіку роздрібних продаж нафтопродуктів усі варіанти покращень мають істотні дефекти.</w:t>
      </w:r>
    </w:p>
    <w:p w:rsidR="00C2053C" w:rsidRDefault="00C2053C" w:rsidP="00171451">
      <w:pPr>
        <w:spacing w:after="60"/>
        <w:ind w:firstLine="709"/>
        <w:jc w:val="both"/>
        <w:rPr>
          <w:szCs w:val="26"/>
        </w:rPr>
      </w:pPr>
      <w:r>
        <w:rPr>
          <w:szCs w:val="26"/>
        </w:rPr>
        <w:t xml:space="preserve">У додатку надаємо </w:t>
      </w:r>
      <w:r w:rsidR="00171451" w:rsidRPr="00C2053C">
        <w:rPr>
          <w:szCs w:val="26"/>
        </w:rPr>
        <w:t>проект змін до Бюджетного кодексу України</w:t>
      </w:r>
      <w:r>
        <w:rPr>
          <w:szCs w:val="26"/>
        </w:rPr>
        <w:t>,</w:t>
      </w:r>
      <w:r w:rsidR="00171451" w:rsidRPr="00C2053C">
        <w:rPr>
          <w:szCs w:val="26"/>
        </w:rPr>
        <w:t xml:space="preserve"> який </w:t>
      </w:r>
      <w:r>
        <w:rPr>
          <w:szCs w:val="26"/>
        </w:rPr>
        <w:t xml:space="preserve">було </w:t>
      </w:r>
      <w:r w:rsidR="00171451" w:rsidRPr="00C2053C">
        <w:rPr>
          <w:szCs w:val="26"/>
        </w:rPr>
        <w:t xml:space="preserve">попередньо узгоджено із представниками </w:t>
      </w:r>
      <w:r w:rsidR="005E3EA3">
        <w:rPr>
          <w:szCs w:val="26"/>
        </w:rPr>
        <w:t>Київської міської державної адміністрації</w:t>
      </w:r>
      <w:r w:rsidR="005E3EA3" w:rsidRPr="005E3EA3">
        <w:rPr>
          <w:szCs w:val="26"/>
        </w:rPr>
        <w:t xml:space="preserve"> </w:t>
      </w:r>
      <w:r w:rsidR="00624704" w:rsidRPr="00624704">
        <w:rPr>
          <w:szCs w:val="26"/>
        </w:rPr>
        <w:t xml:space="preserve">та </w:t>
      </w:r>
      <w:r w:rsidR="00171451" w:rsidRPr="00624704">
        <w:rPr>
          <w:szCs w:val="26"/>
        </w:rPr>
        <w:t>Асоціації міст України</w:t>
      </w:r>
      <w:r>
        <w:rPr>
          <w:szCs w:val="26"/>
        </w:rPr>
        <w:t>,</w:t>
      </w:r>
      <w:r w:rsidR="00171451" w:rsidRPr="00C2053C">
        <w:rPr>
          <w:szCs w:val="26"/>
        </w:rPr>
        <w:t xml:space="preserve"> та проект </w:t>
      </w:r>
      <w:r>
        <w:rPr>
          <w:szCs w:val="26"/>
        </w:rPr>
        <w:t>п</w:t>
      </w:r>
      <w:r w:rsidR="00171451" w:rsidRPr="00C2053C">
        <w:rPr>
          <w:szCs w:val="26"/>
        </w:rPr>
        <w:t>останови К</w:t>
      </w:r>
      <w:r>
        <w:rPr>
          <w:szCs w:val="26"/>
        </w:rPr>
        <w:t xml:space="preserve">абінету </w:t>
      </w:r>
      <w:r w:rsidR="00171451" w:rsidRPr="00C2053C">
        <w:rPr>
          <w:szCs w:val="26"/>
        </w:rPr>
        <w:t>М</w:t>
      </w:r>
      <w:r>
        <w:rPr>
          <w:szCs w:val="26"/>
        </w:rPr>
        <w:t xml:space="preserve">іністрів </w:t>
      </w:r>
      <w:r w:rsidR="00171451" w:rsidRPr="00C2053C">
        <w:rPr>
          <w:szCs w:val="26"/>
        </w:rPr>
        <w:t>У</w:t>
      </w:r>
      <w:r>
        <w:rPr>
          <w:szCs w:val="26"/>
        </w:rPr>
        <w:t>країни щодо</w:t>
      </w:r>
      <w:r w:rsidR="00171451" w:rsidRPr="00C2053C">
        <w:rPr>
          <w:szCs w:val="26"/>
        </w:rPr>
        <w:t xml:space="preserve"> затвердженн</w:t>
      </w:r>
      <w:r>
        <w:rPr>
          <w:szCs w:val="26"/>
        </w:rPr>
        <w:t>я</w:t>
      </w:r>
      <w:r w:rsidR="00171451" w:rsidRPr="00C2053C">
        <w:rPr>
          <w:szCs w:val="26"/>
        </w:rPr>
        <w:t xml:space="preserve"> Порядку перерахування акцизного податку з вироблених в Україні та ввезених на митну територію України пального в місцеві бюджети. </w:t>
      </w:r>
    </w:p>
    <w:p w:rsidR="00171451" w:rsidRDefault="00C2053C" w:rsidP="00171451">
      <w:pPr>
        <w:spacing w:after="60"/>
        <w:ind w:firstLine="709"/>
        <w:jc w:val="both"/>
        <w:rPr>
          <w:szCs w:val="26"/>
        </w:rPr>
      </w:pPr>
      <w:r>
        <w:rPr>
          <w:szCs w:val="26"/>
        </w:rPr>
        <w:t>У</w:t>
      </w:r>
      <w:r w:rsidR="00171451" w:rsidRPr="00C2053C">
        <w:rPr>
          <w:szCs w:val="26"/>
        </w:rPr>
        <w:t xml:space="preserve"> даному проекті викладено компромісне рішення щодо розподілу збільшеного акцизного податку між Державним бюджетом </w:t>
      </w:r>
      <w:r>
        <w:rPr>
          <w:szCs w:val="26"/>
        </w:rPr>
        <w:t xml:space="preserve">України та місцевими бюджетами. Зокрема, </w:t>
      </w:r>
      <w:r w:rsidR="00171451" w:rsidRPr="00C2053C">
        <w:rPr>
          <w:szCs w:val="26"/>
        </w:rPr>
        <w:t>було домовлено, що перераху</w:t>
      </w:r>
      <w:r>
        <w:rPr>
          <w:szCs w:val="26"/>
        </w:rPr>
        <w:t>вання частини базового акцизу (у</w:t>
      </w:r>
      <w:r w:rsidR="00171451" w:rsidRPr="00C2053C">
        <w:rPr>
          <w:szCs w:val="26"/>
        </w:rPr>
        <w:t xml:space="preserve"> розмірі 42 Євро/1000 літрів) </w:t>
      </w:r>
      <w:r>
        <w:rPr>
          <w:szCs w:val="26"/>
        </w:rPr>
        <w:t>у</w:t>
      </w:r>
      <w:r w:rsidR="00171451" w:rsidRPr="00C2053C">
        <w:rPr>
          <w:szCs w:val="26"/>
        </w:rPr>
        <w:t xml:space="preserve"> місцеві бюджети буде здійснюватися не через механізм бюджетних субвенцій, а прямими </w:t>
      </w:r>
      <w:r w:rsidR="00BD6D3D">
        <w:rPr>
          <w:szCs w:val="26"/>
        </w:rPr>
        <w:t>платежа</w:t>
      </w:r>
      <w:r w:rsidR="00BD6D3D" w:rsidRPr="00C2053C">
        <w:rPr>
          <w:szCs w:val="26"/>
        </w:rPr>
        <w:t>м</w:t>
      </w:r>
      <w:r w:rsidR="00BD6D3D">
        <w:rPr>
          <w:szCs w:val="26"/>
        </w:rPr>
        <w:t>и</w:t>
      </w:r>
      <w:r w:rsidR="00171451" w:rsidRPr="00C2053C">
        <w:rPr>
          <w:szCs w:val="26"/>
        </w:rPr>
        <w:t xml:space="preserve"> </w:t>
      </w:r>
      <w:r w:rsidR="005E3EA3">
        <w:rPr>
          <w:szCs w:val="26"/>
        </w:rPr>
        <w:t>Державної казначейської служби</w:t>
      </w:r>
      <w:r w:rsidR="005E3EA3" w:rsidRPr="005E3EA3">
        <w:rPr>
          <w:szCs w:val="26"/>
        </w:rPr>
        <w:t xml:space="preserve"> України </w:t>
      </w:r>
      <w:r>
        <w:rPr>
          <w:szCs w:val="26"/>
        </w:rPr>
        <w:t>на підставі відповідних статей Б</w:t>
      </w:r>
      <w:r w:rsidR="00171451" w:rsidRPr="00C2053C">
        <w:rPr>
          <w:szCs w:val="26"/>
        </w:rPr>
        <w:t xml:space="preserve">юджетного кодексу </w:t>
      </w:r>
      <w:r>
        <w:rPr>
          <w:szCs w:val="26"/>
        </w:rPr>
        <w:t xml:space="preserve">України </w:t>
      </w:r>
      <w:r w:rsidR="00171451" w:rsidRPr="00C2053C">
        <w:rPr>
          <w:szCs w:val="26"/>
        </w:rPr>
        <w:t>(под</w:t>
      </w:r>
      <w:r>
        <w:rPr>
          <w:szCs w:val="26"/>
        </w:rPr>
        <w:t xml:space="preserve">ібно до механізму перерахування </w:t>
      </w:r>
      <w:r w:rsidR="00171451" w:rsidRPr="00C2053C">
        <w:rPr>
          <w:szCs w:val="26"/>
        </w:rPr>
        <w:t xml:space="preserve">50% від перевищення зборів по митницях в обласні бюджети в порядку експерименту з розвитку автомобільних доріг). Частина коштів акцизного податку, що перераховуються місцевим бюджетам будуть відображатись як доходи </w:t>
      </w:r>
      <w:r w:rsidR="00AB53E9">
        <w:rPr>
          <w:szCs w:val="26"/>
        </w:rPr>
        <w:t xml:space="preserve">державного бюджету </w:t>
      </w:r>
      <w:r w:rsidR="00171451" w:rsidRPr="00C2053C">
        <w:rPr>
          <w:szCs w:val="26"/>
        </w:rPr>
        <w:t>зі знаком</w:t>
      </w:r>
      <w:r>
        <w:rPr>
          <w:szCs w:val="26"/>
        </w:rPr>
        <w:t xml:space="preserve"> "-", а не видатки держбюджету (б</w:t>
      </w:r>
      <w:r w:rsidR="00171451" w:rsidRPr="00C2053C">
        <w:rPr>
          <w:szCs w:val="26"/>
        </w:rPr>
        <w:t xml:space="preserve">ільш детальний опис даних пропозицій </w:t>
      </w:r>
      <w:r w:rsidR="000B1AC6">
        <w:rPr>
          <w:szCs w:val="26"/>
        </w:rPr>
        <w:t xml:space="preserve">наведено </w:t>
      </w:r>
      <w:r>
        <w:rPr>
          <w:szCs w:val="26"/>
        </w:rPr>
        <w:t>у додатку)</w:t>
      </w:r>
      <w:r w:rsidR="00171451" w:rsidRPr="00C2053C">
        <w:rPr>
          <w:szCs w:val="26"/>
        </w:rPr>
        <w:t xml:space="preserve">. </w:t>
      </w:r>
    </w:p>
    <w:p w:rsidR="009477B5" w:rsidRPr="004155BC" w:rsidRDefault="00624704" w:rsidP="00171451">
      <w:pPr>
        <w:spacing w:after="60"/>
        <w:ind w:firstLine="709"/>
        <w:jc w:val="both"/>
        <w:rPr>
          <w:szCs w:val="26"/>
        </w:rPr>
      </w:pPr>
      <w:r w:rsidRPr="00624704">
        <w:rPr>
          <w:szCs w:val="26"/>
        </w:rPr>
        <w:t xml:space="preserve">Перенесення </w:t>
      </w:r>
      <w:r w:rsidR="005E3EA3" w:rsidRPr="005E3EA3">
        <w:rPr>
          <w:szCs w:val="26"/>
        </w:rPr>
        <w:t xml:space="preserve">акцизного податку </w:t>
      </w:r>
      <w:r w:rsidRPr="00624704">
        <w:rPr>
          <w:szCs w:val="26"/>
        </w:rPr>
        <w:t>з роздрібного продажу пального в базовий акциз</w:t>
      </w:r>
      <w:r>
        <w:rPr>
          <w:szCs w:val="26"/>
        </w:rPr>
        <w:t>ний податок</w:t>
      </w:r>
      <w:r w:rsidRPr="00624704">
        <w:rPr>
          <w:szCs w:val="26"/>
        </w:rPr>
        <w:t xml:space="preserve"> з імпорту та виробництва гарантовано забезпечать збільш</w:t>
      </w:r>
      <w:r>
        <w:rPr>
          <w:szCs w:val="26"/>
        </w:rPr>
        <w:t>ення надходжень до місцевих та Д</w:t>
      </w:r>
      <w:r w:rsidRPr="00624704">
        <w:rPr>
          <w:szCs w:val="26"/>
        </w:rPr>
        <w:t>ержавного бюджету</w:t>
      </w:r>
      <w:r>
        <w:rPr>
          <w:szCs w:val="26"/>
        </w:rPr>
        <w:t xml:space="preserve"> України</w:t>
      </w:r>
      <w:r w:rsidRPr="00624704">
        <w:rPr>
          <w:szCs w:val="26"/>
        </w:rPr>
        <w:t xml:space="preserve">, </w:t>
      </w:r>
      <w:r>
        <w:rPr>
          <w:szCs w:val="26"/>
        </w:rPr>
        <w:t xml:space="preserve">а також </w:t>
      </w:r>
      <w:r w:rsidRPr="00624704">
        <w:rPr>
          <w:szCs w:val="26"/>
        </w:rPr>
        <w:t>усунуть усі негативн</w:t>
      </w:r>
      <w:r>
        <w:rPr>
          <w:szCs w:val="26"/>
        </w:rPr>
        <w:t xml:space="preserve">і явища на ринку нафтопродуктів, </w:t>
      </w:r>
      <w:r w:rsidRPr="00624704">
        <w:rPr>
          <w:szCs w:val="26"/>
        </w:rPr>
        <w:t xml:space="preserve">пов’язані із </w:t>
      </w:r>
      <w:r>
        <w:rPr>
          <w:szCs w:val="26"/>
        </w:rPr>
        <w:t>недосконалим</w:t>
      </w:r>
      <w:r w:rsidRPr="00624704">
        <w:rPr>
          <w:szCs w:val="26"/>
        </w:rPr>
        <w:t xml:space="preserve"> роздрібним </w:t>
      </w:r>
      <w:r>
        <w:rPr>
          <w:szCs w:val="26"/>
        </w:rPr>
        <w:t xml:space="preserve">акцизним </w:t>
      </w:r>
      <w:r w:rsidRPr="00624704">
        <w:rPr>
          <w:szCs w:val="26"/>
        </w:rPr>
        <w:t>податком</w:t>
      </w:r>
      <w:r>
        <w:rPr>
          <w:szCs w:val="26"/>
        </w:rPr>
        <w:t>.</w:t>
      </w:r>
      <w:r w:rsidR="009477B5" w:rsidRPr="009477B5">
        <w:rPr>
          <w:szCs w:val="26"/>
        </w:rPr>
        <w:t xml:space="preserve"> </w:t>
      </w:r>
    </w:p>
    <w:p w:rsidR="009477B5" w:rsidRDefault="009477B5" w:rsidP="00171451">
      <w:pPr>
        <w:spacing w:after="60"/>
        <w:ind w:firstLine="709"/>
        <w:jc w:val="both"/>
        <w:rPr>
          <w:szCs w:val="26"/>
        </w:rPr>
      </w:pPr>
      <w:r w:rsidRPr="009477B5">
        <w:rPr>
          <w:szCs w:val="26"/>
        </w:rPr>
        <w:t xml:space="preserve">Підсумовуючи, хочемо звернути увагу на те, що в результаті </w:t>
      </w:r>
      <w:r>
        <w:rPr>
          <w:szCs w:val="26"/>
        </w:rPr>
        <w:t>цього (по збільшеній ставці на 42</w:t>
      </w:r>
      <w:r w:rsidRPr="009477B5">
        <w:rPr>
          <w:szCs w:val="26"/>
        </w:rPr>
        <w:t xml:space="preserve"> </w:t>
      </w:r>
      <w:r>
        <w:rPr>
          <w:szCs w:val="26"/>
        </w:rPr>
        <w:t>Євро/</w:t>
      </w:r>
      <w:r w:rsidRPr="00C2053C">
        <w:rPr>
          <w:szCs w:val="26"/>
        </w:rPr>
        <w:t>1000 літрів</w:t>
      </w:r>
      <w:r w:rsidRPr="009477B5">
        <w:rPr>
          <w:szCs w:val="26"/>
        </w:rPr>
        <w:t xml:space="preserve"> буде оподатковуватись все споживання пального в Україні, а не ли</w:t>
      </w:r>
      <w:r>
        <w:rPr>
          <w:szCs w:val="26"/>
        </w:rPr>
        <w:t>ше роздрібне через мережу АЗС) Д</w:t>
      </w:r>
      <w:r w:rsidRPr="009477B5">
        <w:rPr>
          <w:szCs w:val="26"/>
        </w:rPr>
        <w:t xml:space="preserve">ержавний бюджет </w:t>
      </w:r>
      <w:r>
        <w:rPr>
          <w:szCs w:val="26"/>
        </w:rPr>
        <w:t xml:space="preserve">України </w:t>
      </w:r>
      <w:r w:rsidRPr="009477B5">
        <w:rPr>
          <w:szCs w:val="26"/>
        </w:rPr>
        <w:t xml:space="preserve">зможе отримати 5,3 млрд. грн. </w:t>
      </w:r>
      <w:r>
        <w:rPr>
          <w:szCs w:val="26"/>
        </w:rPr>
        <w:lastRenderedPageBreak/>
        <w:t>додаткових надходжень від акцизного податку</w:t>
      </w:r>
      <w:r w:rsidRPr="009477B5">
        <w:rPr>
          <w:szCs w:val="26"/>
        </w:rPr>
        <w:t xml:space="preserve">. При цьому, місцеві бюджети за рахунок </w:t>
      </w:r>
      <w:r>
        <w:rPr>
          <w:szCs w:val="26"/>
        </w:rPr>
        <w:t>удосконалення</w:t>
      </w:r>
      <w:r w:rsidRPr="009477B5">
        <w:rPr>
          <w:szCs w:val="26"/>
        </w:rPr>
        <w:t xml:space="preserve"> адміністрування отр</w:t>
      </w:r>
      <w:r>
        <w:rPr>
          <w:szCs w:val="26"/>
        </w:rPr>
        <w:t>имають приріст поступл</w:t>
      </w:r>
      <w:bookmarkStart w:id="0" w:name="_GoBack"/>
      <w:bookmarkEnd w:id="0"/>
      <w:r>
        <w:rPr>
          <w:szCs w:val="26"/>
        </w:rPr>
        <w:t>ень акцизного податку</w:t>
      </w:r>
      <w:r w:rsidRPr="009477B5">
        <w:rPr>
          <w:szCs w:val="26"/>
        </w:rPr>
        <w:t xml:space="preserve"> в розмірі 1,9 млрд. грн.</w:t>
      </w:r>
      <w:r>
        <w:rPr>
          <w:szCs w:val="26"/>
        </w:rPr>
        <w:t xml:space="preserve">, </w:t>
      </w:r>
      <w:r w:rsidR="00AB53E9">
        <w:rPr>
          <w:szCs w:val="26"/>
        </w:rPr>
        <w:t xml:space="preserve">а </w:t>
      </w:r>
      <w:r>
        <w:rPr>
          <w:szCs w:val="26"/>
        </w:rPr>
        <w:t>Д</w:t>
      </w:r>
      <w:r w:rsidRPr="009477B5">
        <w:rPr>
          <w:szCs w:val="26"/>
        </w:rPr>
        <w:t xml:space="preserve">ержавний бюджет </w:t>
      </w:r>
      <w:r>
        <w:rPr>
          <w:szCs w:val="26"/>
        </w:rPr>
        <w:t xml:space="preserve">України </w:t>
      </w:r>
      <w:r w:rsidRPr="009477B5">
        <w:rPr>
          <w:szCs w:val="26"/>
        </w:rPr>
        <w:t xml:space="preserve">отримає 1,2 млрд. грн. додаткових надходжень </w:t>
      </w:r>
      <w:r>
        <w:rPr>
          <w:szCs w:val="26"/>
        </w:rPr>
        <w:t xml:space="preserve">з </w:t>
      </w:r>
      <w:r w:rsidRPr="009477B5">
        <w:rPr>
          <w:szCs w:val="26"/>
        </w:rPr>
        <w:t xml:space="preserve">ПДВ (пораховано на кінцеве споживання пального фізичними особами). </w:t>
      </w:r>
    </w:p>
    <w:p w:rsidR="00624704" w:rsidRPr="009477B5" w:rsidRDefault="009477B5" w:rsidP="00171451">
      <w:pPr>
        <w:spacing w:after="60"/>
        <w:ind w:firstLine="709"/>
        <w:jc w:val="both"/>
        <w:rPr>
          <w:szCs w:val="26"/>
        </w:rPr>
      </w:pPr>
      <w:r w:rsidRPr="009477B5">
        <w:rPr>
          <w:szCs w:val="26"/>
        </w:rPr>
        <w:t>Крім того, за рахунок перегляду ставки по зрідженому газу</w:t>
      </w:r>
      <w:r w:rsidR="00AB53E9">
        <w:rPr>
          <w:szCs w:val="26"/>
        </w:rPr>
        <w:t>,</w:t>
      </w:r>
      <w:r w:rsidRPr="009477B5">
        <w:rPr>
          <w:szCs w:val="26"/>
        </w:rPr>
        <w:t xml:space="preserve"> </w:t>
      </w:r>
      <w:r>
        <w:rPr>
          <w:szCs w:val="26"/>
        </w:rPr>
        <w:t>Д</w:t>
      </w:r>
      <w:r w:rsidRPr="009477B5">
        <w:rPr>
          <w:szCs w:val="26"/>
        </w:rPr>
        <w:t xml:space="preserve">ержавний бюджет </w:t>
      </w:r>
      <w:r>
        <w:rPr>
          <w:szCs w:val="26"/>
        </w:rPr>
        <w:t xml:space="preserve">України </w:t>
      </w:r>
      <w:r w:rsidRPr="009477B5">
        <w:rPr>
          <w:szCs w:val="26"/>
        </w:rPr>
        <w:t>зможе отримати додаткових 2,1 млрд</w:t>
      </w:r>
      <w:r>
        <w:rPr>
          <w:szCs w:val="26"/>
        </w:rPr>
        <w:t>. грн. Усі вище</w:t>
      </w:r>
      <w:r w:rsidRPr="009477B5">
        <w:rPr>
          <w:szCs w:val="26"/>
        </w:rPr>
        <w:t xml:space="preserve"> перелічені захо</w:t>
      </w:r>
      <w:r>
        <w:rPr>
          <w:szCs w:val="26"/>
        </w:rPr>
        <w:t>ди дозволять отримати в Д</w:t>
      </w:r>
      <w:r w:rsidRPr="009477B5">
        <w:rPr>
          <w:szCs w:val="26"/>
        </w:rPr>
        <w:t>ержавний та місцеві бюджети сумарно 10,6 млрд.</w:t>
      </w:r>
      <w:r>
        <w:rPr>
          <w:szCs w:val="26"/>
        </w:rPr>
        <w:t xml:space="preserve"> г</w:t>
      </w:r>
      <w:r w:rsidRPr="009477B5">
        <w:rPr>
          <w:szCs w:val="26"/>
        </w:rPr>
        <w:t xml:space="preserve">рн., які більш ніж у 2 рази перевищують потенційний ріст </w:t>
      </w:r>
      <w:r w:rsidR="00AB53E9">
        <w:rPr>
          <w:szCs w:val="26"/>
        </w:rPr>
        <w:t>надходжень</w:t>
      </w:r>
      <w:r w:rsidR="00AB53E9" w:rsidRPr="009477B5">
        <w:rPr>
          <w:szCs w:val="26"/>
        </w:rPr>
        <w:t xml:space="preserve"> </w:t>
      </w:r>
      <w:r w:rsidRPr="009477B5">
        <w:rPr>
          <w:szCs w:val="26"/>
        </w:rPr>
        <w:t>від збільшення ставок на дизельне пальне на 30</w:t>
      </w:r>
      <w:r>
        <w:rPr>
          <w:szCs w:val="26"/>
        </w:rPr>
        <w:t>,5</w:t>
      </w:r>
      <w:r w:rsidRPr="009477B5">
        <w:rPr>
          <w:szCs w:val="26"/>
        </w:rPr>
        <w:t xml:space="preserve"> євро/1000 літрів</w:t>
      </w:r>
      <w:r w:rsidR="004E2BFA">
        <w:rPr>
          <w:szCs w:val="26"/>
        </w:rPr>
        <w:t xml:space="preserve"> (проект Закону України </w:t>
      </w:r>
      <w:r w:rsidR="004E2BFA" w:rsidRPr="004E2BFA">
        <w:rPr>
          <w:szCs w:val="26"/>
        </w:rPr>
        <w:t xml:space="preserve">від 15.09.2016 </w:t>
      </w:r>
      <w:r w:rsidR="004E2BFA">
        <w:rPr>
          <w:szCs w:val="26"/>
        </w:rPr>
        <w:t>№5132 «П</w:t>
      </w:r>
      <w:r w:rsidR="004E2BFA" w:rsidRPr="004E2BFA">
        <w:rPr>
          <w:szCs w:val="26"/>
        </w:rPr>
        <w:t>ро внесення змін до Податкового кодексу України</w:t>
      </w:r>
      <w:r w:rsidR="004E2BFA">
        <w:rPr>
          <w:szCs w:val="26"/>
        </w:rPr>
        <w:t>»)</w:t>
      </w:r>
      <w:r w:rsidRPr="009477B5">
        <w:rPr>
          <w:szCs w:val="26"/>
        </w:rPr>
        <w:t>.</w:t>
      </w:r>
    </w:p>
    <w:p w:rsidR="005E3EA3" w:rsidRPr="00C2053C" w:rsidRDefault="00037278" w:rsidP="005E3EA3">
      <w:pPr>
        <w:spacing w:after="60"/>
        <w:ind w:firstLine="709"/>
        <w:jc w:val="both"/>
        <w:rPr>
          <w:szCs w:val="26"/>
        </w:rPr>
      </w:pPr>
      <w:r>
        <w:rPr>
          <w:szCs w:val="26"/>
        </w:rPr>
        <w:t>У</w:t>
      </w:r>
      <w:r w:rsidR="005E3EA3" w:rsidRPr="00852D2F">
        <w:rPr>
          <w:szCs w:val="26"/>
        </w:rPr>
        <w:t xml:space="preserve"> разі підтримки цих пропозицій Міністерством фінансів</w:t>
      </w:r>
      <w:r w:rsidR="00852D2F" w:rsidRPr="00852D2F">
        <w:rPr>
          <w:szCs w:val="26"/>
        </w:rPr>
        <w:t>,</w:t>
      </w:r>
      <w:r w:rsidR="005E3EA3" w:rsidRPr="00852D2F">
        <w:rPr>
          <w:szCs w:val="26"/>
        </w:rPr>
        <w:t xml:space="preserve"> </w:t>
      </w:r>
      <w:r w:rsidR="00852D2F" w:rsidRPr="00852D2F">
        <w:rPr>
          <w:szCs w:val="26"/>
        </w:rPr>
        <w:t>необхідно буде внести відповідні зміни в Податковий кодекс України</w:t>
      </w:r>
      <w:r w:rsidR="000A4E69">
        <w:rPr>
          <w:szCs w:val="26"/>
        </w:rPr>
        <w:t xml:space="preserve"> </w:t>
      </w:r>
      <w:r w:rsidR="000A4E69" w:rsidRPr="0097493E">
        <w:rPr>
          <w:shd w:val="clear" w:color="auto" w:fill="FFFFFF"/>
        </w:rPr>
        <w:t xml:space="preserve">– </w:t>
      </w:r>
      <w:r w:rsidR="005E3EA3" w:rsidRPr="00852D2F">
        <w:rPr>
          <w:szCs w:val="26"/>
        </w:rPr>
        <w:t>видалити норми</w:t>
      </w:r>
      <w:r w:rsidR="00852D2F" w:rsidRPr="00852D2F">
        <w:rPr>
          <w:szCs w:val="26"/>
        </w:rPr>
        <w:t>,</w:t>
      </w:r>
      <w:r w:rsidR="005E3EA3" w:rsidRPr="00852D2F">
        <w:rPr>
          <w:szCs w:val="26"/>
        </w:rPr>
        <w:t xml:space="preserve"> якими </w:t>
      </w:r>
      <w:r w:rsidR="00852D2F" w:rsidRPr="00852D2F">
        <w:rPr>
          <w:szCs w:val="26"/>
        </w:rPr>
        <w:t>регулюється</w:t>
      </w:r>
      <w:r w:rsidR="005E3EA3" w:rsidRPr="00852D2F">
        <w:rPr>
          <w:szCs w:val="26"/>
        </w:rPr>
        <w:t xml:space="preserve"> </w:t>
      </w:r>
      <w:r w:rsidR="00D43F24">
        <w:rPr>
          <w:szCs w:val="26"/>
        </w:rPr>
        <w:t>акцизний</w:t>
      </w:r>
      <w:r w:rsidR="00D43F24" w:rsidRPr="005E3EA3">
        <w:rPr>
          <w:szCs w:val="26"/>
        </w:rPr>
        <w:t xml:space="preserve"> подат</w:t>
      </w:r>
      <w:r w:rsidR="00D43F24">
        <w:rPr>
          <w:szCs w:val="26"/>
        </w:rPr>
        <w:t>ок</w:t>
      </w:r>
      <w:r w:rsidR="00D43F24" w:rsidRPr="005E3EA3">
        <w:rPr>
          <w:szCs w:val="26"/>
        </w:rPr>
        <w:t xml:space="preserve"> </w:t>
      </w:r>
      <w:r w:rsidR="00D43F24" w:rsidRPr="00624704">
        <w:rPr>
          <w:szCs w:val="26"/>
        </w:rPr>
        <w:t>з роздрібного продажу пального</w:t>
      </w:r>
      <w:r w:rsidR="00852D2F" w:rsidRPr="00852D2F">
        <w:rPr>
          <w:szCs w:val="26"/>
        </w:rPr>
        <w:t>,</w:t>
      </w:r>
      <w:r w:rsidR="005E3EA3" w:rsidRPr="00852D2F">
        <w:rPr>
          <w:szCs w:val="26"/>
        </w:rPr>
        <w:t xml:space="preserve"> та </w:t>
      </w:r>
      <w:r w:rsidR="00D43F24">
        <w:rPr>
          <w:szCs w:val="26"/>
        </w:rPr>
        <w:t xml:space="preserve">відповідно </w:t>
      </w:r>
      <w:r w:rsidR="005E3EA3" w:rsidRPr="00852D2F">
        <w:rPr>
          <w:szCs w:val="26"/>
        </w:rPr>
        <w:t xml:space="preserve">збільшити </w:t>
      </w:r>
      <w:r w:rsidR="00852D2F" w:rsidRPr="00852D2F">
        <w:rPr>
          <w:szCs w:val="26"/>
        </w:rPr>
        <w:t>ставки акцизного податку</w:t>
      </w:r>
      <w:r w:rsidR="005E3EA3" w:rsidRPr="00852D2F">
        <w:rPr>
          <w:szCs w:val="26"/>
        </w:rPr>
        <w:t xml:space="preserve"> на пальне на 42 </w:t>
      </w:r>
      <w:r w:rsidR="00852D2F" w:rsidRPr="00852D2F">
        <w:rPr>
          <w:szCs w:val="26"/>
        </w:rPr>
        <w:t>Євро/1000 літрів</w:t>
      </w:r>
      <w:r w:rsidR="005E3EA3" w:rsidRPr="00852D2F">
        <w:rPr>
          <w:szCs w:val="26"/>
        </w:rPr>
        <w:t>.</w:t>
      </w:r>
    </w:p>
    <w:p w:rsidR="005E3EA3" w:rsidRPr="005E3EA3" w:rsidRDefault="005E3EA3" w:rsidP="00171451">
      <w:pPr>
        <w:spacing w:after="60"/>
        <w:ind w:firstLine="709"/>
        <w:jc w:val="both"/>
        <w:rPr>
          <w:szCs w:val="26"/>
        </w:rPr>
      </w:pPr>
      <w:r w:rsidRPr="005E3EA3">
        <w:rPr>
          <w:szCs w:val="26"/>
        </w:rPr>
        <w:t>З метою більш детального обговорення вищезазначеної</w:t>
      </w:r>
      <w:r>
        <w:rPr>
          <w:szCs w:val="26"/>
        </w:rPr>
        <w:t xml:space="preserve"> ініціативи</w:t>
      </w:r>
      <w:r w:rsidRPr="005E3EA3">
        <w:rPr>
          <w:szCs w:val="26"/>
        </w:rPr>
        <w:t xml:space="preserve"> пропонуємо </w:t>
      </w:r>
      <w:r w:rsidR="00852D2F">
        <w:rPr>
          <w:szCs w:val="26"/>
        </w:rPr>
        <w:t>провести</w:t>
      </w:r>
      <w:r w:rsidRPr="005E3EA3">
        <w:rPr>
          <w:szCs w:val="26"/>
        </w:rPr>
        <w:t xml:space="preserve"> </w:t>
      </w:r>
      <w:r w:rsidR="00852D2F" w:rsidRPr="005E3EA3">
        <w:rPr>
          <w:szCs w:val="26"/>
        </w:rPr>
        <w:t>найближчим часом</w:t>
      </w:r>
      <w:r w:rsidR="00852D2F">
        <w:rPr>
          <w:szCs w:val="26"/>
        </w:rPr>
        <w:t xml:space="preserve"> </w:t>
      </w:r>
      <w:r>
        <w:rPr>
          <w:szCs w:val="26"/>
        </w:rPr>
        <w:t xml:space="preserve">робочу </w:t>
      </w:r>
      <w:r w:rsidRPr="005E3EA3">
        <w:rPr>
          <w:szCs w:val="26"/>
        </w:rPr>
        <w:t xml:space="preserve">зустріч </w:t>
      </w:r>
      <w:r w:rsidR="00852D2F">
        <w:rPr>
          <w:szCs w:val="26"/>
        </w:rPr>
        <w:t>з Вами для узгодження подальших дій</w:t>
      </w:r>
      <w:r>
        <w:rPr>
          <w:szCs w:val="26"/>
        </w:rPr>
        <w:t>.</w:t>
      </w:r>
    </w:p>
    <w:p w:rsidR="00E96BEC" w:rsidRDefault="00E96BEC" w:rsidP="00207625">
      <w:pPr>
        <w:pStyle w:val="ad"/>
        <w:spacing w:after="120"/>
        <w:ind w:left="0" w:firstLine="709"/>
        <w:contextualSpacing w:val="0"/>
        <w:jc w:val="both"/>
      </w:pPr>
      <w:r w:rsidRPr="0097493E">
        <w:t>У разі виникнення додаткових запитань з приводу положень листа, просимо уповноважити відповідальну особу, яка б могла зв’язатися з нами за телефоном 490-58-00 або електронною поштою oprokhorovych@chamber.ua, контактна особа – Олександр Прохорович, менеджер Палати з питань стратегічного розвитку (оподаткування та митна політика).</w:t>
      </w:r>
    </w:p>
    <w:p w:rsidR="00037278" w:rsidRDefault="00037278" w:rsidP="00207625">
      <w:pPr>
        <w:pStyle w:val="ad"/>
        <w:spacing w:after="120"/>
        <w:ind w:left="0" w:firstLine="709"/>
        <w:contextualSpacing w:val="0"/>
        <w:jc w:val="both"/>
      </w:pPr>
    </w:p>
    <w:p w:rsidR="00037278" w:rsidRPr="00037278" w:rsidRDefault="00037278" w:rsidP="00207625">
      <w:pPr>
        <w:pStyle w:val="ad"/>
        <w:spacing w:after="120"/>
        <w:ind w:left="0" w:firstLine="709"/>
        <w:contextualSpacing w:val="0"/>
        <w:jc w:val="both"/>
        <w:rPr>
          <w:i/>
        </w:rPr>
      </w:pPr>
      <w:r w:rsidRPr="00037278">
        <w:rPr>
          <w:i/>
        </w:rPr>
        <w:t xml:space="preserve">Додаток: згадане, на </w:t>
      </w:r>
      <w:r w:rsidR="00FC5D63">
        <w:rPr>
          <w:i/>
        </w:rPr>
        <w:t>5</w:t>
      </w:r>
      <w:r w:rsidRPr="00037278">
        <w:rPr>
          <w:i/>
        </w:rPr>
        <w:t xml:space="preserve"> арк. у 1 прим.</w:t>
      </w:r>
    </w:p>
    <w:p w:rsidR="00294906" w:rsidRPr="0097493E" w:rsidRDefault="00294906">
      <w:pPr>
        <w:jc w:val="both"/>
      </w:pPr>
    </w:p>
    <w:p w:rsidR="00E96BEC" w:rsidRPr="0097493E" w:rsidRDefault="00E96BEC">
      <w:pPr>
        <w:jc w:val="both"/>
        <w:rPr>
          <w:b/>
        </w:rPr>
      </w:pPr>
      <w:r w:rsidRPr="0097493E">
        <w:rPr>
          <w:b/>
        </w:rPr>
        <w:t>З глибокою повагою та найкращими побажаннями,</w:t>
      </w:r>
    </w:p>
    <w:p w:rsidR="00E96BEC" w:rsidRPr="0097493E" w:rsidRDefault="00E96BEC">
      <w:pPr>
        <w:jc w:val="both"/>
      </w:pPr>
    </w:p>
    <w:p w:rsidR="00E96BEC" w:rsidRDefault="00E96BEC">
      <w:pPr>
        <w:jc w:val="both"/>
        <w:rPr>
          <w:b/>
        </w:rPr>
      </w:pPr>
      <w:r w:rsidRPr="0097493E">
        <w:rPr>
          <w:rStyle w:val="ab"/>
          <w:color w:val="000000"/>
        </w:rPr>
        <w:t>Президент</w:t>
      </w:r>
      <w:r w:rsidRPr="0097493E">
        <w:rPr>
          <w:rStyle w:val="ab"/>
          <w:color w:val="000000"/>
        </w:rPr>
        <w:tab/>
      </w:r>
      <w:r w:rsidRPr="0097493E">
        <w:rPr>
          <w:rStyle w:val="ab"/>
          <w:color w:val="000000"/>
        </w:rPr>
        <w:tab/>
      </w:r>
      <w:r w:rsidRPr="0097493E">
        <w:rPr>
          <w:rStyle w:val="ab"/>
          <w:color w:val="000000"/>
        </w:rPr>
        <w:tab/>
      </w:r>
      <w:r w:rsidRPr="0097493E">
        <w:rPr>
          <w:rStyle w:val="ab"/>
          <w:color w:val="000000"/>
        </w:rPr>
        <w:tab/>
      </w:r>
      <w:r w:rsidRPr="0097493E">
        <w:rPr>
          <w:b/>
        </w:rPr>
        <w:tab/>
      </w:r>
      <w:r w:rsidRPr="0097493E">
        <w:rPr>
          <w:b/>
        </w:rPr>
        <w:tab/>
      </w:r>
      <w:r w:rsidRPr="0097493E">
        <w:rPr>
          <w:b/>
        </w:rPr>
        <w:tab/>
      </w:r>
      <w:r w:rsidRPr="0097493E">
        <w:rPr>
          <w:b/>
        </w:rPr>
        <w:tab/>
      </w:r>
      <w:r w:rsidRPr="0097493E">
        <w:rPr>
          <w:b/>
        </w:rPr>
        <w:tab/>
      </w:r>
      <w:r w:rsidRPr="0097493E">
        <w:rPr>
          <w:b/>
        </w:rPr>
        <w:tab/>
        <w:t xml:space="preserve">      </w:t>
      </w:r>
      <w:r w:rsidR="00C80404" w:rsidRPr="0097493E">
        <w:rPr>
          <w:b/>
        </w:rPr>
        <w:t xml:space="preserve">     </w:t>
      </w:r>
      <w:r w:rsidRPr="0097493E">
        <w:rPr>
          <w:b/>
        </w:rPr>
        <w:t xml:space="preserve">Андрій </w:t>
      </w:r>
      <w:proofErr w:type="spellStart"/>
      <w:r w:rsidRPr="0097493E">
        <w:rPr>
          <w:b/>
        </w:rPr>
        <w:t>Гундер</w:t>
      </w:r>
      <w:proofErr w:type="spellEnd"/>
      <w:r w:rsidRPr="0097493E">
        <w:rPr>
          <w:b/>
        </w:rPr>
        <w:t xml:space="preserve"> </w:t>
      </w:r>
    </w:p>
    <w:p w:rsidR="00C640AA" w:rsidRDefault="00C640AA">
      <w:pPr>
        <w:jc w:val="both"/>
        <w:rPr>
          <w:b/>
        </w:rPr>
      </w:pPr>
    </w:p>
    <w:p w:rsidR="00C640AA" w:rsidRDefault="00C640AA">
      <w:pPr>
        <w:jc w:val="both"/>
        <w:rPr>
          <w:b/>
        </w:rPr>
      </w:pPr>
    </w:p>
    <w:p w:rsidR="00C640AA" w:rsidRDefault="00C640AA">
      <w:pPr>
        <w:rPr>
          <w:b/>
        </w:rPr>
      </w:pPr>
      <w:r>
        <w:rPr>
          <w:b/>
        </w:rPr>
        <w:br w:type="page"/>
      </w:r>
    </w:p>
    <w:p w:rsidR="00C640AA" w:rsidRDefault="00C640AA" w:rsidP="00C640AA">
      <w:pPr>
        <w:spacing w:before="120"/>
        <w:jc w:val="center"/>
        <w:rPr>
          <w:b/>
          <w:color w:val="000000"/>
        </w:rPr>
      </w:pPr>
      <w:r>
        <w:rPr>
          <w:b/>
          <w:color w:val="000000"/>
        </w:rPr>
        <w:lastRenderedPageBreak/>
        <w:t xml:space="preserve">Порівняльна таблиця до проекту Закону України </w:t>
      </w:r>
    </w:p>
    <w:p w:rsidR="00C640AA" w:rsidRDefault="00C640AA" w:rsidP="00C640AA">
      <w:pPr>
        <w:jc w:val="center"/>
        <w:rPr>
          <w:b/>
          <w:color w:val="000000"/>
        </w:rPr>
      </w:pPr>
      <w:r>
        <w:rPr>
          <w:b/>
          <w:color w:val="000000"/>
        </w:rPr>
        <w:t>"Про внесення змін до Бюджетного кодексу України"</w:t>
      </w:r>
    </w:p>
    <w:p w:rsidR="00C640AA" w:rsidRDefault="00C640AA" w:rsidP="00C640AA">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tabs>
                <w:tab w:val="left" w:pos="1270"/>
              </w:tabs>
              <w:spacing w:before="120" w:after="120"/>
              <w:ind w:firstLine="284"/>
              <w:jc w:val="center"/>
              <w:rPr>
                <w:b/>
                <w:color w:val="000000"/>
              </w:rPr>
            </w:pPr>
            <w:r>
              <w:rPr>
                <w:b/>
                <w:color w:val="000000"/>
              </w:rPr>
              <w:t>Зміст положення (норми) чинного законодавства</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spacing w:before="120" w:after="120"/>
              <w:ind w:firstLine="284"/>
              <w:jc w:val="center"/>
              <w:rPr>
                <w:b/>
                <w:color w:val="000000"/>
              </w:rPr>
            </w:pPr>
            <w:r>
              <w:rPr>
                <w:b/>
                <w:color w:val="000000"/>
              </w:rPr>
              <w:t>Зміст відповідного положення (норми) проекту акта</w:t>
            </w:r>
          </w:p>
        </w:tc>
      </w:tr>
      <w:tr w:rsidR="00C640AA" w:rsidRPr="00C640AA" w:rsidTr="00C640AA">
        <w:trPr>
          <w:trHeight w:val="357"/>
        </w:trPr>
        <w:tc>
          <w:tcPr>
            <w:tcW w:w="5000" w:type="pct"/>
            <w:gridSpan w:val="2"/>
            <w:tcBorders>
              <w:top w:val="single" w:sz="4" w:space="0" w:color="auto"/>
              <w:left w:val="single" w:sz="4" w:space="0" w:color="auto"/>
              <w:bottom w:val="single" w:sz="4" w:space="0" w:color="auto"/>
              <w:right w:val="single" w:sz="4" w:space="0" w:color="auto"/>
            </w:tcBorders>
            <w:hideMark/>
          </w:tcPr>
          <w:p w:rsidR="00C640AA" w:rsidRDefault="00C640AA">
            <w:pPr>
              <w:spacing w:before="120" w:after="120"/>
              <w:ind w:firstLine="284"/>
              <w:jc w:val="center"/>
              <w:rPr>
                <w:rStyle w:val="rvts15"/>
                <w:b/>
                <w:color w:val="000000"/>
              </w:rPr>
            </w:pPr>
            <w:r>
              <w:rPr>
                <w:rStyle w:val="rvts15"/>
                <w:b/>
                <w:color w:val="000000"/>
              </w:rPr>
              <w:t xml:space="preserve">Розділ II. ДЕРЖАВНИЙ БЮДЖЕТ УКРАЇНИ </w:t>
            </w:r>
          </w:p>
          <w:p w:rsidR="00C640AA" w:rsidRDefault="00C640AA">
            <w:pPr>
              <w:spacing w:before="120" w:after="120"/>
              <w:ind w:firstLine="284"/>
              <w:jc w:val="center"/>
              <w:rPr>
                <w:rFonts w:ascii="Calibri" w:hAnsi="Calibri"/>
                <w:bCs/>
                <w:sz w:val="22"/>
                <w:szCs w:val="22"/>
                <w:lang w:val="ru-RU"/>
              </w:rPr>
            </w:pPr>
            <w:r>
              <w:rPr>
                <w:rStyle w:val="rvts15"/>
                <w:b/>
                <w:color w:val="000000"/>
              </w:rPr>
              <w:t>Глава 5. ДОХОДИ, ВИДАТКИ ТА КРЕДИТУВАННЯ ДЕРЖАВНОГО БЮДЖЕТУ УКРАЇНИ</w:t>
            </w:r>
          </w:p>
        </w:tc>
      </w:tr>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
                <w:color w:val="000000"/>
                <w:lang w:eastAsia="ru-RU"/>
              </w:rPr>
            </w:pPr>
            <w:r>
              <w:rPr>
                <w:b/>
                <w:bCs/>
                <w:color w:val="000000"/>
              </w:rPr>
              <w:t>Стаття 29. Склад доходів Державного бюджету України</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
                <w:color w:val="000000"/>
                <w:lang w:eastAsia="ru-RU"/>
              </w:rPr>
            </w:pPr>
            <w:r>
              <w:rPr>
                <w:b/>
                <w:bCs/>
                <w:color w:val="000000"/>
              </w:rPr>
              <w:t>Стаття 29. Склад доходів Державного бюджету України</w:t>
            </w:r>
          </w:p>
        </w:tc>
      </w:tr>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2. До доходів загального фонду Державного бюджету України (з урахуванням особливостей, визначених пунктом 1 частини другої статті 67 1 цього Кодексу) належать:</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2. До доходів загального фонду Державного бюджету України (з урахуванням особливостей, визначених пунктом 1 частини другої статті 67 1 цього Кодексу) належать:</w:t>
            </w:r>
          </w:p>
        </w:tc>
      </w:tr>
      <w:tr w:rsid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w:t>
            </w:r>
          </w:p>
          <w:p w:rsidR="00C640AA" w:rsidRDefault="00C640AA">
            <w:pPr>
              <w:ind w:firstLine="284"/>
              <w:jc w:val="both"/>
              <w:rPr>
                <w:bCs/>
                <w:color w:val="000000"/>
              </w:rPr>
            </w:pPr>
            <w:r>
              <w:rPr>
                <w:bCs/>
                <w:color w:val="000000"/>
              </w:rPr>
              <w:t>7) акцизний податок з вироблених в Україні підакцизних товарів (продукції) (крім акцизного податку, визначеного пунктом 6 частини першої статті 66 цього Кодексу);</w:t>
            </w:r>
          </w:p>
          <w:p w:rsidR="00C640AA" w:rsidRDefault="00C640AA">
            <w:pPr>
              <w:ind w:firstLine="284"/>
              <w:jc w:val="both"/>
              <w:rPr>
                <w:bCs/>
                <w:color w:val="000000"/>
              </w:rPr>
            </w:pPr>
            <w:r>
              <w:rPr>
                <w:bCs/>
                <w:color w:val="000000"/>
              </w:rPr>
              <w:t>8) акцизний податок з ввезених на митну територію України підакцизних товарів (продукції);</w:t>
            </w:r>
          </w:p>
          <w:p w:rsidR="00C640AA" w:rsidRDefault="00C640AA">
            <w:pPr>
              <w:ind w:firstLine="284"/>
              <w:jc w:val="both"/>
              <w:rPr>
                <w:bCs/>
                <w:color w:val="000000"/>
              </w:rPr>
            </w:pPr>
            <w:r>
              <w:rPr>
                <w:bCs/>
                <w:color w:val="000000"/>
              </w:rPr>
              <w:t>…</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w:t>
            </w:r>
          </w:p>
          <w:p w:rsidR="00C640AA" w:rsidRDefault="00C640AA">
            <w:pPr>
              <w:ind w:firstLine="284"/>
              <w:jc w:val="both"/>
              <w:rPr>
                <w:bCs/>
                <w:color w:val="000000"/>
              </w:rPr>
            </w:pPr>
            <w:r>
              <w:rPr>
                <w:bCs/>
                <w:color w:val="000000"/>
              </w:rPr>
              <w:t>7) акцизний податок з вироблених в Україні підакцизних товарів (продукції) (крім акцизного податку, визначеного пунктом 6 частини першої статті 66 цього Кодексу</w:t>
            </w:r>
            <w:r>
              <w:rPr>
                <w:b/>
                <w:bCs/>
                <w:color w:val="000000"/>
              </w:rPr>
              <w:t>, крім акцизного податку, визначеного підпунктом 16) пункту 1 статті 64 цього Кодексу та підпунктом 20</w:t>
            </w:r>
            <w:r>
              <w:rPr>
                <w:b/>
                <w:bCs/>
                <w:color w:val="000000"/>
                <w:vertAlign w:val="superscript"/>
              </w:rPr>
              <w:t>3)</w:t>
            </w:r>
            <w:r>
              <w:rPr>
                <w:b/>
                <w:bCs/>
                <w:color w:val="000000"/>
              </w:rPr>
              <w:t xml:space="preserve"> пункту 1 статті 69 цього Кодексу</w:t>
            </w:r>
            <w:r>
              <w:rPr>
                <w:bCs/>
                <w:color w:val="000000"/>
              </w:rPr>
              <w:t>);</w:t>
            </w:r>
          </w:p>
          <w:p w:rsidR="00C640AA" w:rsidRDefault="00C640AA">
            <w:pPr>
              <w:ind w:firstLine="284"/>
              <w:jc w:val="both"/>
              <w:rPr>
                <w:bCs/>
                <w:color w:val="000000"/>
              </w:rPr>
            </w:pPr>
            <w:r>
              <w:rPr>
                <w:bCs/>
                <w:color w:val="000000"/>
              </w:rPr>
              <w:t xml:space="preserve">8) акцизний податок з ввезених на митну територію України підакцизних товарів (продукції) </w:t>
            </w:r>
            <w:r>
              <w:rPr>
                <w:b/>
                <w:bCs/>
                <w:color w:val="000000"/>
              </w:rPr>
              <w:t>(крім акцизного податку, визначеного підпунктом 16) пункту 1 статті 64 цього Кодексу та підпунктом 20</w:t>
            </w:r>
            <w:r>
              <w:rPr>
                <w:b/>
                <w:bCs/>
                <w:color w:val="000000"/>
                <w:vertAlign w:val="superscript"/>
              </w:rPr>
              <w:t>3)</w:t>
            </w:r>
            <w:r>
              <w:rPr>
                <w:b/>
                <w:bCs/>
                <w:color w:val="000000"/>
              </w:rPr>
              <w:t xml:space="preserve"> пункту 1 статті 69 цього Кодексу)</w:t>
            </w:r>
            <w:r>
              <w:rPr>
                <w:bCs/>
                <w:color w:val="000000"/>
              </w:rPr>
              <w:t>;</w:t>
            </w:r>
          </w:p>
          <w:p w:rsidR="00C640AA" w:rsidRDefault="00C640AA">
            <w:pPr>
              <w:ind w:firstLine="284"/>
              <w:jc w:val="both"/>
              <w:rPr>
                <w:bCs/>
                <w:color w:val="000000"/>
              </w:rPr>
            </w:pPr>
            <w:r>
              <w:rPr>
                <w:bCs/>
                <w:color w:val="000000"/>
              </w:rPr>
              <w:t>…</w:t>
            </w:r>
          </w:p>
        </w:tc>
      </w:tr>
      <w:tr w:rsidR="00C640AA" w:rsidRPr="00C640AA" w:rsidTr="00C640AA">
        <w:trPr>
          <w:trHeight w:val="357"/>
        </w:trPr>
        <w:tc>
          <w:tcPr>
            <w:tcW w:w="5000" w:type="pct"/>
            <w:gridSpan w:val="2"/>
            <w:tcBorders>
              <w:top w:val="single" w:sz="4" w:space="0" w:color="auto"/>
              <w:left w:val="single" w:sz="4" w:space="0" w:color="auto"/>
              <w:bottom w:val="single" w:sz="4" w:space="0" w:color="auto"/>
              <w:right w:val="single" w:sz="4" w:space="0" w:color="auto"/>
            </w:tcBorders>
            <w:hideMark/>
          </w:tcPr>
          <w:p w:rsidR="00C640AA" w:rsidRDefault="00C640AA">
            <w:pPr>
              <w:spacing w:before="120" w:after="120"/>
              <w:ind w:firstLine="284"/>
              <w:jc w:val="center"/>
              <w:rPr>
                <w:rStyle w:val="rvts15"/>
                <w:b/>
                <w:color w:val="000000"/>
              </w:rPr>
            </w:pPr>
            <w:r>
              <w:rPr>
                <w:rStyle w:val="rvts15"/>
                <w:b/>
                <w:color w:val="000000"/>
              </w:rPr>
              <w:t>Розділ III. МІСЦЕВІ БЮДЖЕТИ</w:t>
            </w:r>
          </w:p>
          <w:p w:rsidR="00C640AA" w:rsidRDefault="00C640AA">
            <w:pPr>
              <w:spacing w:before="120" w:after="120"/>
              <w:ind w:firstLine="284"/>
              <w:jc w:val="center"/>
              <w:rPr>
                <w:rStyle w:val="rvts15"/>
                <w:b/>
                <w:color w:val="000000"/>
              </w:rPr>
            </w:pPr>
            <w:r>
              <w:rPr>
                <w:rStyle w:val="rvts15"/>
                <w:b/>
                <w:color w:val="000000"/>
              </w:rPr>
              <w:t>Глава 11. НАДХОДЖЕННЯ ТА ВИТРАТИ МІСЦЕВИХ БЮДЖЕТІВ</w:t>
            </w:r>
          </w:p>
        </w:tc>
      </w:tr>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
                <w:bCs/>
                <w:color w:val="000000"/>
              </w:rPr>
            </w:pPr>
            <w:r>
              <w:rPr>
                <w:b/>
                <w:bCs/>
                <w:color w:val="000000"/>
              </w:rPr>
              <w:t>Стаття 64.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
                <w:bCs/>
                <w:color w:val="000000"/>
              </w:rPr>
            </w:pPr>
            <w:r>
              <w:rPr>
                <w:b/>
                <w:bCs/>
                <w:color w:val="000000"/>
              </w:rPr>
              <w:t>Стаття 64.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w:t>
            </w:r>
          </w:p>
        </w:tc>
      </w:tr>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 xml:space="preserve">1. До доходів загального фонду бюджетів міст республіканського Автономної Республіки Крим та обласного значення, міст Києва та </w:t>
            </w:r>
            <w:r>
              <w:rPr>
                <w:bCs/>
                <w:color w:val="000000"/>
              </w:rPr>
              <w:lastRenderedPageBreak/>
              <w:t>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lastRenderedPageBreak/>
              <w:t xml:space="preserve">1. До доходів загального фонду бюджетів міст республіканського Автономної Республіки Крим та обласного значення, міст Києва та </w:t>
            </w:r>
            <w:r>
              <w:rPr>
                <w:bCs/>
                <w:color w:val="000000"/>
              </w:rPr>
              <w:lastRenderedPageBreak/>
              <w:t>Севастополя, районних бюджетів, бюджетів об’єднаних територіальних громад, що створюються згідно із законом та перспективним планом формування територій громад, належать:</w:t>
            </w:r>
          </w:p>
        </w:tc>
      </w:tr>
      <w:tr w:rsid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lastRenderedPageBreak/>
              <w:t>…</w:t>
            </w:r>
          </w:p>
          <w:p w:rsidR="00C640AA" w:rsidRDefault="00C640AA">
            <w:pPr>
              <w:ind w:firstLine="284"/>
              <w:jc w:val="both"/>
              <w:rPr>
                <w:bCs/>
                <w:color w:val="000000"/>
              </w:rPr>
            </w:pPr>
            <w:r>
              <w:rPr>
                <w:bCs/>
                <w:color w:val="000000"/>
              </w:rPr>
              <w:t>16) акцизний податок з реалізації суб’єктами господарювання роздрібної торгівлі підакцизних товарів, що зараховується до бюджетів об’єднаних територіальних громад, міських бюджетів;</w:t>
            </w:r>
          </w:p>
          <w:p w:rsidR="00C640AA" w:rsidRDefault="00C640AA">
            <w:pPr>
              <w:ind w:firstLine="284"/>
              <w:jc w:val="both"/>
              <w:rPr>
                <w:bCs/>
                <w:color w:val="000000"/>
              </w:rPr>
            </w:pPr>
            <w:r>
              <w:rPr>
                <w:bCs/>
                <w:color w:val="000000"/>
              </w:rPr>
              <w:t>…</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w:t>
            </w:r>
          </w:p>
          <w:p w:rsidR="00C640AA" w:rsidRDefault="00C640AA">
            <w:pPr>
              <w:ind w:firstLine="284"/>
              <w:jc w:val="both"/>
              <w:rPr>
                <w:bCs/>
                <w:color w:val="000000"/>
              </w:rPr>
            </w:pPr>
            <w:r>
              <w:rPr>
                <w:bCs/>
                <w:color w:val="000000"/>
              </w:rPr>
              <w:t>16) акцизний податок з реалізації суб’єктами господарювання роздрібної торгівлі підакцизних товарів, що зараховується до бюджетів об’єднаних територіальних громад, міських бюджетів;</w:t>
            </w:r>
          </w:p>
          <w:p w:rsidR="00C640AA" w:rsidRDefault="00C640AA">
            <w:pPr>
              <w:ind w:firstLine="284"/>
              <w:jc w:val="both"/>
              <w:rPr>
                <w:bCs/>
                <w:color w:val="000000"/>
              </w:rPr>
            </w:pPr>
            <w:r>
              <w:rPr>
                <w:bCs/>
                <w:color w:val="000000"/>
              </w:rPr>
              <w:t>16</w:t>
            </w:r>
            <w:r>
              <w:rPr>
                <w:bCs/>
                <w:color w:val="000000"/>
                <w:vertAlign w:val="superscript"/>
              </w:rPr>
              <w:t>1</w:t>
            </w:r>
            <w:r>
              <w:rPr>
                <w:bCs/>
                <w:color w:val="000000"/>
              </w:rPr>
              <w:t>) акцизний податок</w:t>
            </w:r>
            <w:r>
              <w:t xml:space="preserve"> </w:t>
            </w:r>
            <w:r>
              <w:rPr>
                <w:b/>
                <w:bCs/>
                <w:color w:val="000000"/>
              </w:rPr>
              <w:t>з вироблених в Україні та ввезених на митну територію України підакцизних товарів (продукції) зазначених у підпункті 215.3.4 пункту 215.3 статті 215 Податкового кодексу України в обсязі визначеному виходячи із ставки 0,042 Євро за 1 літр та обсягу фізично відпущених таких товарів (продукції) з автозаправних станцій та/або автомобільних газозаправних станцій (згідно даних реєстраторів розрахункових операцій) що розташовані на території відповідних міських та об’єднаних територіальних громад. Порядок перерахування акцизного податку передбаченого цим підпунктом визначається Кабінетом Міністрів України</w:t>
            </w:r>
            <w:r>
              <w:rPr>
                <w:bCs/>
                <w:color w:val="000000"/>
              </w:rPr>
              <w:t>;</w:t>
            </w:r>
          </w:p>
          <w:p w:rsidR="00C640AA" w:rsidRDefault="00C640AA">
            <w:pPr>
              <w:ind w:firstLine="284"/>
              <w:jc w:val="both"/>
              <w:rPr>
                <w:bCs/>
                <w:color w:val="000000"/>
              </w:rPr>
            </w:pPr>
            <w:r>
              <w:rPr>
                <w:bCs/>
                <w:color w:val="000000"/>
              </w:rPr>
              <w:t>…</w:t>
            </w:r>
          </w:p>
        </w:tc>
      </w:tr>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
                <w:bCs/>
                <w:color w:val="000000"/>
              </w:rPr>
            </w:pPr>
            <w:r>
              <w:rPr>
                <w:b/>
                <w:bCs/>
                <w:color w:val="000000"/>
              </w:rPr>
              <w:t>Стаття 69. Доходи загального фонду бюджетів міст районного значення, сільських, селищних бюджетів</w:t>
            </w:r>
          </w:p>
          <w:p w:rsidR="00C640AA" w:rsidRDefault="00C640AA">
            <w:pPr>
              <w:ind w:firstLine="284"/>
              <w:jc w:val="both"/>
              <w:rPr>
                <w:b/>
                <w:bCs/>
                <w:color w:val="000000"/>
              </w:rPr>
            </w:pPr>
            <w:r>
              <w:rPr>
                <w:bCs/>
                <w:color w:val="000000"/>
              </w:rPr>
              <w:t>1. До доходів загального фонду бюджетів міст районного значення, сільських, селищних бюджетів належать:</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
                <w:bCs/>
                <w:color w:val="000000"/>
              </w:rPr>
            </w:pPr>
            <w:r>
              <w:rPr>
                <w:b/>
                <w:bCs/>
                <w:color w:val="000000"/>
              </w:rPr>
              <w:t>Стаття 69. Доходи загального фонду бюджетів міст районного значення, сільських, селищних бюджетів</w:t>
            </w:r>
          </w:p>
          <w:p w:rsidR="00C640AA" w:rsidRDefault="00C640AA">
            <w:pPr>
              <w:ind w:firstLine="284"/>
              <w:jc w:val="both"/>
              <w:rPr>
                <w:b/>
                <w:bCs/>
                <w:color w:val="000000"/>
              </w:rPr>
            </w:pPr>
            <w:r>
              <w:rPr>
                <w:bCs/>
                <w:color w:val="000000"/>
              </w:rPr>
              <w:t>1. До доходів загального фонду бюджетів міст районного значення, сільських, селищних бюджетів належать:</w:t>
            </w:r>
          </w:p>
        </w:tc>
      </w:tr>
      <w:tr w:rsid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w:t>
            </w:r>
          </w:p>
          <w:p w:rsidR="00C640AA" w:rsidRDefault="00C640AA">
            <w:pPr>
              <w:ind w:firstLine="284"/>
              <w:jc w:val="both"/>
              <w:rPr>
                <w:bCs/>
                <w:color w:val="000000"/>
              </w:rPr>
            </w:pPr>
            <w:r>
              <w:rPr>
                <w:bCs/>
                <w:color w:val="000000"/>
              </w:rPr>
              <w:t>20</w:t>
            </w:r>
            <w:r>
              <w:rPr>
                <w:bCs/>
                <w:color w:val="000000"/>
                <w:vertAlign w:val="superscript"/>
              </w:rPr>
              <w:t>3</w:t>
            </w:r>
            <w:r>
              <w:rPr>
                <w:bCs/>
                <w:color w:val="000000"/>
              </w:rPr>
              <w:t>) акцизний податок з реалізації суб’єктами господарювання роздрібної торгівлі підакцизних товарів, що зараховується до бюджетів міст районного значення, сільських, селищних бюджетів;</w:t>
            </w:r>
          </w:p>
          <w:p w:rsidR="00C640AA" w:rsidRDefault="00C640AA">
            <w:pPr>
              <w:ind w:firstLine="284"/>
              <w:jc w:val="both"/>
              <w:rPr>
                <w:bCs/>
                <w:color w:val="000000"/>
              </w:rPr>
            </w:pPr>
            <w:r>
              <w:rPr>
                <w:bCs/>
                <w:color w:val="000000"/>
              </w:rPr>
              <w:t>…</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ind w:firstLine="284"/>
              <w:jc w:val="both"/>
              <w:rPr>
                <w:bCs/>
                <w:color w:val="000000"/>
              </w:rPr>
            </w:pPr>
            <w:r>
              <w:rPr>
                <w:bCs/>
                <w:color w:val="000000"/>
              </w:rPr>
              <w:t>…</w:t>
            </w:r>
          </w:p>
          <w:p w:rsidR="00C640AA" w:rsidRDefault="00C640AA">
            <w:pPr>
              <w:ind w:firstLine="284"/>
              <w:jc w:val="both"/>
              <w:rPr>
                <w:bCs/>
                <w:color w:val="000000"/>
              </w:rPr>
            </w:pPr>
            <w:r>
              <w:rPr>
                <w:bCs/>
                <w:color w:val="000000"/>
              </w:rPr>
              <w:t>20</w:t>
            </w:r>
            <w:r>
              <w:rPr>
                <w:bCs/>
                <w:color w:val="000000"/>
                <w:vertAlign w:val="superscript"/>
              </w:rPr>
              <w:t>3</w:t>
            </w:r>
            <w:r>
              <w:rPr>
                <w:bCs/>
                <w:color w:val="000000"/>
              </w:rPr>
              <w:t>) акцизний податок з реалізації суб’єктами господарювання роздрібної торгівлі підакцизних товарів, що зараховується до бюджетів міст районного значення, сільських, селищних бюджетів;</w:t>
            </w:r>
          </w:p>
          <w:p w:rsidR="00C640AA" w:rsidRDefault="00C640AA">
            <w:pPr>
              <w:ind w:firstLine="284"/>
              <w:jc w:val="both"/>
              <w:rPr>
                <w:bCs/>
                <w:color w:val="000000"/>
              </w:rPr>
            </w:pPr>
            <w:r>
              <w:rPr>
                <w:b/>
                <w:bCs/>
                <w:color w:val="000000"/>
              </w:rPr>
              <w:t>20</w:t>
            </w:r>
            <w:r>
              <w:rPr>
                <w:b/>
                <w:bCs/>
                <w:color w:val="000000"/>
                <w:vertAlign w:val="superscript"/>
              </w:rPr>
              <w:t>4</w:t>
            </w:r>
            <w:r>
              <w:rPr>
                <w:b/>
                <w:bCs/>
                <w:color w:val="000000"/>
              </w:rPr>
              <w:t xml:space="preserve">) акцизний податок з вироблених в Україні та ввезених на митну територію України підакцизних товарів (продукції) зазначених у підпункті 215.3.4 пункту 215.3 статті 215 Податкового кодексу України в обсязі визначеному виходячи із ставки 0,042 </w:t>
            </w:r>
            <w:r>
              <w:rPr>
                <w:b/>
                <w:bCs/>
                <w:color w:val="000000"/>
              </w:rPr>
              <w:lastRenderedPageBreak/>
              <w:t>Євро за 1 літр та обсягу фізично відпущених таких товарів (продукції) з автозаправних станцій та/або автомобільних газозаправних станцій (згідно даних реєстраторів розрахункових операцій) що розташовані на території відповідних міст районного значення, сіл та селищ. Порядок перерахування акцизного податку передбаченого цим підпунктом визначається Кабінетом Міністрів України</w:t>
            </w:r>
            <w:r>
              <w:rPr>
                <w:bCs/>
                <w:color w:val="000000"/>
              </w:rPr>
              <w:t>;</w:t>
            </w:r>
          </w:p>
          <w:p w:rsidR="00C640AA" w:rsidRDefault="00C640AA">
            <w:pPr>
              <w:ind w:firstLine="284"/>
              <w:jc w:val="both"/>
              <w:rPr>
                <w:bCs/>
                <w:color w:val="000000"/>
              </w:rPr>
            </w:pPr>
            <w:r>
              <w:rPr>
                <w:bCs/>
                <w:color w:val="000000"/>
              </w:rPr>
              <w:t>…</w:t>
            </w:r>
          </w:p>
        </w:tc>
      </w:tr>
      <w:tr w:rsidR="00C640AA" w:rsidRPr="00C640AA" w:rsidTr="00C640AA">
        <w:trPr>
          <w:trHeight w:val="357"/>
        </w:trPr>
        <w:tc>
          <w:tcPr>
            <w:tcW w:w="5000" w:type="pct"/>
            <w:gridSpan w:val="2"/>
            <w:tcBorders>
              <w:top w:val="single" w:sz="4" w:space="0" w:color="auto"/>
              <w:left w:val="single" w:sz="4" w:space="0" w:color="auto"/>
              <w:bottom w:val="single" w:sz="4" w:space="0" w:color="auto"/>
              <w:right w:val="single" w:sz="4" w:space="0" w:color="auto"/>
            </w:tcBorders>
            <w:hideMark/>
          </w:tcPr>
          <w:p w:rsidR="00C640AA" w:rsidRDefault="00C640AA">
            <w:pPr>
              <w:spacing w:before="120" w:after="120"/>
              <w:ind w:firstLine="284"/>
              <w:jc w:val="center"/>
              <w:rPr>
                <w:rStyle w:val="rvts15"/>
                <w:sz w:val="22"/>
                <w:szCs w:val="22"/>
                <w:lang w:val="ru-RU"/>
              </w:rPr>
            </w:pPr>
            <w:r>
              <w:rPr>
                <w:rStyle w:val="rvts15"/>
                <w:b/>
                <w:color w:val="000000"/>
              </w:rPr>
              <w:lastRenderedPageBreak/>
              <w:t>Розділ VI. ПРИКІНЦЕВІ ТА ПЕРЕХІДНІ ПОЛОЖЕННЯ</w:t>
            </w:r>
          </w:p>
        </w:tc>
      </w:tr>
      <w:tr w:rsidR="00C640AA" w:rsidRPr="00C640AA" w:rsidTr="00C640AA">
        <w:trPr>
          <w:trHeight w:val="357"/>
        </w:trPr>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pStyle w:val="ac"/>
              <w:spacing w:before="0" w:beforeAutospacing="0" w:after="60" w:afterAutospacing="0" w:line="256" w:lineRule="auto"/>
              <w:jc w:val="both"/>
              <w:rPr>
                <w:rFonts w:eastAsiaTheme="minorEastAsia"/>
              </w:rPr>
            </w:pPr>
            <w:r>
              <w:t>17. Установити, що:</w:t>
            </w:r>
          </w:p>
          <w:p w:rsidR="00C640AA" w:rsidRDefault="00C640AA">
            <w:pPr>
              <w:pStyle w:val="ac"/>
              <w:spacing w:before="0" w:beforeAutospacing="0" w:after="60" w:afterAutospacing="0" w:line="256" w:lineRule="auto"/>
              <w:jc w:val="both"/>
              <w:rPr>
                <w:rFonts w:eastAsiaTheme="minorEastAsia"/>
              </w:rPr>
            </w:pPr>
            <w:r>
              <w:t>…</w:t>
            </w:r>
          </w:p>
        </w:tc>
        <w:tc>
          <w:tcPr>
            <w:tcW w:w="2500" w:type="pct"/>
            <w:tcBorders>
              <w:top w:val="single" w:sz="4" w:space="0" w:color="auto"/>
              <w:left w:val="single" w:sz="4" w:space="0" w:color="auto"/>
              <w:bottom w:val="single" w:sz="4" w:space="0" w:color="auto"/>
              <w:right w:val="single" w:sz="4" w:space="0" w:color="auto"/>
            </w:tcBorders>
            <w:hideMark/>
          </w:tcPr>
          <w:p w:rsidR="00C640AA" w:rsidRDefault="00C640AA">
            <w:pPr>
              <w:pStyle w:val="ac"/>
              <w:spacing w:before="0" w:beforeAutospacing="0" w:after="60" w:afterAutospacing="0" w:line="256" w:lineRule="auto"/>
              <w:jc w:val="both"/>
              <w:rPr>
                <w:rFonts w:eastAsiaTheme="minorEastAsia"/>
              </w:rPr>
            </w:pPr>
            <w:r>
              <w:t>17. Установити, що:</w:t>
            </w:r>
          </w:p>
          <w:p w:rsidR="00C640AA" w:rsidRDefault="00C640AA">
            <w:pPr>
              <w:pStyle w:val="ac"/>
              <w:spacing w:before="0" w:beforeAutospacing="0" w:after="60" w:afterAutospacing="0" w:line="256" w:lineRule="auto"/>
              <w:jc w:val="both"/>
            </w:pPr>
            <w:r>
              <w:t>…</w:t>
            </w:r>
          </w:p>
          <w:p w:rsidR="00C640AA" w:rsidRDefault="00C640AA">
            <w:pPr>
              <w:pStyle w:val="ac"/>
              <w:spacing w:before="0" w:beforeAutospacing="0" w:after="60" w:afterAutospacing="0" w:line="256" w:lineRule="auto"/>
              <w:jc w:val="both"/>
            </w:pPr>
            <w:r>
              <w:t>3) надходження нарахованих сум за останній звітний (податковий) період 2016 року, податкового боргу, повернення помилково або надміру сплачених сум з:</w:t>
            </w:r>
          </w:p>
          <w:p w:rsidR="00C640AA" w:rsidRDefault="00C640AA">
            <w:pPr>
              <w:pStyle w:val="ac"/>
              <w:spacing w:before="0" w:beforeAutospacing="0" w:after="60" w:afterAutospacing="0" w:line="256" w:lineRule="auto"/>
              <w:jc w:val="both"/>
              <w:rPr>
                <w:color w:val="FF0000"/>
              </w:rPr>
            </w:pPr>
            <w:r>
              <w:t>акцизного податок з реалізації суб’єктами господарювання роздрібної торгівлі підакцизних товарів зазначених у підпункті 215.3.4 пункту 215.3 статті 215 Податкового кодексу України,</w:t>
            </w:r>
          </w:p>
          <w:p w:rsidR="00C640AA" w:rsidRDefault="00C640AA">
            <w:pPr>
              <w:pStyle w:val="ac"/>
              <w:spacing w:before="0" w:beforeAutospacing="0" w:after="60" w:afterAutospacing="0" w:line="256" w:lineRule="auto"/>
              <w:jc w:val="both"/>
              <w:rPr>
                <w:rFonts w:eastAsiaTheme="minorEastAsia"/>
              </w:rPr>
            </w:pPr>
            <w:r>
              <w:t>зараховуються (здійснюються) до місцевих бюджетів у порядку та на умовах, які діяли до 1 січня 2017 року;</w:t>
            </w:r>
          </w:p>
        </w:tc>
      </w:tr>
    </w:tbl>
    <w:p w:rsidR="00C640AA" w:rsidRDefault="00C640AA" w:rsidP="00C640AA">
      <w:pPr>
        <w:rPr>
          <w:rFonts w:ascii="Calibri" w:hAnsi="Calibri"/>
          <w:sz w:val="22"/>
          <w:szCs w:val="22"/>
        </w:rPr>
      </w:pPr>
    </w:p>
    <w:p w:rsidR="00C640AA" w:rsidRDefault="00C640AA" w:rsidP="00C640AA">
      <w:pPr>
        <w:spacing w:line="256" w:lineRule="auto"/>
      </w:pPr>
      <w: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70"/>
      </w:tblGrid>
      <w:tr w:rsidR="00C640AA" w:rsidTr="00C640AA">
        <w:tc>
          <w:tcPr>
            <w:tcW w:w="5000" w:type="pct"/>
            <w:tcBorders>
              <w:top w:val="single" w:sz="2" w:space="0" w:color="auto"/>
              <w:left w:val="single" w:sz="2" w:space="0" w:color="auto"/>
              <w:bottom w:val="single" w:sz="2" w:space="0" w:color="auto"/>
              <w:right w:val="single" w:sz="2" w:space="0" w:color="auto"/>
            </w:tcBorders>
            <w:hideMark/>
          </w:tcPr>
          <w:p w:rsidR="00C640AA" w:rsidRDefault="00C640AA">
            <w:pPr>
              <w:ind w:left="450" w:right="450"/>
              <w:jc w:val="center"/>
              <w:textAlignment w:val="baseline"/>
            </w:pPr>
            <w:r>
              <w:rPr>
                <w:b/>
                <w:bCs/>
                <w:color w:val="000000"/>
                <w:bdr w:val="none" w:sz="0" w:space="0" w:color="auto" w:frame="1"/>
              </w:rPr>
              <w:lastRenderedPageBreak/>
              <w:t>КАБІНЕТ МІНІСТРІВ УКРАЇНИ</w:t>
            </w:r>
            <w:r>
              <w:t> </w:t>
            </w:r>
            <w:r>
              <w:br/>
            </w:r>
            <w:r>
              <w:rPr>
                <w:b/>
                <w:bCs/>
                <w:color w:val="000000"/>
                <w:bdr w:val="none" w:sz="0" w:space="0" w:color="auto" w:frame="1"/>
              </w:rPr>
              <w:t>ПОСТАНОВА</w:t>
            </w:r>
          </w:p>
        </w:tc>
      </w:tr>
      <w:tr w:rsidR="00C640AA" w:rsidTr="00C640AA">
        <w:tc>
          <w:tcPr>
            <w:tcW w:w="5000" w:type="pct"/>
            <w:tcBorders>
              <w:top w:val="single" w:sz="2" w:space="0" w:color="auto"/>
              <w:left w:val="single" w:sz="2" w:space="0" w:color="auto"/>
              <w:bottom w:val="single" w:sz="2" w:space="0" w:color="auto"/>
              <w:right w:val="single" w:sz="2" w:space="0" w:color="auto"/>
            </w:tcBorders>
            <w:hideMark/>
          </w:tcPr>
          <w:p w:rsidR="00C640AA" w:rsidRDefault="00C640AA" w:rsidP="00B657BF">
            <w:pPr>
              <w:ind w:left="450" w:right="450"/>
              <w:jc w:val="center"/>
              <w:textAlignment w:val="baseline"/>
            </w:pPr>
            <w:r>
              <w:rPr>
                <w:b/>
                <w:bCs/>
                <w:color w:val="000000"/>
                <w:bdr w:val="none" w:sz="0" w:space="0" w:color="auto" w:frame="1"/>
              </w:rPr>
              <w:t>від __ _______ 2016 р. № ____</w:t>
            </w:r>
            <w:r>
              <w:t> </w:t>
            </w:r>
          </w:p>
          <w:p w:rsidR="00B657BF" w:rsidRDefault="00B657BF" w:rsidP="00B657BF">
            <w:pPr>
              <w:ind w:left="450" w:right="450"/>
              <w:jc w:val="center"/>
              <w:textAlignment w:val="baseline"/>
            </w:pPr>
          </w:p>
        </w:tc>
      </w:tr>
    </w:tbl>
    <w:p w:rsidR="00C640AA" w:rsidRDefault="00C640AA" w:rsidP="00C640AA">
      <w:pPr>
        <w:ind w:left="450" w:right="450"/>
        <w:jc w:val="center"/>
        <w:textAlignment w:val="baseline"/>
        <w:rPr>
          <w:b/>
          <w:bCs/>
          <w:color w:val="000000"/>
        </w:rPr>
      </w:pPr>
      <w:bookmarkStart w:id="1" w:name="n3"/>
      <w:bookmarkEnd w:id="1"/>
      <w:r>
        <w:rPr>
          <w:b/>
          <w:bCs/>
          <w:color w:val="000000"/>
          <w:bdr w:val="none" w:sz="0" w:space="0" w:color="auto" w:frame="1"/>
        </w:rPr>
        <w:t xml:space="preserve">Про порядок перерахування </w:t>
      </w:r>
      <w:r>
        <w:rPr>
          <w:b/>
          <w:bCs/>
          <w:color w:val="000000"/>
        </w:rPr>
        <w:t>акцизного податку з вироблених в Україні та ввезених на митну територію України підакцизних товарів (продукції) в місцеві бюджети</w:t>
      </w:r>
    </w:p>
    <w:p w:rsidR="00C640AA" w:rsidRDefault="00C640AA" w:rsidP="00C640AA">
      <w:pPr>
        <w:ind w:left="450" w:right="450"/>
        <w:textAlignment w:val="baseline"/>
        <w:rPr>
          <w:color w:val="000000"/>
          <w:bdr w:val="none" w:sz="0" w:space="0" w:color="auto" w:frame="1"/>
        </w:rPr>
      </w:pPr>
    </w:p>
    <w:p w:rsidR="00C640AA" w:rsidRDefault="00C640AA" w:rsidP="00C640AA">
      <w:pPr>
        <w:ind w:firstLine="450"/>
        <w:jc w:val="both"/>
        <w:textAlignment w:val="baseline"/>
        <w:rPr>
          <w:color w:val="000000"/>
          <w:bdr w:val="none" w:sz="0" w:space="0" w:color="auto" w:frame="1"/>
        </w:rPr>
      </w:pPr>
      <w:bookmarkStart w:id="2" w:name="n4"/>
      <w:bookmarkEnd w:id="2"/>
      <w:r>
        <w:rPr>
          <w:color w:val="000000"/>
          <w:bdr w:val="none" w:sz="0" w:space="0" w:color="auto" w:frame="1"/>
        </w:rPr>
        <w:t>Відповідно до </w:t>
      </w:r>
      <w:r>
        <w:rPr>
          <w:bCs/>
          <w:color w:val="000000"/>
        </w:rPr>
        <w:t>підпункту 16) пункту 1 статті 64 та підпункту 20</w:t>
      </w:r>
      <w:r>
        <w:rPr>
          <w:bCs/>
          <w:color w:val="000000"/>
          <w:vertAlign w:val="superscript"/>
        </w:rPr>
        <w:t>3)</w:t>
      </w:r>
      <w:r>
        <w:rPr>
          <w:bCs/>
          <w:color w:val="000000"/>
        </w:rPr>
        <w:t xml:space="preserve"> пункту 1 статті 69</w:t>
      </w:r>
      <w:r>
        <w:rPr>
          <w:b/>
          <w:bCs/>
          <w:color w:val="000000"/>
        </w:rPr>
        <w:t xml:space="preserve"> </w:t>
      </w:r>
      <w:r>
        <w:rPr>
          <w:color w:val="000000"/>
          <w:bdr w:val="none" w:sz="0" w:space="0" w:color="auto" w:frame="1"/>
        </w:rPr>
        <w:t>Бюджетного кодексу України Кабінет Міністрів України </w:t>
      </w:r>
      <w:r>
        <w:rPr>
          <w:b/>
          <w:bCs/>
          <w:color w:val="000000"/>
          <w:spacing w:val="30"/>
          <w:bdr w:val="none" w:sz="0" w:space="0" w:color="auto" w:frame="1"/>
        </w:rPr>
        <w:t>постановляє:</w:t>
      </w:r>
    </w:p>
    <w:p w:rsidR="00C640AA" w:rsidRDefault="00C640AA" w:rsidP="00C640AA">
      <w:pPr>
        <w:pStyle w:val="ad"/>
        <w:numPr>
          <w:ilvl w:val="0"/>
          <w:numId w:val="20"/>
        </w:numPr>
        <w:jc w:val="both"/>
        <w:textAlignment w:val="baseline"/>
        <w:rPr>
          <w:color w:val="000000"/>
          <w:bdr w:val="none" w:sz="0" w:space="0" w:color="auto" w:frame="1"/>
        </w:rPr>
      </w:pPr>
      <w:bookmarkStart w:id="3" w:name="n5"/>
      <w:bookmarkEnd w:id="3"/>
      <w:r>
        <w:rPr>
          <w:bCs/>
          <w:color w:val="000000"/>
        </w:rPr>
        <w:t xml:space="preserve">Затвердити </w:t>
      </w:r>
      <w:bookmarkStart w:id="4" w:name="n6"/>
      <w:bookmarkEnd w:id="4"/>
      <w:r>
        <w:rPr>
          <w:bCs/>
          <w:color w:val="000000"/>
        </w:rPr>
        <w:t>Порядок перерахування акцизного податку з вироблених в Україні та ввезених на митну територію України підакцизних товарів (продукції) в місцеві бюджети</w:t>
      </w:r>
      <w:r>
        <w:rPr>
          <w:color w:val="000000"/>
          <w:bdr w:val="none" w:sz="0" w:space="0" w:color="auto" w:frame="1"/>
        </w:rPr>
        <w:t>.</w:t>
      </w:r>
    </w:p>
    <w:p w:rsidR="00C640AA" w:rsidRDefault="00C640AA" w:rsidP="00C640AA">
      <w:pPr>
        <w:ind w:firstLine="450"/>
        <w:jc w:val="both"/>
        <w:textAlignment w:val="baseline"/>
        <w:rPr>
          <w:color w:val="000000"/>
          <w:bdr w:val="none" w:sz="0" w:space="0" w:color="auto" w:frame="1"/>
        </w:rPr>
      </w:pPr>
    </w:p>
    <w:p w:rsidR="00C640AA" w:rsidRDefault="00C640AA" w:rsidP="00C640AA">
      <w:pPr>
        <w:pStyle w:val="ad"/>
        <w:numPr>
          <w:ilvl w:val="0"/>
          <w:numId w:val="20"/>
        </w:numPr>
        <w:jc w:val="both"/>
        <w:textAlignment w:val="baseline"/>
        <w:rPr>
          <w:bCs/>
          <w:color w:val="000000"/>
        </w:rPr>
      </w:pPr>
      <w:bookmarkStart w:id="5" w:name="n8"/>
      <w:bookmarkEnd w:id="5"/>
      <w:r>
        <w:rPr>
          <w:color w:val="000000"/>
          <w:bdr w:val="none" w:sz="0" w:space="0" w:color="auto" w:frame="1"/>
        </w:rPr>
        <w:t xml:space="preserve">Міністерству фінансів України та Державній фіскальній службі підготувати проекти змін до нормативних актів щодо вимог до РРО, які забезпечень формування звітів про обсяги фізично відпущеного пального </w:t>
      </w:r>
      <w:r>
        <w:rPr>
          <w:bCs/>
          <w:color w:val="000000"/>
        </w:rPr>
        <w:t>з автозаправних станцій (АЗС) та/або автомобільних газозаправних станцій (АГЗС) за кодами УКТЗЕД в розрізі місцевих громад на території яких розташовані відповідні АЗС та/або АГЗС.</w:t>
      </w:r>
    </w:p>
    <w:p w:rsidR="00C640AA" w:rsidRDefault="00C640AA" w:rsidP="00C640AA">
      <w:pPr>
        <w:ind w:firstLine="450"/>
        <w:jc w:val="both"/>
        <w:textAlignment w:val="baseline"/>
        <w:rPr>
          <w:color w:val="000000"/>
          <w:bdr w:val="none" w:sz="0" w:space="0" w:color="auto" w:frame="1"/>
        </w:rPr>
      </w:pPr>
    </w:p>
    <w:p w:rsidR="00C640AA" w:rsidRDefault="00C640AA" w:rsidP="00C640AA">
      <w:pPr>
        <w:shd w:val="clear" w:color="auto" w:fill="FFFFFF"/>
        <w:ind w:left="450" w:right="450"/>
        <w:jc w:val="both"/>
        <w:textAlignment w:val="baseline"/>
        <w:rPr>
          <w:color w:val="0070C0"/>
          <w:bdr w:val="none" w:sz="0" w:space="0" w:color="auto" w:frame="1"/>
        </w:rPr>
      </w:pPr>
      <w:r>
        <w:rPr>
          <w:color w:val="0070C0"/>
          <w:bdr w:val="none" w:sz="0" w:space="0" w:color="auto" w:frame="1"/>
        </w:rPr>
        <w:t>[Наказ Мінфіну № 13 від 21.01.2016р. Про затвердження Положення про форму та зміст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обліку розрахункових операцій (розрахункових книжок).</w:t>
      </w:r>
    </w:p>
    <w:p w:rsidR="00C640AA" w:rsidRDefault="00C640AA" w:rsidP="00C640AA">
      <w:pPr>
        <w:shd w:val="clear" w:color="auto" w:fill="FFFFFF"/>
        <w:ind w:left="450" w:right="450"/>
        <w:jc w:val="both"/>
        <w:textAlignment w:val="baseline"/>
        <w:rPr>
          <w:color w:val="0070C0"/>
          <w:bdr w:val="none" w:sz="0" w:space="0" w:color="auto" w:frame="1"/>
        </w:rPr>
      </w:pPr>
    </w:p>
    <w:p w:rsidR="00C640AA" w:rsidRDefault="00C640AA" w:rsidP="00C640AA">
      <w:pPr>
        <w:shd w:val="clear" w:color="auto" w:fill="FFFFFF"/>
        <w:ind w:left="450" w:right="450"/>
        <w:jc w:val="both"/>
        <w:textAlignment w:val="baseline"/>
        <w:rPr>
          <w:color w:val="0070C0"/>
          <w:bdr w:val="none" w:sz="0" w:space="0" w:color="auto" w:frame="1"/>
        </w:rPr>
      </w:pPr>
      <w:bookmarkStart w:id="6" w:name="o2"/>
      <w:bookmarkEnd w:id="6"/>
      <w:r>
        <w:rPr>
          <w:color w:val="0070C0"/>
          <w:bdr w:val="none" w:sz="0" w:space="0" w:color="auto" w:frame="1"/>
        </w:rPr>
        <w:t xml:space="preserve">Постанова КМУ № 199 від 18 лютого 2002 р. </w:t>
      </w:r>
      <w:bookmarkStart w:id="7" w:name="o3"/>
      <w:bookmarkEnd w:id="7"/>
      <w:r>
        <w:rPr>
          <w:color w:val="0070C0"/>
          <w:bdr w:val="none" w:sz="0" w:space="0" w:color="auto" w:frame="1"/>
        </w:rPr>
        <w:t>Про затвердження вимог щодо реалізації фіскальних функцій реєстраторами розрахункових операцій для різних сфер застосування.]</w:t>
      </w:r>
    </w:p>
    <w:p w:rsidR="00C640AA" w:rsidRDefault="00C640AA" w:rsidP="00C640AA">
      <w:pPr>
        <w:ind w:firstLine="450"/>
        <w:jc w:val="both"/>
        <w:textAlignment w:val="baseline"/>
        <w:rPr>
          <w:color w:val="000000"/>
          <w:bdr w:val="none" w:sz="0" w:space="0" w:color="auto" w:frame="1"/>
        </w:rPr>
      </w:pPr>
    </w:p>
    <w:p w:rsidR="00C640AA" w:rsidRDefault="00C640AA" w:rsidP="00C640AA">
      <w:pPr>
        <w:pStyle w:val="ad"/>
        <w:numPr>
          <w:ilvl w:val="0"/>
          <w:numId w:val="20"/>
        </w:numPr>
        <w:spacing w:after="100"/>
        <w:jc w:val="both"/>
        <w:textAlignment w:val="baseline"/>
        <w:rPr>
          <w:color w:val="000000"/>
          <w:bdr w:val="none" w:sz="0" w:space="0" w:color="auto" w:frame="1"/>
        </w:rPr>
      </w:pPr>
      <w:bookmarkStart w:id="8" w:name="n66"/>
      <w:bookmarkStart w:id="9" w:name="n12"/>
      <w:bookmarkEnd w:id="8"/>
      <w:bookmarkEnd w:id="9"/>
      <w:r>
        <w:rPr>
          <w:color w:val="000000"/>
          <w:bdr w:val="none" w:sz="0" w:space="0" w:color="auto" w:frame="1"/>
        </w:rPr>
        <w:t>Міністерству фінансів надавати роз’яснення щодо застосування Порядку та Методики, затверджених цією постановою.</w:t>
      </w:r>
    </w:p>
    <w:p w:rsidR="00C640AA" w:rsidRDefault="00C640AA" w:rsidP="00C640AA">
      <w:pPr>
        <w:pStyle w:val="ad"/>
        <w:spacing w:after="100"/>
        <w:ind w:left="810"/>
        <w:jc w:val="both"/>
        <w:textAlignment w:val="baseline"/>
        <w:rPr>
          <w:color w:val="000000"/>
          <w:bdr w:val="none" w:sz="0" w:space="0" w:color="auto" w:frame="1"/>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21"/>
        <w:gridCol w:w="7049"/>
      </w:tblGrid>
      <w:tr w:rsidR="00C640AA" w:rsidTr="00C640AA">
        <w:tc>
          <w:tcPr>
            <w:tcW w:w="1500" w:type="pct"/>
            <w:tcBorders>
              <w:top w:val="single" w:sz="2" w:space="0" w:color="auto"/>
              <w:left w:val="single" w:sz="2" w:space="0" w:color="auto"/>
              <w:bottom w:val="single" w:sz="2" w:space="0" w:color="auto"/>
              <w:right w:val="single" w:sz="2" w:space="0" w:color="auto"/>
            </w:tcBorders>
            <w:hideMark/>
          </w:tcPr>
          <w:p w:rsidR="00C640AA" w:rsidRDefault="00C640AA">
            <w:pPr>
              <w:jc w:val="center"/>
              <w:textAlignment w:val="baseline"/>
            </w:pPr>
            <w:bookmarkStart w:id="10" w:name="n13"/>
            <w:bookmarkEnd w:id="10"/>
            <w:r>
              <w:rPr>
                <w:b/>
                <w:bCs/>
                <w:color w:val="000000"/>
                <w:bdr w:val="none" w:sz="0" w:space="0" w:color="auto" w:frame="1"/>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C640AA" w:rsidRDefault="00C640AA">
            <w:pPr>
              <w:jc w:val="right"/>
              <w:textAlignment w:val="baseline"/>
            </w:pPr>
            <w:r>
              <w:rPr>
                <w:b/>
                <w:bCs/>
                <w:color w:val="000000"/>
                <w:bdr w:val="none" w:sz="0" w:space="0" w:color="auto" w:frame="1"/>
              </w:rPr>
              <w:t>В.ГРОЙСМАН</w:t>
            </w:r>
          </w:p>
        </w:tc>
      </w:tr>
    </w:tbl>
    <w:p w:rsidR="00C640AA" w:rsidRDefault="00C640AA" w:rsidP="00C640AA">
      <w:pPr>
        <w:tabs>
          <w:tab w:val="left" w:pos="4373"/>
        </w:tabs>
        <w:ind w:left="3"/>
        <w:textAlignment w:val="baseline"/>
      </w:pPr>
    </w:p>
    <w:p w:rsidR="00C640AA" w:rsidRDefault="00C640AA" w:rsidP="00C640AA">
      <w:pPr>
        <w:spacing w:line="256" w:lineRule="auto"/>
      </w:pPr>
      <w:r>
        <w:br w:type="page"/>
      </w:r>
    </w:p>
    <w:p w:rsidR="00C640AA" w:rsidRDefault="00C640AA" w:rsidP="00C640AA">
      <w:pPr>
        <w:tabs>
          <w:tab w:val="left" w:pos="4373"/>
        </w:tabs>
        <w:ind w:left="3"/>
        <w:textAlignment w:val="baseline"/>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28"/>
        <w:gridCol w:w="6042"/>
      </w:tblGrid>
      <w:tr w:rsidR="00C640AA" w:rsidRPr="00C640AA" w:rsidTr="00C640AA">
        <w:tc>
          <w:tcPr>
            <w:tcW w:w="2000" w:type="pct"/>
            <w:tcBorders>
              <w:top w:val="single" w:sz="2" w:space="0" w:color="auto"/>
              <w:left w:val="single" w:sz="2" w:space="0" w:color="auto"/>
              <w:bottom w:val="single" w:sz="2" w:space="0" w:color="auto"/>
              <w:right w:val="single" w:sz="2" w:space="0" w:color="auto"/>
            </w:tcBorders>
            <w:hideMark/>
          </w:tcPr>
          <w:p w:rsidR="00C640AA" w:rsidRDefault="00C640AA">
            <w:pPr>
              <w:textAlignment w:val="baseline"/>
            </w:pPr>
            <w:bookmarkStart w:id="11" w:name="n61"/>
            <w:bookmarkStart w:id="12" w:name="n14"/>
            <w:bookmarkEnd w:id="11"/>
            <w:bookmarkEnd w:id="12"/>
            <w:r>
              <w:rPr>
                <w:b/>
                <w:bCs/>
                <w:color w:val="000000"/>
                <w:bdr w:val="none" w:sz="0" w:space="0" w:color="auto" w:frame="1"/>
              </w:rPr>
              <w:br/>
            </w:r>
          </w:p>
        </w:tc>
        <w:tc>
          <w:tcPr>
            <w:tcW w:w="3000" w:type="pct"/>
            <w:tcBorders>
              <w:top w:val="single" w:sz="2" w:space="0" w:color="auto"/>
              <w:left w:val="single" w:sz="2" w:space="0" w:color="auto"/>
              <w:bottom w:val="single" w:sz="2" w:space="0" w:color="auto"/>
              <w:right w:val="single" w:sz="2" w:space="0" w:color="auto"/>
            </w:tcBorders>
            <w:hideMark/>
          </w:tcPr>
          <w:p w:rsidR="00C640AA" w:rsidRDefault="00C640AA">
            <w:pPr>
              <w:jc w:val="center"/>
              <w:textAlignment w:val="baseline"/>
            </w:pPr>
            <w:r>
              <w:rPr>
                <w:b/>
                <w:bCs/>
                <w:color w:val="000000"/>
                <w:bdr w:val="none" w:sz="0" w:space="0" w:color="auto" w:frame="1"/>
              </w:rPr>
              <w:t>ЗАТВЕРДЖЕНО</w:t>
            </w:r>
            <w:r>
              <w:t> </w:t>
            </w:r>
            <w:r>
              <w:br/>
            </w:r>
            <w:r>
              <w:rPr>
                <w:b/>
                <w:bCs/>
                <w:color w:val="000000"/>
                <w:bdr w:val="none" w:sz="0" w:space="0" w:color="auto" w:frame="1"/>
              </w:rPr>
              <w:t>постановою Кабінету Міністрів України</w:t>
            </w:r>
            <w:r>
              <w:t> </w:t>
            </w:r>
            <w:r>
              <w:br/>
            </w:r>
            <w:r>
              <w:rPr>
                <w:b/>
                <w:bCs/>
                <w:color w:val="000000"/>
                <w:bdr w:val="none" w:sz="0" w:space="0" w:color="auto" w:frame="1"/>
              </w:rPr>
              <w:t>від ___ _________ 2016 р. № ___</w:t>
            </w:r>
          </w:p>
        </w:tc>
      </w:tr>
    </w:tbl>
    <w:p w:rsidR="00C640AA" w:rsidRDefault="00C640AA" w:rsidP="00C640AA">
      <w:pPr>
        <w:ind w:left="450" w:right="450"/>
        <w:jc w:val="center"/>
        <w:textAlignment w:val="baseline"/>
        <w:rPr>
          <w:color w:val="000000"/>
          <w:bdr w:val="none" w:sz="0" w:space="0" w:color="auto" w:frame="1"/>
        </w:rPr>
      </w:pPr>
      <w:bookmarkStart w:id="13" w:name="n15"/>
      <w:bookmarkEnd w:id="13"/>
      <w:r>
        <w:rPr>
          <w:b/>
          <w:bCs/>
          <w:color w:val="000000"/>
          <w:bdr w:val="none" w:sz="0" w:space="0" w:color="auto" w:frame="1"/>
        </w:rPr>
        <w:t>ПОРЯДОК </w:t>
      </w:r>
      <w:r>
        <w:rPr>
          <w:color w:val="000000"/>
          <w:bdr w:val="none" w:sz="0" w:space="0" w:color="auto" w:frame="1"/>
        </w:rPr>
        <w:br/>
      </w:r>
      <w:r>
        <w:rPr>
          <w:b/>
          <w:bCs/>
          <w:color w:val="000000"/>
          <w:bdr w:val="none" w:sz="0" w:space="0" w:color="auto" w:frame="1"/>
        </w:rPr>
        <w:t>перерахування акцизного податку з вироблених в Україні та ввезених на митну територію України підакцизних товарів (продукції) в місцеві бюджети</w:t>
      </w:r>
    </w:p>
    <w:p w:rsidR="00C640AA" w:rsidRDefault="00C640AA" w:rsidP="00C640AA">
      <w:pPr>
        <w:ind w:firstLine="450"/>
        <w:jc w:val="both"/>
        <w:textAlignment w:val="baseline"/>
        <w:rPr>
          <w:color w:val="000000"/>
          <w:bdr w:val="none" w:sz="0" w:space="0" w:color="auto" w:frame="1"/>
        </w:rPr>
      </w:pPr>
      <w:bookmarkStart w:id="14" w:name="n67"/>
      <w:bookmarkStart w:id="15" w:name="n16"/>
      <w:bookmarkEnd w:id="14"/>
      <w:bookmarkEnd w:id="15"/>
    </w:p>
    <w:p w:rsidR="00C640AA" w:rsidRDefault="00C640AA" w:rsidP="00C640AA">
      <w:pPr>
        <w:pStyle w:val="ad"/>
        <w:numPr>
          <w:ilvl w:val="0"/>
          <w:numId w:val="21"/>
        </w:numPr>
        <w:spacing w:before="120"/>
        <w:ind w:left="805" w:hanging="357"/>
        <w:jc w:val="both"/>
        <w:textAlignment w:val="baseline"/>
        <w:rPr>
          <w:color w:val="000000"/>
          <w:bdr w:val="none" w:sz="0" w:space="0" w:color="auto" w:frame="1"/>
        </w:rPr>
      </w:pPr>
      <w:r>
        <w:rPr>
          <w:color w:val="000000"/>
          <w:bdr w:val="none" w:sz="0" w:space="0" w:color="auto" w:frame="1"/>
        </w:rPr>
        <w:t>Цей Порядок визначає механізм спрямування частини акцизного податку з вироблених в Україні та ввезених на митну територію України підакцизних товарів (продукції) зазначених у підпункті 215.3.4 пункту 215.3 статті 215 Податкового кодексу України до місцевих бюджетів.</w:t>
      </w:r>
    </w:p>
    <w:p w:rsidR="00C640AA" w:rsidRDefault="00C640AA" w:rsidP="00C640AA">
      <w:pPr>
        <w:pStyle w:val="ad"/>
        <w:numPr>
          <w:ilvl w:val="0"/>
          <w:numId w:val="21"/>
        </w:numPr>
        <w:spacing w:before="120"/>
        <w:ind w:left="805" w:hanging="357"/>
        <w:jc w:val="both"/>
        <w:textAlignment w:val="baseline"/>
        <w:rPr>
          <w:color w:val="000000"/>
          <w:bdr w:val="none" w:sz="0" w:space="0" w:color="auto" w:frame="1"/>
        </w:rPr>
      </w:pPr>
      <w:bookmarkStart w:id="16" w:name="n68"/>
      <w:bookmarkStart w:id="17" w:name="n17"/>
      <w:bookmarkEnd w:id="16"/>
      <w:bookmarkEnd w:id="17"/>
      <w:r>
        <w:rPr>
          <w:color w:val="000000"/>
          <w:bdr w:val="none" w:sz="0" w:space="0" w:color="auto" w:frame="1"/>
        </w:rPr>
        <w:t>Обсяг акцизного податку, що підлягає зарахуванню до відповідного місцевого бюджету, визначається за такою формулою:</w:t>
      </w:r>
    </w:p>
    <w:p w:rsidR="00C640AA" w:rsidRDefault="00C640AA" w:rsidP="00C640AA">
      <w:pPr>
        <w:ind w:left="450" w:right="450"/>
        <w:jc w:val="center"/>
        <w:textAlignment w:val="baseline"/>
        <w:rPr>
          <w:color w:val="000000"/>
          <w:sz w:val="28"/>
          <w:szCs w:val="28"/>
          <w:bdr w:val="none" w:sz="0" w:space="0" w:color="auto" w:frame="1"/>
        </w:rPr>
      </w:pPr>
      <w:bookmarkStart w:id="18" w:name="n18"/>
      <w:bookmarkEnd w:id="18"/>
      <w:proofErr w:type="spellStart"/>
      <w:r>
        <w:rPr>
          <w:color w:val="000000"/>
          <w:sz w:val="28"/>
          <w:szCs w:val="28"/>
          <w:bdr w:val="none" w:sz="0" w:space="0" w:color="auto" w:frame="1"/>
        </w:rPr>
        <w:t>МА</w:t>
      </w:r>
      <w:r>
        <w:rPr>
          <w:b/>
          <w:bCs/>
          <w:color w:val="000000"/>
          <w:sz w:val="28"/>
          <w:szCs w:val="28"/>
          <w:bdr w:val="none" w:sz="0" w:space="0" w:color="auto" w:frame="1"/>
          <w:vertAlign w:val="subscript"/>
        </w:rPr>
        <w:t>i</w:t>
      </w:r>
      <w:proofErr w:type="spellEnd"/>
      <w:r>
        <w:rPr>
          <w:color w:val="000000"/>
          <w:sz w:val="28"/>
          <w:szCs w:val="28"/>
          <w:bdr w:val="none" w:sz="0" w:space="0" w:color="auto" w:frame="1"/>
        </w:rPr>
        <w:t xml:space="preserve"> = </w:t>
      </w:r>
      <m:oMath>
        <m:r>
          <w:rPr>
            <w:rFonts w:ascii="Cambria Math" w:hAnsi="Cambria Math"/>
            <w:color w:val="000000"/>
            <w:sz w:val="28"/>
            <w:szCs w:val="28"/>
            <w:bdr w:val="none" w:sz="0" w:space="0" w:color="auto" w:frame="1"/>
          </w:rPr>
          <m:t>СМА×</m:t>
        </m:r>
        <m:sSub>
          <m:sSubPr>
            <m:ctrlPr>
              <w:rPr>
                <w:rFonts w:ascii="Cambria Math" w:hAnsi="Cambria Math"/>
                <w:i/>
                <w:color w:val="000000"/>
                <w:sz w:val="28"/>
                <w:szCs w:val="28"/>
                <w:bdr w:val="none" w:sz="0" w:space="0" w:color="auto" w:frame="1"/>
              </w:rPr>
            </m:ctrlPr>
          </m:sSubPr>
          <m:e>
            <m:r>
              <w:rPr>
                <w:rFonts w:ascii="Cambria Math" w:hAnsi="Cambria Math"/>
                <w:color w:val="000000"/>
                <w:sz w:val="28"/>
                <w:szCs w:val="28"/>
                <w:bdr w:val="none" w:sz="0" w:space="0" w:color="auto" w:frame="1"/>
              </w:rPr>
              <m:t>К</m:t>
            </m:r>
          </m:e>
          <m:sub>
            <m:r>
              <w:rPr>
                <w:rFonts w:ascii="Cambria Math" w:hAnsi="Cambria Math"/>
                <w:color w:val="000000"/>
                <w:sz w:val="28"/>
                <w:szCs w:val="28"/>
                <w:bdr w:val="none" w:sz="0" w:space="0" w:color="auto" w:frame="1"/>
              </w:rPr>
              <m:t>НБУ</m:t>
            </m:r>
          </m:sub>
        </m:sSub>
        <m:r>
          <w:rPr>
            <w:rFonts w:ascii="Cambria Math" w:hAnsi="Cambria Math"/>
            <w:color w:val="000000"/>
            <w:sz w:val="28"/>
            <w:szCs w:val="28"/>
            <w:bdr w:val="none" w:sz="0" w:space="0" w:color="auto" w:frame="1"/>
          </w:rPr>
          <m:t>×</m:t>
        </m:r>
        <m:nary>
          <m:naryPr>
            <m:chr m:val="∑"/>
            <m:limLoc m:val="undOvr"/>
            <m:ctrlPr>
              <w:rPr>
                <w:rFonts w:ascii="Cambria Math" w:hAnsi="Cambria Math"/>
                <w:i/>
                <w:color w:val="000000"/>
                <w:sz w:val="28"/>
                <w:szCs w:val="28"/>
                <w:bdr w:val="none" w:sz="0" w:space="0" w:color="auto" w:frame="1"/>
              </w:rPr>
            </m:ctrlPr>
          </m:naryPr>
          <m:sub>
            <m:r>
              <w:rPr>
                <w:rFonts w:ascii="Cambria Math" w:hAnsi="Cambria Math"/>
                <w:color w:val="000000"/>
                <w:sz w:val="28"/>
                <w:szCs w:val="28"/>
                <w:bdr w:val="none" w:sz="0" w:space="0" w:color="auto" w:frame="1"/>
              </w:rPr>
              <m:t>j=1</m:t>
            </m:r>
          </m:sub>
          <m:sup>
            <m:r>
              <w:rPr>
                <w:rFonts w:ascii="Cambria Math" w:hAnsi="Cambria Math"/>
                <w:color w:val="000000"/>
                <w:sz w:val="28"/>
                <w:szCs w:val="28"/>
                <w:bdr w:val="none" w:sz="0" w:space="0" w:color="auto" w:frame="1"/>
              </w:rPr>
              <m:t>n</m:t>
            </m:r>
          </m:sup>
          <m:e>
            <m:sSubSup>
              <m:sSubSupPr>
                <m:ctrlPr>
                  <w:rPr>
                    <w:rFonts w:ascii="Cambria Math" w:hAnsi="Cambria Math"/>
                    <w:i/>
                    <w:color w:val="000000"/>
                    <w:sz w:val="28"/>
                    <w:szCs w:val="28"/>
                    <w:bdr w:val="none" w:sz="0" w:space="0" w:color="auto" w:frame="1"/>
                  </w:rPr>
                </m:ctrlPr>
              </m:sSubSupPr>
              <m:e>
                <m:r>
                  <w:rPr>
                    <w:rFonts w:ascii="Cambria Math" w:hAnsi="Cambria Math"/>
                    <w:color w:val="000000"/>
                    <w:sz w:val="28"/>
                    <w:szCs w:val="28"/>
                    <w:bdr w:val="none" w:sz="0" w:space="0" w:color="auto" w:frame="1"/>
                  </w:rPr>
                  <m:t>ОЛ</m:t>
                </m:r>
              </m:e>
              <m:sub>
                <m:r>
                  <w:rPr>
                    <w:rFonts w:ascii="Cambria Math" w:hAnsi="Cambria Math"/>
                    <w:color w:val="000000"/>
                    <w:sz w:val="28"/>
                    <w:szCs w:val="28"/>
                    <w:bdr w:val="none" w:sz="0" w:space="0" w:color="auto" w:frame="1"/>
                  </w:rPr>
                  <m:t>j</m:t>
                </m:r>
              </m:sub>
              <m:sup>
                <m:r>
                  <w:rPr>
                    <w:rFonts w:ascii="Cambria Math" w:hAnsi="Cambria Math"/>
                    <w:color w:val="000000"/>
                    <w:sz w:val="28"/>
                    <w:szCs w:val="28"/>
                    <w:bdr w:val="none" w:sz="0" w:space="0" w:color="auto" w:frame="1"/>
                  </w:rPr>
                  <m:t>i</m:t>
                </m:r>
              </m:sup>
            </m:sSubSup>
          </m:e>
        </m:nary>
      </m:oMath>
      <w:bookmarkStart w:id="19" w:name="n69"/>
      <w:bookmarkStart w:id="20" w:name="n19"/>
      <w:bookmarkEnd w:id="19"/>
      <w:bookmarkEnd w:id="20"/>
      <w:r>
        <w:rPr>
          <w:color w:val="000000"/>
          <w:sz w:val="28"/>
          <w:szCs w:val="28"/>
          <w:bdr w:val="none" w:sz="0" w:space="0" w:color="auto" w:frame="1"/>
        </w:rPr>
        <w:t>, де</w:t>
      </w:r>
    </w:p>
    <w:p w:rsidR="00C640AA" w:rsidRDefault="00C640AA" w:rsidP="00C640AA">
      <w:pPr>
        <w:spacing w:before="60"/>
        <w:ind w:left="1843" w:right="450" w:hanging="709"/>
        <w:textAlignment w:val="baseline"/>
        <w:rPr>
          <w:color w:val="000000"/>
          <w:bdr w:val="none" w:sz="0" w:space="0" w:color="auto" w:frame="1"/>
        </w:rPr>
      </w:pPr>
      <w:proofErr w:type="spellStart"/>
      <w:r>
        <w:rPr>
          <w:color w:val="000000"/>
          <w:bdr w:val="none" w:sz="0" w:space="0" w:color="auto" w:frame="1"/>
        </w:rPr>
        <w:t>МАi</w:t>
      </w:r>
      <w:proofErr w:type="spellEnd"/>
      <w:r>
        <w:rPr>
          <w:color w:val="000000"/>
          <w:bdr w:val="none" w:sz="0" w:space="0" w:color="auto" w:frame="1"/>
        </w:rPr>
        <w:t xml:space="preserve"> </w:t>
      </w:r>
      <w:r>
        <w:rPr>
          <w:color w:val="000000"/>
          <w:bdr w:val="none" w:sz="0" w:space="0" w:color="auto" w:frame="1"/>
        </w:rPr>
        <w:tab/>
        <w:t>– сума акцизного податку з пального, яка підлягає зарахуванню до i-того місцевого бюджету за звітний місяць;</w:t>
      </w:r>
    </w:p>
    <w:p w:rsidR="00C640AA" w:rsidRDefault="00C640AA" w:rsidP="00C640AA">
      <w:pPr>
        <w:spacing w:before="60"/>
        <w:ind w:left="1843" w:hanging="709"/>
        <w:jc w:val="both"/>
        <w:textAlignment w:val="baseline"/>
        <w:rPr>
          <w:color w:val="000000"/>
          <w:bdr w:val="none" w:sz="0" w:space="0" w:color="auto" w:frame="1"/>
        </w:rPr>
      </w:pPr>
      <w:bookmarkStart w:id="21" w:name="n20"/>
      <w:bookmarkEnd w:id="21"/>
      <w:r>
        <w:rPr>
          <w:color w:val="000000"/>
          <w:bdr w:val="none" w:sz="0" w:space="0" w:color="auto" w:frame="1"/>
        </w:rPr>
        <w:t xml:space="preserve">СМА </w:t>
      </w:r>
      <w:r>
        <w:rPr>
          <w:color w:val="000000"/>
          <w:bdr w:val="none" w:sz="0" w:space="0" w:color="auto" w:frame="1"/>
        </w:rPr>
        <w:tab/>
        <w:t>– ставка акцизного податку з пального визначена в Бюджетному кодексі України, в згідно якої розраховується розмір акцизного податку, що підлягає зарахуванню в місцевий бюджет;</w:t>
      </w:r>
    </w:p>
    <w:p w:rsidR="00C640AA" w:rsidRDefault="00C640AA" w:rsidP="00C640AA">
      <w:pPr>
        <w:spacing w:before="60"/>
        <w:ind w:left="1843" w:hanging="709"/>
        <w:jc w:val="both"/>
        <w:textAlignment w:val="baseline"/>
        <w:rPr>
          <w:color w:val="000000"/>
          <w:bdr w:val="none" w:sz="0" w:space="0" w:color="auto" w:frame="1"/>
        </w:rPr>
      </w:pPr>
      <w:r>
        <w:rPr>
          <w:color w:val="000000"/>
          <w:bdr w:val="none" w:sz="0" w:space="0" w:color="auto" w:frame="1"/>
        </w:rPr>
        <w:t>К</w:t>
      </w:r>
      <w:r>
        <w:rPr>
          <w:color w:val="000000"/>
          <w:bdr w:val="none" w:sz="0" w:space="0" w:color="auto" w:frame="1"/>
          <w:vertAlign w:val="subscript"/>
        </w:rPr>
        <w:t>НБУ</w:t>
      </w:r>
      <w:r>
        <w:rPr>
          <w:color w:val="000000"/>
          <w:bdr w:val="none" w:sz="0" w:space="0" w:color="auto" w:frame="1"/>
        </w:rPr>
        <w:t xml:space="preserve"> </w:t>
      </w:r>
      <w:r>
        <w:rPr>
          <w:color w:val="000000"/>
          <w:bdr w:val="none" w:sz="0" w:space="0" w:color="auto" w:frame="1"/>
        </w:rPr>
        <w:tab/>
        <w:t>– офіційний курс Національного банку України Євро до гривні станом на 1 число відповідного звітного місяця;</w:t>
      </w:r>
    </w:p>
    <w:p w:rsidR="00C640AA" w:rsidRDefault="006813BE" w:rsidP="00C640AA">
      <w:pPr>
        <w:spacing w:before="60"/>
        <w:ind w:left="1843" w:hanging="709"/>
        <w:jc w:val="both"/>
        <w:textAlignment w:val="baseline"/>
        <w:rPr>
          <w:bCs/>
          <w:color w:val="000000"/>
        </w:rPr>
      </w:pPr>
      <m:oMath>
        <m:sSubSup>
          <m:sSubSupPr>
            <m:ctrlPr>
              <w:rPr>
                <w:rFonts w:ascii="Cambria Math" w:hAnsi="Cambria Math"/>
                <w:i/>
                <w:color w:val="000000"/>
                <w:sz w:val="28"/>
                <w:szCs w:val="28"/>
                <w:bdr w:val="none" w:sz="0" w:space="0" w:color="auto" w:frame="1"/>
              </w:rPr>
            </m:ctrlPr>
          </m:sSubSupPr>
          <m:e>
            <m:r>
              <w:rPr>
                <w:rFonts w:ascii="Cambria Math" w:hAnsi="Cambria Math"/>
                <w:color w:val="000000"/>
                <w:sz w:val="28"/>
                <w:szCs w:val="28"/>
                <w:bdr w:val="none" w:sz="0" w:space="0" w:color="auto" w:frame="1"/>
              </w:rPr>
              <m:t>ОЛ</m:t>
            </m:r>
          </m:e>
          <m:sub>
            <m:r>
              <w:rPr>
                <w:rFonts w:ascii="Cambria Math" w:hAnsi="Cambria Math"/>
                <w:color w:val="000000"/>
                <w:sz w:val="28"/>
                <w:szCs w:val="28"/>
                <w:bdr w:val="none" w:sz="0" w:space="0" w:color="auto" w:frame="1"/>
              </w:rPr>
              <m:t>j</m:t>
            </m:r>
          </m:sub>
          <m:sup>
            <m:r>
              <w:rPr>
                <w:rFonts w:ascii="Cambria Math" w:hAnsi="Cambria Math"/>
                <w:color w:val="000000"/>
                <w:sz w:val="28"/>
                <w:szCs w:val="28"/>
                <w:bdr w:val="none" w:sz="0" w:space="0" w:color="auto" w:frame="1"/>
              </w:rPr>
              <m:t>і</m:t>
            </m:r>
          </m:sup>
        </m:sSubSup>
      </m:oMath>
      <w:r w:rsidR="00C640AA">
        <w:rPr>
          <w:color w:val="000000"/>
          <w:sz w:val="28"/>
          <w:szCs w:val="28"/>
          <w:bdr w:val="none" w:sz="0" w:space="0" w:color="auto" w:frame="1"/>
        </w:rPr>
        <w:t xml:space="preserve"> </w:t>
      </w:r>
      <w:r w:rsidR="00C640AA">
        <w:rPr>
          <w:color w:val="000000"/>
          <w:sz w:val="28"/>
          <w:szCs w:val="28"/>
          <w:bdr w:val="none" w:sz="0" w:space="0" w:color="auto" w:frame="1"/>
        </w:rPr>
        <w:tab/>
      </w:r>
      <w:r w:rsidR="00C640AA">
        <w:rPr>
          <w:color w:val="000000"/>
          <w:bdr w:val="none" w:sz="0" w:space="0" w:color="auto" w:frame="1"/>
        </w:rPr>
        <w:t xml:space="preserve">– обсяг в літрах фізично відпущеного пального </w:t>
      </w:r>
      <w:r w:rsidR="00C640AA">
        <w:rPr>
          <w:bCs/>
          <w:color w:val="000000"/>
        </w:rPr>
        <w:t xml:space="preserve">за j-тим кодом УКТЗЕД з усіх АЗС та/або АГЗС, розташованих на території i-тої </w:t>
      </w:r>
      <w:r w:rsidR="00C640AA">
        <w:rPr>
          <w:b/>
          <w:bCs/>
          <w:color w:val="000000"/>
        </w:rPr>
        <w:t xml:space="preserve">територіальної </w:t>
      </w:r>
      <w:r w:rsidR="00C640AA">
        <w:rPr>
          <w:bCs/>
          <w:color w:val="000000"/>
        </w:rPr>
        <w:t xml:space="preserve">громади </w:t>
      </w:r>
      <w:r w:rsidR="00C640AA">
        <w:rPr>
          <w:color w:val="000000"/>
          <w:bdr w:val="none" w:sz="0" w:space="0" w:color="auto" w:frame="1"/>
        </w:rPr>
        <w:t xml:space="preserve">(за кодами КОАТУУ) </w:t>
      </w:r>
      <w:r w:rsidR="00C640AA">
        <w:rPr>
          <w:bCs/>
          <w:color w:val="000000"/>
        </w:rPr>
        <w:t xml:space="preserve">протягом звітного місяця </w:t>
      </w:r>
      <w:r w:rsidR="00C640AA">
        <w:rPr>
          <w:b/>
          <w:bCs/>
          <w:color w:val="000000"/>
        </w:rPr>
        <w:t>за даними Державної</w:t>
      </w:r>
      <w:r w:rsidR="00C640AA">
        <w:rPr>
          <w:bCs/>
          <w:color w:val="000000"/>
        </w:rPr>
        <w:t xml:space="preserve"> </w:t>
      </w:r>
      <w:r w:rsidR="00C640AA">
        <w:rPr>
          <w:b/>
          <w:bCs/>
          <w:color w:val="000000"/>
        </w:rPr>
        <w:t>фіскальної служби України</w:t>
      </w:r>
      <w:r w:rsidR="00C640AA">
        <w:rPr>
          <w:bCs/>
          <w:color w:val="000000"/>
        </w:rPr>
        <w:t>.</w:t>
      </w:r>
    </w:p>
    <w:p w:rsidR="00C640AA" w:rsidRDefault="00C640AA" w:rsidP="00C640AA">
      <w:pPr>
        <w:ind w:firstLine="450"/>
        <w:jc w:val="both"/>
        <w:textAlignment w:val="baseline"/>
        <w:rPr>
          <w:color w:val="000000"/>
          <w:bdr w:val="none" w:sz="0" w:space="0" w:color="auto" w:frame="1"/>
        </w:rPr>
      </w:pPr>
    </w:p>
    <w:p w:rsidR="00C640AA" w:rsidRDefault="00C640AA" w:rsidP="00C640AA">
      <w:pPr>
        <w:pStyle w:val="ad"/>
        <w:numPr>
          <w:ilvl w:val="0"/>
          <w:numId w:val="21"/>
        </w:numPr>
        <w:spacing w:before="120"/>
        <w:ind w:left="805" w:hanging="357"/>
        <w:jc w:val="both"/>
        <w:textAlignment w:val="baseline"/>
        <w:rPr>
          <w:color w:val="000000"/>
          <w:bdr w:val="none" w:sz="0" w:space="0" w:color="auto" w:frame="1"/>
        </w:rPr>
      </w:pPr>
      <w:bookmarkStart w:id="22" w:name="n21"/>
      <w:bookmarkEnd w:id="22"/>
      <w:r>
        <w:rPr>
          <w:color w:val="000000"/>
          <w:bdr w:val="none" w:sz="0" w:space="0" w:color="auto" w:frame="1"/>
        </w:rPr>
        <w:t xml:space="preserve">Державна фіскальна служба України до 10 числа місяця, що настає за звітним </w:t>
      </w:r>
      <w:r>
        <w:rPr>
          <w:b/>
          <w:color w:val="000000"/>
          <w:bdr w:val="none" w:sz="0" w:space="0" w:color="auto" w:frame="1"/>
        </w:rPr>
        <w:t>надає</w:t>
      </w:r>
      <w:r>
        <w:rPr>
          <w:color w:val="000000"/>
          <w:bdr w:val="none" w:sz="0" w:space="0" w:color="auto" w:frame="1"/>
        </w:rPr>
        <w:t xml:space="preserve"> </w:t>
      </w:r>
      <w:r>
        <w:rPr>
          <w:b/>
          <w:color w:val="000000"/>
          <w:bdr w:val="none" w:sz="0" w:space="0" w:color="auto" w:frame="1"/>
        </w:rPr>
        <w:t>Державній казначейській службі України</w:t>
      </w:r>
      <w:r>
        <w:rPr>
          <w:color w:val="000000"/>
          <w:bdr w:val="none" w:sz="0" w:space="0" w:color="auto" w:frame="1"/>
        </w:rPr>
        <w:t xml:space="preserve"> </w:t>
      </w:r>
      <w:r>
        <w:rPr>
          <w:b/>
          <w:color w:val="000000"/>
          <w:bdr w:val="none" w:sz="0" w:space="0" w:color="auto" w:frame="1"/>
        </w:rPr>
        <w:t>реєстри</w:t>
      </w:r>
      <w:r>
        <w:rPr>
          <w:color w:val="000000"/>
          <w:bdr w:val="none" w:sz="0" w:space="0" w:color="auto" w:frame="1"/>
        </w:rPr>
        <w:t xml:space="preserve"> обсягів фізично відпущених літрів пального (</w:t>
      </w:r>
      <m:oMath>
        <m:nary>
          <m:naryPr>
            <m:chr m:val="∑"/>
            <m:limLoc m:val="undOvr"/>
            <m:ctrlPr>
              <w:rPr>
                <w:rFonts w:ascii="Cambria Math" w:hAnsi="Cambria Math"/>
                <w:color w:val="000000"/>
                <w:bdr w:val="none" w:sz="0" w:space="0" w:color="auto" w:frame="1"/>
              </w:rPr>
            </m:ctrlPr>
          </m:naryPr>
          <m:sub>
            <m:r>
              <w:rPr>
                <w:rFonts w:ascii="Cambria Math" w:hAnsi="Cambria Math"/>
                <w:color w:val="000000"/>
                <w:bdr w:val="none" w:sz="0" w:space="0" w:color="auto" w:frame="1"/>
              </w:rPr>
              <m:t>j</m:t>
            </m:r>
            <m:r>
              <m:rPr>
                <m:sty m:val="p"/>
              </m:rPr>
              <w:rPr>
                <w:rFonts w:ascii="Cambria Math" w:hAnsi="Cambria Math"/>
                <w:color w:val="000000"/>
                <w:bdr w:val="none" w:sz="0" w:space="0" w:color="auto" w:frame="1"/>
              </w:rPr>
              <m:t>=1</m:t>
            </m:r>
          </m:sub>
          <m:sup>
            <m:r>
              <w:rPr>
                <w:rFonts w:ascii="Cambria Math" w:hAnsi="Cambria Math"/>
                <w:color w:val="000000"/>
                <w:bdr w:val="none" w:sz="0" w:space="0" w:color="auto" w:frame="1"/>
              </w:rPr>
              <m:t>n</m:t>
            </m:r>
          </m:sup>
          <m:e>
            <m:sSubSup>
              <m:sSubSupPr>
                <m:ctrlPr>
                  <w:rPr>
                    <w:rFonts w:ascii="Cambria Math" w:hAnsi="Cambria Math"/>
                    <w:color w:val="000000"/>
                    <w:bdr w:val="none" w:sz="0" w:space="0" w:color="auto" w:frame="1"/>
                  </w:rPr>
                </m:ctrlPr>
              </m:sSubSupPr>
              <m:e>
                <m:r>
                  <m:rPr>
                    <m:sty m:val="p"/>
                  </m:rPr>
                  <w:rPr>
                    <w:rFonts w:ascii="Cambria Math" w:hAnsi="Cambria Math"/>
                    <w:color w:val="000000"/>
                    <w:bdr w:val="none" w:sz="0" w:space="0" w:color="auto" w:frame="1"/>
                  </w:rPr>
                  <m:t>ОЛ</m:t>
                </m:r>
              </m:e>
              <m:sub>
                <m:r>
                  <w:rPr>
                    <w:rFonts w:ascii="Cambria Math" w:hAnsi="Cambria Math"/>
                    <w:color w:val="000000"/>
                    <w:bdr w:val="none" w:sz="0" w:space="0" w:color="auto" w:frame="1"/>
                  </w:rPr>
                  <m:t>j</m:t>
                </m:r>
              </m:sub>
              <m:sup>
                <m:r>
                  <w:rPr>
                    <w:rFonts w:ascii="Cambria Math" w:hAnsi="Cambria Math"/>
                    <w:color w:val="000000"/>
                    <w:bdr w:val="none" w:sz="0" w:space="0" w:color="auto" w:frame="1"/>
                  </w:rPr>
                  <m:t>i</m:t>
                </m:r>
              </m:sup>
            </m:sSubSup>
          </m:e>
        </m:nary>
        <m:r>
          <m:rPr>
            <m:sty m:val="p"/>
          </m:rPr>
          <w:rPr>
            <w:rFonts w:ascii="Cambria Math" w:hAnsi="Cambria Math"/>
            <w:color w:val="000000"/>
            <w:bdr w:val="none" w:sz="0" w:space="0" w:color="auto" w:frame="1"/>
          </w:rPr>
          <m:t>)</m:t>
        </m:r>
      </m:oMath>
      <w:r>
        <w:rPr>
          <w:color w:val="000000"/>
          <w:bdr w:val="none" w:sz="0" w:space="0" w:color="auto" w:frame="1"/>
        </w:rPr>
        <w:t xml:space="preserve"> в розрізі місцевих </w:t>
      </w:r>
      <w:r>
        <w:rPr>
          <w:b/>
          <w:color w:val="000000"/>
          <w:bdr w:val="none" w:sz="0" w:space="0" w:color="auto" w:frame="1"/>
        </w:rPr>
        <w:t>бюджетів</w:t>
      </w:r>
      <w:r>
        <w:rPr>
          <w:color w:val="000000"/>
          <w:bdr w:val="none" w:sz="0" w:space="0" w:color="auto" w:frame="1"/>
        </w:rPr>
        <w:t xml:space="preserve"> (за кодами КОАТУУ) за звітний місяць.</w:t>
      </w:r>
    </w:p>
    <w:p w:rsidR="00C640AA" w:rsidRDefault="00C640AA" w:rsidP="00C640AA">
      <w:pPr>
        <w:pStyle w:val="ad"/>
        <w:numPr>
          <w:ilvl w:val="0"/>
          <w:numId w:val="21"/>
        </w:numPr>
        <w:spacing w:before="120"/>
        <w:ind w:left="805" w:hanging="357"/>
        <w:jc w:val="both"/>
        <w:textAlignment w:val="baseline"/>
        <w:rPr>
          <w:color w:val="000000"/>
          <w:bdr w:val="none" w:sz="0" w:space="0" w:color="auto" w:frame="1"/>
        </w:rPr>
      </w:pPr>
      <w:r>
        <w:rPr>
          <w:b/>
          <w:color w:val="000000"/>
          <w:bdr w:val="none" w:sz="0" w:space="0" w:color="auto" w:frame="1"/>
        </w:rPr>
        <w:t xml:space="preserve">Державна казначейська служба України </w:t>
      </w:r>
      <w:r>
        <w:rPr>
          <w:color w:val="000000"/>
          <w:bdr w:val="none" w:sz="0" w:space="0" w:color="auto" w:frame="1"/>
        </w:rPr>
        <w:t xml:space="preserve">до </w:t>
      </w:r>
      <w:r>
        <w:rPr>
          <w:b/>
          <w:color w:val="000000"/>
          <w:bdr w:val="none" w:sz="0" w:space="0" w:color="auto" w:frame="1"/>
        </w:rPr>
        <w:t xml:space="preserve">15 </w:t>
      </w:r>
      <w:r>
        <w:rPr>
          <w:color w:val="000000"/>
          <w:bdr w:val="none" w:sz="0" w:space="0" w:color="auto" w:frame="1"/>
        </w:rPr>
        <w:t xml:space="preserve">числа місяця, що настає за звітним забезпечує перерахування </w:t>
      </w:r>
      <w:r>
        <w:rPr>
          <w:b/>
          <w:color w:val="000000"/>
          <w:bdr w:val="none" w:sz="0" w:space="0" w:color="auto" w:frame="1"/>
        </w:rPr>
        <w:t>до загального фонду</w:t>
      </w:r>
      <w:r>
        <w:rPr>
          <w:color w:val="000000"/>
          <w:bdr w:val="none" w:sz="0" w:space="0" w:color="auto" w:frame="1"/>
        </w:rPr>
        <w:t xml:space="preserve"> </w:t>
      </w:r>
      <w:r>
        <w:rPr>
          <w:b/>
          <w:color w:val="000000"/>
          <w:bdr w:val="none" w:sz="0" w:space="0" w:color="auto" w:frame="1"/>
        </w:rPr>
        <w:t>відповідних місцевих бюджетів</w:t>
      </w:r>
      <w:r>
        <w:rPr>
          <w:color w:val="000000"/>
          <w:bdr w:val="none" w:sz="0" w:space="0" w:color="auto" w:frame="1"/>
        </w:rPr>
        <w:t xml:space="preserve"> сум акцизного податку з пального, визначеного на підставі формули поданої у пункті 2 цього Порядку.</w:t>
      </w:r>
    </w:p>
    <w:p w:rsidR="00C640AA" w:rsidRDefault="00C640AA" w:rsidP="00C640AA">
      <w:pPr>
        <w:pStyle w:val="ad"/>
        <w:numPr>
          <w:ilvl w:val="0"/>
          <w:numId w:val="21"/>
        </w:numPr>
        <w:spacing w:before="120"/>
        <w:ind w:left="805" w:hanging="357"/>
        <w:jc w:val="both"/>
        <w:textAlignment w:val="baseline"/>
        <w:rPr>
          <w:color w:val="000000"/>
          <w:bdr w:val="none" w:sz="0" w:space="0" w:color="auto" w:frame="1"/>
        </w:rPr>
      </w:pPr>
      <w:bookmarkStart w:id="23" w:name="n70"/>
      <w:bookmarkStart w:id="24" w:name="n22"/>
      <w:bookmarkEnd w:id="23"/>
      <w:bookmarkEnd w:id="24"/>
      <w:r>
        <w:rPr>
          <w:color w:val="000000"/>
          <w:bdr w:val="none" w:sz="0" w:space="0" w:color="auto" w:frame="1"/>
        </w:rPr>
        <w:t>У звітності про виконання державного та місцевих бюджетів зазначені операції відображаються за відповідними кодами класифікації доходів бюджетів.</w:t>
      </w:r>
    </w:p>
    <w:p w:rsidR="00C640AA" w:rsidRPr="0097493E" w:rsidRDefault="00C640AA">
      <w:pPr>
        <w:jc w:val="both"/>
        <w:rPr>
          <w:b/>
        </w:rPr>
      </w:pPr>
    </w:p>
    <w:sectPr w:rsidR="00C640AA" w:rsidRPr="0097493E" w:rsidSect="00A97B35">
      <w:headerReference w:type="even" r:id="rId13"/>
      <w:headerReference w:type="default" r:id="rId14"/>
      <w:footerReference w:type="default" r:id="rId15"/>
      <w:headerReference w:type="first" r:id="rId16"/>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BE" w:rsidRDefault="006813BE" w:rsidP="00742BAD">
      <w:r>
        <w:separator/>
      </w:r>
    </w:p>
  </w:endnote>
  <w:endnote w:type="continuationSeparator" w:id="0">
    <w:p w:rsidR="006813BE" w:rsidRDefault="006813BE"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BE" w:rsidRDefault="006813BE" w:rsidP="00742BAD">
      <w:r>
        <w:separator/>
      </w:r>
    </w:p>
  </w:footnote>
  <w:footnote w:type="continuationSeparator" w:id="0">
    <w:p w:rsidR="006813BE" w:rsidRDefault="006813BE"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6813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6813BE"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lang w:val="en-US" w:eastAsia="en-US"/>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6813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A1"/>
    <w:multiLevelType w:val="hybridMultilevel"/>
    <w:tmpl w:val="F318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BA57638"/>
    <w:multiLevelType w:val="hybridMultilevel"/>
    <w:tmpl w:val="32D22E3A"/>
    <w:lvl w:ilvl="0" w:tplc="5AF2576E">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4">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D5069D"/>
    <w:multiLevelType w:val="hybridMultilevel"/>
    <w:tmpl w:val="32D22E3A"/>
    <w:lvl w:ilvl="0" w:tplc="5AF2576E">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6">
    <w:nsid w:val="634E658C"/>
    <w:multiLevelType w:val="hybridMultilevel"/>
    <w:tmpl w:val="01CC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73815A57"/>
    <w:multiLevelType w:val="hybridMultilevel"/>
    <w:tmpl w:val="0504E7EC"/>
    <w:lvl w:ilvl="0" w:tplc="0409000F">
      <w:start w:val="1"/>
      <w:numFmt w:val="decimal"/>
      <w:lvlText w:val="%1."/>
      <w:lvlJc w:val="left"/>
      <w:pPr>
        <w:ind w:left="720" w:hanging="360"/>
      </w:pPr>
    </w:lvl>
    <w:lvl w:ilvl="1" w:tplc="FA6A7024">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1"/>
  </w:num>
  <w:num w:numId="3">
    <w:abstractNumId w:val="12"/>
  </w:num>
  <w:num w:numId="4">
    <w:abstractNumId w:val="6"/>
  </w:num>
  <w:num w:numId="5">
    <w:abstractNumId w:val="14"/>
  </w:num>
  <w:num w:numId="6">
    <w:abstractNumId w:val="9"/>
  </w:num>
  <w:num w:numId="7">
    <w:abstractNumId w:val="5"/>
  </w:num>
  <w:num w:numId="8">
    <w:abstractNumId w:val="11"/>
  </w:num>
  <w:num w:numId="9">
    <w:abstractNumId w:val="10"/>
  </w:num>
  <w:num w:numId="10">
    <w:abstractNumId w:val="19"/>
  </w:num>
  <w:num w:numId="11">
    <w:abstractNumId w:val="8"/>
  </w:num>
  <w:num w:numId="12">
    <w:abstractNumId w:val="2"/>
  </w:num>
  <w:num w:numId="13">
    <w:abstractNumId w:val="20"/>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0"/>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37278"/>
    <w:rsid w:val="0004037E"/>
    <w:rsid w:val="000426AB"/>
    <w:rsid w:val="000429DF"/>
    <w:rsid w:val="00047D13"/>
    <w:rsid w:val="000563D0"/>
    <w:rsid w:val="00065140"/>
    <w:rsid w:val="00067386"/>
    <w:rsid w:val="000712AD"/>
    <w:rsid w:val="000713D1"/>
    <w:rsid w:val="00072CB3"/>
    <w:rsid w:val="000764D8"/>
    <w:rsid w:val="0008718A"/>
    <w:rsid w:val="00090086"/>
    <w:rsid w:val="000A4E69"/>
    <w:rsid w:val="000A5203"/>
    <w:rsid w:val="000B0DBE"/>
    <w:rsid w:val="000B1AC6"/>
    <w:rsid w:val="000D18EA"/>
    <w:rsid w:val="000D2EE8"/>
    <w:rsid w:val="000E1D29"/>
    <w:rsid w:val="000E3826"/>
    <w:rsid w:val="000E63EE"/>
    <w:rsid w:val="000F0214"/>
    <w:rsid w:val="000F30BD"/>
    <w:rsid w:val="00103815"/>
    <w:rsid w:val="00107751"/>
    <w:rsid w:val="001121F8"/>
    <w:rsid w:val="001129C6"/>
    <w:rsid w:val="001144A8"/>
    <w:rsid w:val="001368E3"/>
    <w:rsid w:val="0014059B"/>
    <w:rsid w:val="00154087"/>
    <w:rsid w:val="00165464"/>
    <w:rsid w:val="00167C1D"/>
    <w:rsid w:val="00171451"/>
    <w:rsid w:val="00173309"/>
    <w:rsid w:val="00176FC0"/>
    <w:rsid w:val="00182929"/>
    <w:rsid w:val="0018462B"/>
    <w:rsid w:val="0018481A"/>
    <w:rsid w:val="00186927"/>
    <w:rsid w:val="001949C6"/>
    <w:rsid w:val="001A49ED"/>
    <w:rsid w:val="001A7A1C"/>
    <w:rsid w:val="001B1E0E"/>
    <w:rsid w:val="001C1914"/>
    <w:rsid w:val="001C5DFB"/>
    <w:rsid w:val="001F2EDF"/>
    <w:rsid w:val="00201D61"/>
    <w:rsid w:val="00204B14"/>
    <w:rsid w:val="00206E58"/>
    <w:rsid w:val="00207625"/>
    <w:rsid w:val="002129E8"/>
    <w:rsid w:val="00230124"/>
    <w:rsid w:val="002424FC"/>
    <w:rsid w:val="002435A5"/>
    <w:rsid w:val="0024725D"/>
    <w:rsid w:val="002560CF"/>
    <w:rsid w:val="002722B6"/>
    <w:rsid w:val="002819F1"/>
    <w:rsid w:val="00286295"/>
    <w:rsid w:val="00293BCD"/>
    <w:rsid w:val="00294906"/>
    <w:rsid w:val="002A1E61"/>
    <w:rsid w:val="002B416F"/>
    <w:rsid w:val="002B41E3"/>
    <w:rsid w:val="002B60F0"/>
    <w:rsid w:val="002C4CD3"/>
    <w:rsid w:val="002D1292"/>
    <w:rsid w:val="002E1592"/>
    <w:rsid w:val="002F10D6"/>
    <w:rsid w:val="00302E2C"/>
    <w:rsid w:val="00310407"/>
    <w:rsid w:val="003119DD"/>
    <w:rsid w:val="00311B6E"/>
    <w:rsid w:val="0031780C"/>
    <w:rsid w:val="00320A56"/>
    <w:rsid w:val="00326293"/>
    <w:rsid w:val="00331BF9"/>
    <w:rsid w:val="003323AC"/>
    <w:rsid w:val="003335FB"/>
    <w:rsid w:val="00336BB2"/>
    <w:rsid w:val="00350E18"/>
    <w:rsid w:val="0036110F"/>
    <w:rsid w:val="0036249D"/>
    <w:rsid w:val="0036794C"/>
    <w:rsid w:val="00377540"/>
    <w:rsid w:val="00385169"/>
    <w:rsid w:val="00386D3A"/>
    <w:rsid w:val="003979A2"/>
    <w:rsid w:val="003A1F50"/>
    <w:rsid w:val="003B5ED9"/>
    <w:rsid w:val="003B74BB"/>
    <w:rsid w:val="003C1500"/>
    <w:rsid w:val="003D520D"/>
    <w:rsid w:val="003E256D"/>
    <w:rsid w:val="003E4E18"/>
    <w:rsid w:val="003F0939"/>
    <w:rsid w:val="003F7D10"/>
    <w:rsid w:val="00404E0F"/>
    <w:rsid w:val="00410837"/>
    <w:rsid w:val="00413B48"/>
    <w:rsid w:val="004155BC"/>
    <w:rsid w:val="00420ED4"/>
    <w:rsid w:val="0043210C"/>
    <w:rsid w:val="004329B3"/>
    <w:rsid w:val="00440422"/>
    <w:rsid w:val="0045328F"/>
    <w:rsid w:val="00465F45"/>
    <w:rsid w:val="00472201"/>
    <w:rsid w:val="00487357"/>
    <w:rsid w:val="00487B06"/>
    <w:rsid w:val="00497FFD"/>
    <w:rsid w:val="004A043D"/>
    <w:rsid w:val="004B4344"/>
    <w:rsid w:val="004B4D55"/>
    <w:rsid w:val="004B64F6"/>
    <w:rsid w:val="004C0963"/>
    <w:rsid w:val="004C15D3"/>
    <w:rsid w:val="004C3FCF"/>
    <w:rsid w:val="004D20C7"/>
    <w:rsid w:val="004E2BFA"/>
    <w:rsid w:val="004E394C"/>
    <w:rsid w:val="004E7215"/>
    <w:rsid w:val="00531003"/>
    <w:rsid w:val="00545DBA"/>
    <w:rsid w:val="00547C35"/>
    <w:rsid w:val="00555217"/>
    <w:rsid w:val="00556F08"/>
    <w:rsid w:val="0056346F"/>
    <w:rsid w:val="00567698"/>
    <w:rsid w:val="00570FD0"/>
    <w:rsid w:val="00581BFA"/>
    <w:rsid w:val="00590E60"/>
    <w:rsid w:val="005A0673"/>
    <w:rsid w:val="005A27B1"/>
    <w:rsid w:val="005A6A22"/>
    <w:rsid w:val="005C0201"/>
    <w:rsid w:val="005D0C5B"/>
    <w:rsid w:val="005D7303"/>
    <w:rsid w:val="005E3EA3"/>
    <w:rsid w:val="005E64FC"/>
    <w:rsid w:val="005F1110"/>
    <w:rsid w:val="006007A6"/>
    <w:rsid w:val="00604697"/>
    <w:rsid w:val="00612DEE"/>
    <w:rsid w:val="00612EE6"/>
    <w:rsid w:val="00624704"/>
    <w:rsid w:val="006356E2"/>
    <w:rsid w:val="00642A4C"/>
    <w:rsid w:val="0064737E"/>
    <w:rsid w:val="006813BE"/>
    <w:rsid w:val="00682652"/>
    <w:rsid w:val="00682C77"/>
    <w:rsid w:val="0068417E"/>
    <w:rsid w:val="006A0F1F"/>
    <w:rsid w:val="006A48BA"/>
    <w:rsid w:val="006A6338"/>
    <w:rsid w:val="006A63D0"/>
    <w:rsid w:val="006B26A5"/>
    <w:rsid w:val="006D2C33"/>
    <w:rsid w:val="006D63E3"/>
    <w:rsid w:val="006D6942"/>
    <w:rsid w:val="00712510"/>
    <w:rsid w:val="00722997"/>
    <w:rsid w:val="00742BAD"/>
    <w:rsid w:val="0076187F"/>
    <w:rsid w:val="00765CFE"/>
    <w:rsid w:val="00784D33"/>
    <w:rsid w:val="00784D53"/>
    <w:rsid w:val="0078776B"/>
    <w:rsid w:val="007939AA"/>
    <w:rsid w:val="007A2437"/>
    <w:rsid w:val="007A465A"/>
    <w:rsid w:val="007B65CD"/>
    <w:rsid w:val="007C2209"/>
    <w:rsid w:val="007C4A88"/>
    <w:rsid w:val="007C500B"/>
    <w:rsid w:val="007C508D"/>
    <w:rsid w:val="007E6323"/>
    <w:rsid w:val="007E7B79"/>
    <w:rsid w:val="007F3122"/>
    <w:rsid w:val="007F31E2"/>
    <w:rsid w:val="007F381B"/>
    <w:rsid w:val="007F691E"/>
    <w:rsid w:val="00803852"/>
    <w:rsid w:val="00807AD4"/>
    <w:rsid w:val="008135B8"/>
    <w:rsid w:val="00822E86"/>
    <w:rsid w:val="008253F3"/>
    <w:rsid w:val="00826CC3"/>
    <w:rsid w:val="00834080"/>
    <w:rsid w:val="00837CAC"/>
    <w:rsid w:val="008406CF"/>
    <w:rsid w:val="008509D2"/>
    <w:rsid w:val="00851029"/>
    <w:rsid w:val="00852D2F"/>
    <w:rsid w:val="0085755E"/>
    <w:rsid w:val="00866DC7"/>
    <w:rsid w:val="00876D67"/>
    <w:rsid w:val="00877CFB"/>
    <w:rsid w:val="0089188B"/>
    <w:rsid w:val="0089440A"/>
    <w:rsid w:val="008A6C42"/>
    <w:rsid w:val="008B0CB1"/>
    <w:rsid w:val="008B4252"/>
    <w:rsid w:val="008C17A6"/>
    <w:rsid w:val="008C32A0"/>
    <w:rsid w:val="008C457F"/>
    <w:rsid w:val="008D7BE7"/>
    <w:rsid w:val="008E18A2"/>
    <w:rsid w:val="008F18A6"/>
    <w:rsid w:val="008F264B"/>
    <w:rsid w:val="009029FE"/>
    <w:rsid w:val="00912808"/>
    <w:rsid w:val="00913EF0"/>
    <w:rsid w:val="00920E9D"/>
    <w:rsid w:val="0093791A"/>
    <w:rsid w:val="009477B5"/>
    <w:rsid w:val="009553F2"/>
    <w:rsid w:val="00965AA4"/>
    <w:rsid w:val="00973BDE"/>
    <w:rsid w:val="0097493E"/>
    <w:rsid w:val="00980DE8"/>
    <w:rsid w:val="009A0B4F"/>
    <w:rsid w:val="009A3AA3"/>
    <w:rsid w:val="009A4C99"/>
    <w:rsid w:val="009D064C"/>
    <w:rsid w:val="009D1CA0"/>
    <w:rsid w:val="009D325B"/>
    <w:rsid w:val="00A01FE2"/>
    <w:rsid w:val="00A11672"/>
    <w:rsid w:val="00A12DEE"/>
    <w:rsid w:val="00A131A0"/>
    <w:rsid w:val="00A14BCE"/>
    <w:rsid w:val="00A251CA"/>
    <w:rsid w:val="00A30D0B"/>
    <w:rsid w:val="00A439A3"/>
    <w:rsid w:val="00A43A89"/>
    <w:rsid w:val="00A4627F"/>
    <w:rsid w:val="00A6453B"/>
    <w:rsid w:val="00A67A7A"/>
    <w:rsid w:val="00A70CC1"/>
    <w:rsid w:val="00A752C8"/>
    <w:rsid w:val="00A87B6D"/>
    <w:rsid w:val="00A93288"/>
    <w:rsid w:val="00A96292"/>
    <w:rsid w:val="00A97B35"/>
    <w:rsid w:val="00AA5274"/>
    <w:rsid w:val="00AA56AF"/>
    <w:rsid w:val="00AA5FEB"/>
    <w:rsid w:val="00AA754D"/>
    <w:rsid w:val="00AB2468"/>
    <w:rsid w:val="00AB53E9"/>
    <w:rsid w:val="00AB64F3"/>
    <w:rsid w:val="00AC1320"/>
    <w:rsid w:val="00AC6F02"/>
    <w:rsid w:val="00AD0C4E"/>
    <w:rsid w:val="00AD4AC3"/>
    <w:rsid w:val="00AF3B32"/>
    <w:rsid w:val="00B05663"/>
    <w:rsid w:val="00B05BD1"/>
    <w:rsid w:val="00B100FA"/>
    <w:rsid w:val="00B15706"/>
    <w:rsid w:val="00B32412"/>
    <w:rsid w:val="00B33EF2"/>
    <w:rsid w:val="00B35E9D"/>
    <w:rsid w:val="00B37528"/>
    <w:rsid w:val="00B5115E"/>
    <w:rsid w:val="00B52F2E"/>
    <w:rsid w:val="00B53A2A"/>
    <w:rsid w:val="00B57472"/>
    <w:rsid w:val="00B61287"/>
    <w:rsid w:val="00B623F5"/>
    <w:rsid w:val="00B657BF"/>
    <w:rsid w:val="00B65B5F"/>
    <w:rsid w:val="00B66014"/>
    <w:rsid w:val="00B71FE4"/>
    <w:rsid w:val="00B73268"/>
    <w:rsid w:val="00B74200"/>
    <w:rsid w:val="00B8254B"/>
    <w:rsid w:val="00BA16F8"/>
    <w:rsid w:val="00BA584D"/>
    <w:rsid w:val="00BA7398"/>
    <w:rsid w:val="00BB48EA"/>
    <w:rsid w:val="00BD2FF7"/>
    <w:rsid w:val="00BD4DF2"/>
    <w:rsid w:val="00BD6D3D"/>
    <w:rsid w:val="00BE65BC"/>
    <w:rsid w:val="00BF4A2A"/>
    <w:rsid w:val="00C1019E"/>
    <w:rsid w:val="00C129D5"/>
    <w:rsid w:val="00C13862"/>
    <w:rsid w:val="00C13893"/>
    <w:rsid w:val="00C2053C"/>
    <w:rsid w:val="00C2608B"/>
    <w:rsid w:val="00C27046"/>
    <w:rsid w:val="00C34541"/>
    <w:rsid w:val="00C35463"/>
    <w:rsid w:val="00C35D47"/>
    <w:rsid w:val="00C40FA3"/>
    <w:rsid w:val="00C534D2"/>
    <w:rsid w:val="00C640AA"/>
    <w:rsid w:val="00C80404"/>
    <w:rsid w:val="00C879B8"/>
    <w:rsid w:val="00C976E7"/>
    <w:rsid w:val="00CA1616"/>
    <w:rsid w:val="00CA6F7B"/>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43F24"/>
    <w:rsid w:val="00D54B7C"/>
    <w:rsid w:val="00D631F6"/>
    <w:rsid w:val="00D67749"/>
    <w:rsid w:val="00D71F0F"/>
    <w:rsid w:val="00D801F9"/>
    <w:rsid w:val="00D865DE"/>
    <w:rsid w:val="00D942BF"/>
    <w:rsid w:val="00DB5AB3"/>
    <w:rsid w:val="00E10551"/>
    <w:rsid w:val="00E114C1"/>
    <w:rsid w:val="00E1793E"/>
    <w:rsid w:val="00E25243"/>
    <w:rsid w:val="00E3630A"/>
    <w:rsid w:val="00E441CD"/>
    <w:rsid w:val="00E54F78"/>
    <w:rsid w:val="00E616CC"/>
    <w:rsid w:val="00E71AD9"/>
    <w:rsid w:val="00E83BB7"/>
    <w:rsid w:val="00E9331F"/>
    <w:rsid w:val="00E96BEC"/>
    <w:rsid w:val="00EA068F"/>
    <w:rsid w:val="00EA2D5C"/>
    <w:rsid w:val="00EB3263"/>
    <w:rsid w:val="00EB7C0A"/>
    <w:rsid w:val="00EC0D5E"/>
    <w:rsid w:val="00EC2270"/>
    <w:rsid w:val="00ED2E7E"/>
    <w:rsid w:val="00ED4439"/>
    <w:rsid w:val="00EE0ADE"/>
    <w:rsid w:val="00EE3780"/>
    <w:rsid w:val="00F0296B"/>
    <w:rsid w:val="00F02E8D"/>
    <w:rsid w:val="00F068AF"/>
    <w:rsid w:val="00F12354"/>
    <w:rsid w:val="00F201BF"/>
    <w:rsid w:val="00F255F1"/>
    <w:rsid w:val="00F35C5A"/>
    <w:rsid w:val="00F36506"/>
    <w:rsid w:val="00F36AD4"/>
    <w:rsid w:val="00F3741E"/>
    <w:rsid w:val="00F41B9D"/>
    <w:rsid w:val="00F41E06"/>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C5D63"/>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 w:type="character" w:customStyle="1" w:styleId="rvts15">
    <w:name w:val="rvts15"/>
    <w:uiPriority w:val="99"/>
    <w:rsid w:val="00C640A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 w:type="character" w:customStyle="1" w:styleId="rvts15">
    <w:name w:val="rvts15"/>
    <w:uiPriority w:val="99"/>
    <w:rsid w:val="00C640A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29189352">
      <w:bodyDiv w:val="1"/>
      <w:marLeft w:val="0"/>
      <w:marRight w:val="0"/>
      <w:marTop w:val="0"/>
      <w:marBottom w:val="0"/>
      <w:divBdr>
        <w:top w:val="none" w:sz="0" w:space="0" w:color="auto"/>
        <w:left w:val="none" w:sz="0" w:space="0" w:color="auto"/>
        <w:bottom w:val="none" w:sz="0" w:space="0" w:color="auto"/>
        <w:right w:val="none" w:sz="0" w:space="0" w:color="auto"/>
      </w:divBdr>
    </w:div>
    <w:div w:id="4541716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235477334">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3172241">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658121031">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991102233">
      <w:bodyDiv w:val="1"/>
      <w:marLeft w:val="0"/>
      <w:marRight w:val="0"/>
      <w:marTop w:val="0"/>
      <w:marBottom w:val="0"/>
      <w:divBdr>
        <w:top w:val="none" w:sz="0" w:space="0" w:color="auto"/>
        <w:left w:val="none" w:sz="0" w:space="0" w:color="auto"/>
        <w:bottom w:val="none" w:sz="0" w:space="0" w:color="auto"/>
        <w:right w:val="none" w:sz="0" w:space="0" w:color="auto"/>
      </w:divBdr>
    </w:div>
    <w:div w:id="1008827281">
      <w:bodyDiv w:val="1"/>
      <w:marLeft w:val="0"/>
      <w:marRight w:val="0"/>
      <w:marTop w:val="0"/>
      <w:marBottom w:val="0"/>
      <w:divBdr>
        <w:top w:val="none" w:sz="0" w:space="0" w:color="auto"/>
        <w:left w:val="none" w:sz="0" w:space="0" w:color="auto"/>
        <w:bottom w:val="none" w:sz="0" w:space="0" w:color="auto"/>
        <w:right w:val="none" w:sz="0" w:space="0" w:color="auto"/>
      </w:divBdr>
    </w:div>
    <w:div w:id="1101878551">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412580985">
      <w:bodyDiv w:val="1"/>
      <w:marLeft w:val="0"/>
      <w:marRight w:val="0"/>
      <w:marTop w:val="0"/>
      <w:marBottom w:val="0"/>
      <w:divBdr>
        <w:top w:val="none" w:sz="0" w:space="0" w:color="auto"/>
        <w:left w:val="none" w:sz="0" w:space="0" w:color="auto"/>
        <w:bottom w:val="none" w:sz="0" w:space="0" w:color="auto"/>
        <w:right w:val="none" w:sz="0" w:space="0" w:color="auto"/>
      </w:divBdr>
    </w:div>
    <w:div w:id="1430392999">
      <w:bodyDiv w:val="1"/>
      <w:marLeft w:val="0"/>
      <w:marRight w:val="0"/>
      <w:marTop w:val="0"/>
      <w:marBottom w:val="0"/>
      <w:divBdr>
        <w:top w:val="none" w:sz="0" w:space="0" w:color="auto"/>
        <w:left w:val="none" w:sz="0" w:space="0" w:color="auto"/>
        <w:bottom w:val="none" w:sz="0" w:space="0" w:color="auto"/>
        <w:right w:val="none" w:sz="0" w:space="0" w:color="auto"/>
      </w:divBdr>
    </w:div>
    <w:div w:id="1509564730">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C1B88A-7061-41BD-BAF8-7B177383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11618</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2</cp:revision>
  <cp:lastPrinted>2014-11-11T14:45:00Z</cp:lastPrinted>
  <dcterms:created xsi:type="dcterms:W3CDTF">2016-09-29T13:35:00Z</dcterms:created>
  <dcterms:modified xsi:type="dcterms:W3CDTF">2016-09-29T13:35:00Z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