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FB" w:rsidRPr="00834080" w:rsidRDefault="00877CFB" w:rsidP="00A97B35"/>
    <w:p w:rsidR="00340629" w:rsidRDefault="00340629" w:rsidP="00340629">
      <w:pPr>
        <w:rPr>
          <w:lang w:val="en-US"/>
        </w:rPr>
      </w:pPr>
      <w:r>
        <w:t>№</w:t>
      </w:r>
      <w:r>
        <w:rPr>
          <w:lang w:val="en-US"/>
        </w:rPr>
        <w:t>16</w:t>
      </w:r>
      <w:r>
        <w:t>-</w:t>
      </w:r>
    </w:p>
    <w:p w:rsidR="00340629" w:rsidRPr="000C2416" w:rsidRDefault="00340629" w:rsidP="00340629">
      <w:r>
        <w:t xml:space="preserve">від __ </w:t>
      </w:r>
      <w:r w:rsidR="0050730B">
        <w:t>вересня</w:t>
      </w:r>
      <w:r>
        <w:t xml:space="preserve"> 2016 року</w:t>
      </w:r>
    </w:p>
    <w:tbl>
      <w:tblPr>
        <w:tblW w:w="10441" w:type="dxa"/>
        <w:tblInd w:w="284" w:type="dxa"/>
        <w:tblLook w:val="04A0" w:firstRow="1" w:lastRow="0" w:firstColumn="1" w:lastColumn="0" w:noHBand="0" w:noVBand="1"/>
      </w:tblPr>
      <w:tblGrid>
        <w:gridCol w:w="5069"/>
        <w:gridCol w:w="5372"/>
      </w:tblGrid>
      <w:tr w:rsidR="00340629" w:rsidRPr="00907BA0" w:rsidTr="00E442E4">
        <w:tc>
          <w:tcPr>
            <w:tcW w:w="5069" w:type="dxa"/>
            <w:shd w:val="clear" w:color="auto" w:fill="auto"/>
          </w:tcPr>
          <w:p w:rsidR="00340629" w:rsidRPr="00907BA0" w:rsidRDefault="00340629" w:rsidP="00E442E4">
            <w:pPr>
              <w:jc w:val="both"/>
              <w:rPr>
                <w:rFonts w:eastAsia="Calibri"/>
                <w:i/>
                <w:lang w:eastAsia="en-US"/>
              </w:rPr>
            </w:pPr>
          </w:p>
        </w:tc>
        <w:tc>
          <w:tcPr>
            <w:tcW w:w="5372" w:type="dxa"/>
            <w:shd w:val="clear" w:color="auto" w:fill="auto"/>
          </w:tcPr>
          <w:tbl>
            <w:tblPr>
              <w:tblW w:w="0" w:type="auto"/>
              <w:tblLook w:val="04A0" w:firstRow="1" w:lastRow="0" w:firstColumn="1" w:lastColumn="0" w:noHBand="0" w:noVBand="1"/>
            </w:tblPr>
            <w:tblGrid>
              <w:gridCol w:w="236"/>
              <w:gridCol w:w="4617"/>
            </w:tblGrid>
            <w:tr w:rsidR="00340629" w:rsidRPr="00907BA0" w:rsidTr="00F47F3D">
              <w:tc>
                <w:tcPr>
                  <w:tcW w:w="236" w:type="dxa"/>
                  <w:shd w:val="clear" w:color="auto" w:fill="auto"/>
                </w:tcPr>
                <w:p w:rsidR="00340629" w:rsidRPr="00907BA0" w:rsidRDefault="00340629" w:rsidP="00E442E4">
                  <w:pPr>
                    <w:rPr>
                      <w:rFonts w:ascii="Calibri" w:eastAsia="Calibri" w:hAnsi="Calibri"/>
                      <w:b/>
                      <w:sz w:val="22"/>
                      <w:szCs w:val="22"/>
                    </w:rPr>
                  </w:pPr>
                </w:p>
                <w:p w:rsidR="00340629" w:rsidRPr="00907BA0" w:rsidRDefault="00340629" w:rsidP="00E442E4">
                  <w:pPr>
                    <w:ind w:right="-109"/>
                    <w:jc w:val="right"/>
                    <w:rPr>
                      <w:rFonts w:ascii="Calibri" w:eastAsia="Calibri" w:hAnsi="Calibri"/>
                      <w:sz w:val="22"/>
                      <w:szCs w:val="22"/>
                    </w:rPr>
                  </w:pPr>
                </w:p>
                <w:p w:rsidR="00340629" w:rsidRPr="00907BA0" w:rsidRDefault="00340629" w:rsidP="00E442E4">
                  <w:pPr>
                    <w:rPr>
                      <w:rFonts w:ascii="Calibri" w:eastAsia="Calibri" w:hAnsi="Calibri"/>
                      <w:b/>
                      <w:sz w:val="22"/>
                      <w:szCs w:val="22"/>
                    </w:rPr>
                  </w:pPr>
                </w:p>
                <w:p w:rsidR="00340629" w:rsidRPr="00907BA0" w:rsidRDefault="00340629" w:rsidP="00E442E4">
                  <w:pPr>
                    <w:ind w:firstLine="3261"/>
                    <w:rPr>
                      <w:rFonts w:ascii="Calibri" w:eastAsia="Calibri" w:hAnsi="Calibri"/>
                      <w:b/>
                      <w:sz w:val="22"/>
                      <w:szCs w:val="22"/>
                    </w:rPr>
                  </w:pPr>
                </w:p>
              </w:tc>
              <w:tc>
                <w:tcPr>
                  <w:tcW w:w="4617" w:type="dxa"/>
                  <w:shd w:val="clear" w:color="auto" w:fill="auto"/>
                </w:tcPr>
                <w:p w:rsidR="00340629" w:rsidRDefault="00340629" w:rsidP="00E442E4">
                  <w:pPr>
                    <w:rPr>
                      <w:rFonts w:eastAsia="Calibri"/>
                      <w:b/>
                      <w:szCs w:val="22"/>
                    </w:rPr>
                  </w:pPr>
                </w:p>
                <w:p w:rsidR="00340629" w:rsidRPr="00442194" w:rsidRDefault="00E45B8B" w:rsidP="00E442E4">
                  <w:pPr>
                    <w:rPr>
                      <w:rFonts w:eastAsia="Calibri"/>
                      <w:b/>
                      <w:szCs w:val="22"/>
                      <w:lang w:val="ru-RU"/>
                    </w:rPr>
                  </w:pPr>
                  <w:r>
                    <w:rPr>
                      <w:rFonts w:eastAsia="Calibri"/>
                      <w:b/>
                      <w:szCs w:val="22"/>
                    </w:rPr>
                    <w:t xml:space="preserve">Голові </w:t>
                  </w:r>
                  <w:r w:rsidR="00442194" w:rsidRPr="00442194">
                    <w:rPr>
                      <w:rFonts w:eastAsia="Calibri"/>
                      <w:b/>
                      <w:szCs w:val="22"/>
                    </w:rPr>
                    <w:t>Комітет</w:t>
                  </w:r>
                  <w:r w:rsidR="00442194">
                    <w:rPr>
                      <w:rFonts w:eastAsia="Calibri"/>
                      <w:b/>
                      <w:szCs w:val="22"/>
                    </w:rPr>
                    <w:t>у Верховної Ради України</w:t>
                  </w:r>
                  <w:r w:rsidR="00442194" w:rsidRPr="00442194">
                    <w:rPr>
                      <w:rFonts w:eastAsia="Calibri"/>
                      <w:b/>
                      <w:szCs w:val="22"/>
                    </w:rPr>
                    <w:t xml:space="preserve"> з питань податкової та митної політики</w:t>
                  </w:r>
                </w:p>
                <w:p w:rsidR="00442194" w:rsidRDefault="00442194" w:rsidP="00E442E4">
                  <w:pPr>
                    <w:rPr>
                      <w:rFonts w:eastAsia="Calibri"/>
                      <w:b/>
                      <w:szCs w:val="22"/>
                    </w:rPr>
                  </w:pPr>
                  <w:r w:rsidRPr="0050730B">
                    <w:rPr>
                      <w:rFonts w:eastAsia="Calibri"/>
                      <w:b/>
                      <w:szCs w:val="22"/>
                      <w:lang w:val="ru-RU"/>
                    </w:rPr>
                    <w:t>Н.П.</w:t>
                  </w:r>
                  <w:r>
                    <w:rPr>
                      <w:rFonts w:eastAsia="Calibri"/>
                      <w:b/>
                      <w:szCs w:val="22"/>
                    </w:rPr>
                    <w:t xml:space="preserve"> </w:t>
                  </w:r>
                  <w:proofErr w:type="spellStart"/>
                  <w:r w:rsidRPr="0050730B">
                    <w:rPr>
                      <w:rFonts w:eastAsia="Calibri"/>
                      <w:b/>
                      <w:szCs w:val="22"/>
                      <w:lang w:val="ru-RU"/>
                    </w:rPr>
                    <w:t>Южані</w:t>
                  </w:r>
                  <w:proofErr w:type="spellEnd"/>
                  <w:r>
                    <w:rPr>
                      <w:rFonts w:eastAsia="Calibri"/>
                      <w:b/>
                      <w:szCs w:val="22"/>
                    </w:rPr>
                    <w:t xml:space="preserve">ній </w:t>
                  </w:r>
                </w:p>
                <w:p w:rsidR="00442194" w:rsidRDefault="00442194" w:rsidP="00E442E4">
                  <w:pPr>
                    <w:rPr>
                      <w:rFonts w:eastAsia="Calibri"/>
                      <w:b/>
                      <w:szCs w:val="22"/>
                    </w:rPr>
                  </w:pPr>
                </w:p>
                <w:p w:rsidR="00442194" w:rsidRDefault="00F47F3D" w:rsidP="00F47F3D">
                  <w:pPr>
                    <w:rPr>
                      <w:rFonts w:eastAsia="Calibri"/>
                      <w:b/>
                      <w:szCs w:val="22"/>
                    </w:rPr>
                  </w:pPr>
                  <w:r w:rsidRPr="00F47F3D">
                    <w:rPr>
                      <w:rFonts w:eastAsia="Calibri"/>
                      <w:szCs w:val="22"/>
                    </w:rPr>
                    <w:t>Копія:</w:t>
                  </w:r>
                  <w:r>
                    <w:rPr>
                      <w:rFonts w:eastAsia="Calibri"/>
                      <w:b/>
                      <w:szCs w:val="22"/>
                    </w:rPr>
                    <w:t xml:space="preserve"> </w:t>
                  </w:r>
                  <w:r w:rsidR="00E45B8B">
                    <w:rPr>
                      <w:rFonts w:eastAsia="Calibri"/>
                      <w:b/>
                      <w:szCs w:val="22"/>
                    </w:rPr>
                    <w:t xml:space="preserve">Голові </w:t>
                  </w:r>
                  <w:r w:rsidR="00442194" w:rsidRPr="00442194">
                    <w:rPr>
                      <w:rFonts w:eastAsia="Calibri"/>
                      <w:b/>
                      <w:szCs w:val="22"/>
                    </w:rPr>
                    <w:t>Комітет</w:t>
                  </w:r>
                  <w:r w:rsidR="00442194">
                    <w:rPr>
                      <w:rFonts w:eastAsia="Calibri"/>
                      <w:b/>
                      <w:szCs w:val="22"/>
                    </w:rPr>
                    <w:t>у Верховної Ради України</w:t>
                  </w:r>
                  <w:r w:rsidR="00442194" w:rsidRPr="00442194">
                    <w:rPr>
                      <w:rFonts w:eastAsia="Calibri"/>
                      <w:b/>
                      <w:szCs w:val="22"/>
                    </w:rPr>
                    <w:t xml:space="preserve"> з питань інформатизації та зв'язку </w:t>
                  </w:r>
                </w:p>
                <w:p w:rsidR="00442194" w:rsidRPr="00442194" w:rsidRDefault="00442194" w:rsidP="00E442E4">
                  <w:pPr>
                    <w:rPr>
                      <w:rFonts w:eastAsia="Calibri"/>
                      <w:b/>
                      <w:szCs w:val="22"/>
                    </w:rPr>
                  </w:pPr>
                  <w:r w:rsidRPr="00442194">
                    <w:rPr>
                      <w:rFonts w:eastAsia="Calibri"/>
                      <w:b/>
                      <w:szCs w:val="22"/>
                    </w:rPr>
                    <w:t>О.І.</w:t>
                  </w:r>
                  <w:r w:rsidR="009B0E3C">
                    <w:rPr>
                      <w:rFonts w:eastAsia="Calibri"/>
                      <w:b/>
                      <w:szCs w:val="22"/>
                    </w:rPr>
                    <w:t xml:space="preserve"> </w:t>
                  </w:r>
                  <w:r w:rsidRPr="00442194">
                    <w:rPr>
                      <w:rFonts w:eastAsia="Calibri"/>
                      <w:b/>
                      <w:szCs w:val="22"/>
                    </w:rPr>
                    <w:t xml:space="preserve">Данченко </w:t>
                  </w:r>
                </w:p>
                <w:p w:rsidR="00340629" w:rsidRPr="001129C6" w:rsidRDefault="00340629" w:rsidP="00E442E4">
                  <w:pPr>
                    <w:ind w:left="824"/>
                    <w:rPr>
                      <w:rFonts w:eastAsia="Calibri"/>
                      <w:b/>
                      <w:szCs w:val="22"/>
                    </w:rPr>
                  </w:pPr>
                </w:p>
              </w:tc>
            </w:tr>
          </w:tbl>
          <w:p w:rsidR="00340629" w:rsidRPr="00907BA0" w:rsidRDefault="00340629" w:rsidP="00E442E4">
            <w:pPr>
              <w:pStyle w:val="ac"/>
              <w:spacing w:before="0" w:beforeAutospacing="0" w:after="0" w:afterAutospacing="0"/>
              <w:rPr>
                <w:b/>
              </w:rPr>
            </w:pPr>
          </w:p>
        </w:tc>
      </w:tr>
    </w:tbl>
    <w:p w:rsidR="009B0E3C" w:rsidRDefault="00340629" w:rsidP="009B0E3C">
      <w:pPr>
        <w:jc w:val="both"/>
        <w:rPr>
          <w:rFonts w:eastAsia="Calibri"/>
          <w:i/>
          <w:sz w:val="22"/>
          <w:lang w:eastAsia="en-US"/>
        </w:rPr>
      </w:pPr>
      <w:r w:rsidRPr="00907BA0">
        <w:rPr>
          <w:rFonts w:eastAsia="Calibri"/>
          <w:i/>
          <w:sz w:val="22"/>
          <w:lang w:eastAsia="en-US"/>
        </w:rPr>
        <w:t xml:space="preserve">Щодо </w:t>
      </w:r>
      <w:r w:rsidR="009B0E3C">
        <w:rPr>
          <w:rFonts w:eastAsia="Calibri"/>
          <w:i/>
          <w:sz w:val="22"/>
          <w:lang w:eastAsia="en-US"/>
        </w:rPr>
        <w:t xml:space="preserve">законопроектів стосовно </w:t>
      </w:r>
    </w:p>
    <w:p w:rsidR="00340629" w:rsidRPr="00907BA0" w:rsidRDefault="009B0E3C" w:rsidP="009B0E3C">
      <w:pPr>
        <w:jc w:val="both"/>
        <w:rPr>
          <w:rFonts w:eastAsia="Calibri"/>
          <w:i/>
          <w:sz w:val="22"/>
          <w:lang w:eastAsia="en-US"/>
        </w:rPr>
      </w:pPr>
      <w:r w:rsidRPr="009B0E3C">
        <w:rPr>
          <w:rFonts w:eastAsia="Calibri"/>
          <w:i/>
          <w:sz w:val="22"/>
          <w:lang w:eastAsia="en-US"/>
        </w:rPr>
        <w:t>радіочастотного ресурсу</w:t>
      </w:r>
      <w:r w:rsidR="00340629" w:rsidRPr="00907BA0">
        <w:rPr>
          <w:rFonts w:eastAsia="Calibri"/>
          <w:i/>
          <w:sz w:val="22"/>
          <w:lang w:eastAsia="en-US"/>
        </w:rPr>
        <w:t xml:space="preserve"> </w:t>
      </w:r>
    </w:p>
    <w:p w:rsidR="00340629" w:rsidRDefault="00340629" w:rsidP="00340629">
      <w:pPr>
        <w:jc w:val="both"/>
        <w:rPr>
          <w:rFonts w:eastAsia="Calibri"/>
          <w:i/>
          <w:sz w:val="22"/>
          <w:lang w:eastAsia="en-US"/>
        </w:rPr>
      </w:pPr>
    </w:p>
    <w:p w:rsidR="00340629" w:rsidRPr="00CB5DD3" w:rsidRDefault="00340629" w:rsidP="00340629">
      <w:pPr>
        <w:jc w:val="both"/>
        <w:rPr>
          <w:rFonts w:eastAsia="Calibri"/>
          <w:i/>
          <w:sz w:val="22"/>
          <w:lang w:eastAsia="en-US"/>
        </w:rPr>
      </w:pPr>
    </w:p>
    <w:p w:rsidR="00340629" w:rsidRPr="00907BA0" w:rsidRDefault="009B0E3C" w:rsidP="00340629">
      <w:pPr>
        <w:jc w:val="center"/>
        <w:rPr>
          <w:b/>
        </w:rPr>
      </w:pPr>
      <w:r>
        <w:rPr>
          <w:b/>
        </w:rPr>
        <w:t>Шановна Ніно Петрівно</w:t>
      </w:r>
      <w:r w:rsidR="00340629" w:rsidRPr="00907BA0">
        <w:rPr>
          <w:b/>
        </w:rPr>
        <w:t>!</w:t>
      </w:r>
    </w:p>
    <w:p w:rsidR="00340629" w:rsidRDefault="00340629" w:rsidP="00340629">
      <w:pPr>
        <w:rPr>
          <w:lang w:eastAsia="en-US"/>
        </w:rPr>
      </w:pPr>
    </w:p>
    <w:p w:rsidR="00340629" w:rsidRDefault="00340629" w:rsidP="009751DE">
      <w:pPr>
        <w:spacing w:before="120"/>
        <w:ind w:firstLine="709"/>
        <w:jc w:val="both"/>
      </w:pPr>
      <w:r w:rsidRPr="00907BA0">
        <w:t>Від імені Ради директорів Американської торгівельної палати в Україні (надалі – Палата) та компаній–членів засвідчуємо Вам свою глибоку повагу та</w:t>
      </w:r>
      <w:r>
        <w:t xml:space="preserve"> звертаємось до Вас з наступного питання. </w:t>
      </w:r>
    </w:p>
    <w:p w:rsidR="002F6B40" w:rsidRDefault="002F6B40" w:rsidP="009751DE">
      <w:pPr>
        <w:tabs>
          <w:tab w:val="left" w:pos="567"/>
        </w:tabs>
        <w:spacing w:before="120"/>
        <w:ind w:firstLine="709"/>
        <w:jc w:val="both"/>
        <w:rPr>
          <w:color w:val="000000" w:themeColor="text1"/>
          <w:u w:val="double"/>
        </w:rPr>
      </w:pPr>
      <w:r>
        <w:rPr>
          <w:color w:val="000000" w:themeColor="text1"/>
        </w:rPr>
        <w:t xml:space="preserve">Протягом останнього місяця </w:t>
      </w:r>
      <w:r>
        <w:rPr>
          <w:lang w:eastAsia="ru-RU"/>
        </w:rPr>
        <w:t xml:space="preserve">зареєстровано ряд законопроектів щодо </w:t>
      </w:r>
      <w:r>
        <w:t>рентної плати за користування радіочастотним ресурсом, зокрема:</w:t>
      </w:r>
    </w:p>
    <w:p w:rsidR="002F6B40" w:rsidRDefault="002F6B40" w:rsidP="009751DE">
      <w:pPr>
        <w:pStyle w:val="ad"/>
        <w:numPr>
          <w:ilvl w:val="0"/>
          <w:numId w:val="18"/>
        </w:numPr>
        <w:spacing w:before="120"/>
        <w:ind w:left="0" w:firstLine="709"/>
        <w:jc w:val="both"/>
        <w:rPr>
          <w:rFonts w:eastAsiaTheme="minorEastAsia"/>
          <w:lang w:eastAsia="ru-RU"/>
        </w:rPr>
      </w:pPr>
      <w:r>
        <w:rPr>
          <w:shd w:val="clear" w:color="auto" w:fill="FFFFFF"/>
        </w:rPr>
        <w:t xml:space="preserve">09.08.2016 </w:t>
      </w:r>
      <w:r>
        <w:rPr>
          <w:rFonts w:eastAsiaTheme="minorEastAsia"/>
          <w:lang w:eastAsia="ru-RU"/>
        </w:rPr>
        <w:t>проект Закону №</w:t>
      </w:r>
      <w:r>
        <w:rPr>
          <w:shd w:val="clear" w:color="auto" w:fill="FFFFFF"/>
        </w:rPr>
        <w:t>5021</w:t>
      </w:r>
      <w:r>
        <w:rPr>
          <w:rFonts w:eastAsiaTheme="minorEastAsia"/>
          <w:lang w:eastAsia="ru-RU"/>
        </w:rPr>
        <w:t xml:space="preserve"> </w:t>
      </w:r>
      <w:r>
        <w:t>«Про внесення змін до ПКУ щодо забезпечення умов ефективного використання радіочастотного ресурсу»</w:t>
      </w:r>
      <w:r>
        <w:rPr>
          <w:rFonts w:eastAsiaTheme="minorEastAsia"/>
          <w:lang w:eastAsia="ru-RU"/>
        </w:rPr>
        <w:t xml:space="preserve">; </w:t>
      </w:r>
    </w:p>
    <w:p w:rsidR="002F6B40" w:rsidRDefault="002F6B40" w:rsidP="009751DE">
      <w:pPr>
        <w:pStyle w:val="ad"/>
        <w:numPr>
          <w:ilvl w:val="0"/>
          <w:numId w:val="18"/>
        </w:numPr>
        <w:spacing w:before="120"/>
        <w:ind w:left="0" w:firstLine="709"/>
        <w:jc w:val="both"/>
        <w:rPr>
          <w:rFonts w:eastAsiaTheme="minorEastAsia"/>
          <w:lang w:eastAsia="ru-RU"/>
        </w:rPr>
      </w:pPr>
      <w:r>
        <w:rPr>
          <w:shd w:val="clear" w:color="auto" w:fill="FFFFFF"/>
        </w:rPr>
        <w:t>26.08.2016 проект Закону №5044 «Про внесення змін до ПКУ щодо перегляду ставок деяких податків»;</w:t>
      </w:r>
    </w:p>
    <w:p w:rsidR="002F6B40" w:rsidRDefault="009751DE" w:rsidP="009751DE">
      <w:pPr>
        <w:pStyle w:val="ad"/>
        <w:numPr>
          <w:ilvl w:val="0"/>
          <w:numId w:val="18"/>
        </w:numPr>
        <w:spacing w:before="120"/>
        <w:ind w:left="0" w:firstLine="709"/>
        <w:jc w:val="both"/>
        <w:rPr>
          <w:rFonts w:eastAsiaTheme="minorEastAsia"/>
          <w:lang w:eastAsia="ru-RU"/>
        </w:rPr>
      </w:pPr>
      <w:r>
        <w:rPr>
          <w:rFonts w:eastAsiaTheme="minorEastAsia"/>
          <w:lang w:eastAsia="ru-RU"/>
        </w:rPr>
        <w:t xml:space="preserve">30.08.2016 </w:t>
      </w:r>
      <w:r w:rsidR="002F6B40">
        <w:rPr>
          <w:rFonts w:eastAsiaTheme="minorEastAsia"/>
          <w:lang w:eastAsia="ru-RU"/>
        </w:rPr>
        <w:t>проект Закону №</w:t>
      </w:r>
      <w:r w:rsidR="002F6B40">
        <w:rPr>
          <w:shd w:val="clear" w:color="auto" w:fill="FFFFFF"/>
        </w:rPr>
        <w:t>5052 «</w:t>
      </w:r>
      <w:r w:rsidR="002F6B40">
        <w:rPr>
          <w:bCs/>
          <w:shd w:val="clear" w:color="auto" w:fill="FFFFFF"/>
        </w:rPr>
        <w:t>Про внесення змін до ПКУ (щодо функціонування радіочастотного ресу</w:t>
      </w:r>
      <w:bookmarkStart w:id="0" w:name="_GoBack"/>
      <w:bookmarkEnd w:id="0"/>
      <w:r w:rsidR="002F6B40">
        <w:rPr>
          <w:bCs/>
          <w:shd w:val="clear" w:color="auto" w:fill="FFFFFF"/>
        </w:rPr>
        <w:t>рсу)».</w:t>
      </w:r>
    </w:p>
    <w:p w:rsidR="002F6B40" w:rsidRDefault="002F6B40" w:rsidP="009751DE">
      <w:pPr>
        <w:spacing w:before="120"/>
        <w:ind w:firstLine="709"/>
        <w:jc w:val="both"/>
        <w:rPr>
          <w:rFonts w:eastAsiaTheme="minorHAnsi"/>
          <w:lang w:eastAsia="en-US"/>
        </w:rPr>
      </w:pPr>
      <w:r>
        <w:t xml:space="preserve">Відповідно до діючої редакції п. 4 Розділу </w:t>
      </w:r>
      <w:r>
        <w:rPr>
          <w:lang w:val="en-US"/>
        </w:rPr>
        <w:t>XIX</w:t>
      </w:r>
      <w:r>
        <w:t xml:space="preserve"> Прикінцевих положень ПКУ щорічно з урахуванням індексів споживчих цін відбувається перегляд ставок оподаткування, визначених в абсолютних значеннях, в т. ч. з рентної плати.  Таким чином, на виконання вимог цього пункту зареєстровано законопроект №5044 та відповідно передбачено підвищення зазначеної ставки рентної плати на 12% до рівня 25 855,48 грн. на місяць за 1 МГц смуги радіочастот для стільникового радіозв’язку. </w:t>
      </w:r>
    </w:p>
    <w:p w:rsidR="002F6B40" w:rsidRDefault="002F6B40" w:rsidP="009751DE">
      <w:pPr>
        <w:spacing w:before="120"/>
        <w:ind w:firstLine="709"/>
        <w:jc w:val="both"/>
        <w:outlineLvl w:val="4"/>
        <w:rPr>
          <w:rFonts w:cstheme="minorBidi"/>
          <w:bCs/>
          <w:iCs/>
        </w:rPr>
      </w:pPr>
      <w:r>
        <w:rPr>
          <w:rFonts w:eastAsiaTheme="minorEastAsia"/>
          <w:lang w:eastAsia="ru-RU"/>
        </w:rPr>
        <w:t xml:space="preserve">Крім того, в ході проведення податкової реформи пропонується нова редакція </w:t>
      </w:r>
      <w:r>
        <w:rPr>
          <w:bCs/>
          <w:lang w:eastAsia="ru-RU"/>
        </w:rPr>
        <w:t>ст. 256</w:t>
      </w:r>
      <w:r>
        <w:rPr>
          <w:bCs/>
          <w:vertAlign w:val="superscript"/>
          <w:lang w:eastAsia="ru-RU"/>
        </w:rPr>
        <w:t>2</w:t>
      </w:r>
      <w:r>
        <w:rPr>
          <w:bCs/>
          <w:lang w:eastAsia="ru-RU"/>
        </w:rPr>
        <w:t xml:space="preserve"> ПКУ «індексація ставок рентної плати», відповідно до якої </w:t>
      </w:r>
      <w:r>
        <w:rPr>
          <w:bCs/>
          <w:iCs/>
        </w:rPr>
        <w:t xml:space="preserve">щороку проводиться індексація ставок рентної плати за користування радіочастотним ресурсом, визначених в абсолютних значеннях року. Відповідно до запропонованого проекту індексація здійснюється, починаючи з 2017 року, </w:t>
      </w:r>
      <w:r>
        <w:rPr>
          <w:b/>
          <w:bCs/>
          <w:iCs/>
        </w:rPr>
        <w:t>а для нових або змінених ставок – починаючи з року, наступного за роком, в якому така ставка вперше застосовується</w:t>
      </w:r>
      <w:r>
        <w:rPr>
          <w:bCs/>
          <w:iCs/>
        </w:rPr>
        <w:t xml:space="preserve">. </w:t>
      </w:r>
    </w:p>
    <w:p w:rsidR="002F6B40" w:rsidRDefault="002F6B40" w:rsidP="009751DE">
      <w:pPr>
        <w:spacing w:before="120"/>
        <w:ind w:firstLine="709"/>
        <w:jc w:val="both"/>
        <w:outlineLvl w:val="4"/>
        <w:rPr>
          <w:bCs/>
          <w:iCs/>
        </w:rPr>
      </w:pPr>
      <w:r>
        <w:lastRenderedPageBreak/>
        <w:t xml:space="preserve">Виходячи з системного аналізу запропонованої редакції </w:t>
      </w:r>
      <w:r>
        <w:rPr>
          <w:bCs/>
          <w:lang w:eastAsia="ru-RU"/>
        </w:rPr>
        <w:t>ст. 256</w:t>
      </w:r>
      <w:r>
        <w:rPr>
          <w:bCs/>
          <w:vertAlign w:val="superscript"/>
          <w:lang w:eastAsia="ru-RU"/>
        </w:rPr>
        <w:t>2</w:t>
      </w:r>
      <w:r>
        <w:rPr>
          <w:bCs/>
          <w:lang w:eastAsia="ru-RU"/>
        </w:rPr>
        <w:t xml:space="preserve"> ПКУ, що наразі розглядається в ході проведення податкової реформи індексація ставок рентної плати буде </w:t>
      </w:r>
      <w:proofErr w:type="spellStart"/>
      <w:r>
        <w:rPr>
          <w:bCs/>
          <w:lang w:eastAsia="ru-RU"/>
        </w:rPr>
        <w:t>здійснюватись</w:t>
      </w:r>
      <w:proofErr w:type="spellEnd"/>
      <w:r>
        <w:rPr>
          <w:bCs/>
          <w:lang w:eastAsia="ru-RU"/>
        </w:rPr>
        <w:t xml:space="preserve"> щороку на добуток індексів споживчих цін. </w:t>
      </w:r>
    </w:p>
    <w:p w:rsidR="002F6B40" w:rsidRDefault="002F6B40" w:rsidP="009751DE">
      <w:pPr>
        <w:spacing w:before="120"/>
        <w:ind w:firstLine="709"/>
        <w:jc w:val="both"/>
      </w:pPr>
      <w:r>
        <w:t>Враховуючи все вищезазначене, зазначаємо наступне.</w:t>
      </w:r>
    </w:p>
    <w:p w:rsidR="002F6B40" w:rsidRDefault="002F6B40" w:rsidP="009751DE">
      <w:pPr>
        <w:spacing w:before="120"/>
        <w:ind w:firstLine="709"/>
        <w:jc w:val="both"/>
      </w:pPr>
      <w:r>
        <w:t xml:space="preserve">Ринок телекомунікаційних послуг з використанням </w:t>
      </w:r>
      <w:proofErr w:type="spellStart"/>
      <w:r>
        <w:t>радіотехнологій</w:t>
      </w:r>
      <w:proofErr w:type="spellEnd"/>
      <w:r>
        <w:t xml:space="preserve"> є одним із сегментів економіки, що швидко розвиваються в усьому світі. Мобільний телефонний зв’язок поступово займає місце найдоступнішої послуги. В Україні станом на кінець 2015 року кількість активних SIM-карток в Україні становила близько 60,7 млн штук. </w:t>
      </w:r>
    </w:p>
    <w:p w:rsidR="002F6B40" w:rsidRDefault="002F6B40" w:rsidP="009751DE">
      <w:pPr>
        <w:spacing w:before="120"/>
        <w:ind w:firstLine="709"/>
        <w:jc w:val="both"/>
      </w:pPr>
      <w:r>
        <w:t>Механізм справляння рентної плати (збору) за користування РЧР повинен вдосконалюватися з урахуванням кращого міжнародного досвіду. Як наслідок, рентна плата (збір) за користування РЧР України повинна бути стимулюючим платежем, спрямованим на підвищення ефективності використання радіочастотного ресурсу, та стимулювання розвитку нових технологій. Проблема дефіциту РЧР в Україні для надання нових телекомунікаційних послуг може бути вирішена шляхом його ефективного використання, зокрема за рахунок конверсії.</w:t>
      </w:r>
    </w:p>
    <w:p w:rsidR="002F6B40" w:rsidRDefault="002F6B40" w:rsidP="009751DE">
      <w:pPr>
        <w:pStyle w:val="Default"/>
        <w:spacing w:before="120"/>
        <w:ind w:firstLine="709"/>
        <w:jc w:val="both"/>
        <w:rPr>
          <w:lang w:val="uk-UA"/>
        </w:rPr>
      </w:pPr>
      <w:r>
        <w:rPr>
          <w:lang w:val="uk-UA"/>
        </w:rPr>
        <w:t xml:space="preserve">За даними Рахункової палати України у цілому протягом 2013–2015 років до Державного бюджету надійшло майже </w:t>
      </w:r>
      <w:r>
        <w:rPr>
          <w:bCs/>
          <w:lang w:val="uk-UA"/>
        </w:rPr>
        <w:t xml:space="preserve">4,3 млрд грн </w:t>
      </w:r>
      <w:r>
        <w:rPr>
          <w:lang w:val="uk-UA"/>
        </w:rPr>
        <w:t xml:space="preserve">рентної плати (збору) за користування радіочастотним ресурсом України (далі – РЧР України). </w:t>
      </w:r>
    </w:p>
    <w:p w:rsidR="002F6B40" w:rsidRDefault="002F6B40" w:rsidP="009751DE">
      <w:pPr>
        <w:spacing w:before="120"/>
        <w:ind w:firstLine="709"/>
        <w:jc w:val="both"/>
      </w:pPr>
      <w:r>
        <w:t>Встановлено, що у 2014 році до державного бюджету надійшло на 42,6% більше, ніж у 2013 році, у 2015 році – на 48,4% більше, ніж у 2014 році.</w:t>
      </w:r>
    </w:p>
    <w:p w:rsidR="002F6B40" w:rsidRDefault="002F6B40" w:rsidP="009751DE">
      <w:pPr>
        <w:spacing w:before="120"/>
        <w:ind w:firstLine="709"/>
        <w:jc w:val="both"/>
      </w:pPr>
      <w:r>
        <w:t xml:space="preserve">Головними чинниками, що впливали на динаміку надходжень рентної плати (збору) за користування РЧР, були підвищення ставок цього платежу, а також суттєве збільшення у 2015 році сум переплат. </w:t>
      </w:r>
    </w:p>
    <w:p w:rsidR="002F6B40" w:rsidRDefault="002F6B40" w:rsidP="009751DE">
      <w:pPr>
        <w:spacing w:before="120"/>
        <w:ind w:firstLine="709"/>
        <w:jc w:val="both"/>
      </w:pPr>
      <w:r>
        <w:t xml:space="preserve">Так, наприклад, з 01.01.2013 до 01.01.2016 ставки рентної плати (збору) за користування РЧР підвищились майже </w:t>
      </w:r>
      <w:r>
        <w:rPr>
          <w:bCs/>
        </w:rPr>
        <w:t xml:space="preserve">в 2,2 </w:t>
      </w:r>
      <w:proofErr w:type="spellStart"/>
      <w:r>
        <w:rPr>
          <w:bCs/>
        </w:rPr>
        <w:t>раза</w:t>
      </w:r>
      <w:proofErr w:type="spellEnd"/>
      <w:r>
        <w:t>.</w:t>
      </w:r>
    </w:p>
    <w:p w:rsidR="002F6B40" w:rsidRDefault="002F6B40" w:rsidP="009751DE">
      <w:pPr>
        <w:spacing w:before="120"/>
        <w:ind w:firstLine="709"/>
        <w:jc w:val="both"/>
      </w:pPr>
      <w:r>
        <w:t xml:space="preserve">Слід зазначити, що крім вищезазначеного також збільшились розміри надходжень до державного бюджету плати за видачу ліцензій 3G. Оператори мобільного зв’язку за видачу ліцензій загалом сплатили </w:t>
      </w:r>
      <w:r>
        <w:rPr>
          <w:bCs/>
        </w:rPr>
        <w:t xml:space="preserve">8 770,4 млн грн. </w:t>
      </w:r>
      <w:r>
        <w:t>(з них: ТОВ «</w:t>
      </w:r>
      <w:proofErr w:type="spellStart"/>
      <w:r>
        <w:t>лайфселл</w:t>
      </w:r>
      <w:proofErr w:type="spellEnd"/>
      <w:r>
        <w:t>» – 3 355,4 млн грн; ПрАТ "МТС Україна" – 2 715,0 млн грн; ПрАТ "Київстар" – 2 700,0 млн гривень).</w:t>
      </w:r>
    </w:p>
    <w:p w:rsidR="002F6B40" w:rsidRDefault="002F6B40" w:rsidP="009751DE">
      <w:pPr>
        <w:tabs>
          <w:tab w:val="left" w:pos="851"/>
          <w:tab w:val="left" w:pos="1134"/>
        </w:tabs>
        <w:spacing w:before="120"/>
        <w:ind w:firstLine="709"/>
        <w:jc w:val="both"/>
        <w:rPr>
          <w:rFonts w:eastAsia="Calibri"/>
        </w:rPr>
      </w:pPr>
      <w:r>
        <w:rPr>
          <w:rFonts w:eastAsia="Calibri"/>
        </w:rPr>
        <w:t xml:space="preserve">Таким чином відбувається щорічне збільшення ставок плати за радіочастоти для операторів мобільного зв’язку. Враховуючи також 7,5% збору на обов’язкове державне пенсійне страхування, </w:t>
      </w:r>
      <w:r>
        <w:rPr>
          <w:rFonts w:eastAsia="Calibri"/>
          <w:u w:val="single"/>
        </w:rPr>
        <w:t xml:space="preserve">податкове навантаження за цими обов’язковими </w:t>
      </w:r>
      <w:proofErr w:type="spellStart"/>
      <w:r>
        <w:rPr>
          <w:rFonts w:eastAsia="Calibri"/>
          <w:u w:val="single"/>
        </w:rPr>
        <w:t>платежами</w:t>
      </w:r>
      <w:proofErr w:type="spellEnd"/>
      <w:r>
        <w:rPr>
          <w:rFonts w:eastAsia="Calibri"/>
          <w:u w:val="single"/>
        </w:rPr>
        <w:t xml:space="preserve"> загалом складає істотний відсоток від доходу</w:t>
      </w:r>
      <w:r>
        <w:rPr>
          <w:rFonts w:eastAsia="Calibri"/>
        </w:rPr>
        <w:t xml:space="preserve"> оператора. При цьому ці платежі підлягають сплаті  незалежно від наявності та розміру  прибутку. </w:t>
      </w:r>
    </w:p>
    <w:p w:rsidR="002F6B40" w:rsidRDefault="002F6B40" w:rsidP="009751DE">
      <w:pPr>
        <w:tabs>
          <w:tab w:val="left" w:pos="851"/>
          <w:tab w:val="left" w:pos="1134"/>
        </w:tabs>
        <w:spacing w:before="120"/>
        <w:ind w:firstLine="567"/>
        <w:jc w:val="both"/>
        <w:rPr>
          <w:rFonts w:eastAsia="Calibri"/>
        </w:rPr>
      </w:pPr>
      <w:r>
        <w:rPr>
          <w:rFonts w:eastAsia="Calibri"/>
        </w:rPr>
        <w:t xml:space="preserve">Крім того, мобільний зв'язок – це завжди великі інвестиції в сучасне дуже дороге обладнання, яке не виробляється в Україні та потребує постійного оновлення у зв’язку з майже щорічним оновленням або модернізацією технологій на ринку телекомунікацій. Оператори вимушені додатково сплачувати в бюджет великі суми митних платежів при імпорті телекомунікаційного обладнання, яке не виробляється в Україні. </w:t>
      </w:r>
    </w:p>
    <w:p w:rsidR="002F6B40" w:rsidRDefault="002F6B40" w:rsidP="009751DE">
      <w:pPr>
        <w:tabs>
          <w:tab w:val="left" w:pos="851"/>
          <w:tab w:val="left" w:pos="1134"/>
        </w:tabs>
        <w:spacing w:before="120"/>
        <w:ind w:firstLine="709"/>
        <w:jc w:val="both"/>
        <w:rPr>
          <w:rFonts w:eastAsia="Calibri"/>
          <w:u w:val="single"/>
        </w:rPr>
      </w:pPr>
      <w:r>
        <w:t xml:space="preserve">Хочемо звернути увагу, що </w:t>
      </w:r>
      <w:r>
        <w:rPr>
          <w:rFonts w:eastAsia="Calibri"/>
        </w:rPr>
        <w:t>частоти для видів радіозв’язку, зазначених у п.254.4 ст.254 ПКУ використовуються не тільки операторами мобільного зв</w:t>
      </w:r>
      <w:r>
        <w:rPr>
          <w:rFonts w:eastAsia="Calibri"/>
          <w:lang w:val="ru-RU"/>
        </w:rPr>
        <w:t>’</w:t>
      </w:r>
      <w:proofErr w:type="spellStart"/>
      <w:r>
        <w:rPr>
          <w:rFonts w:eastAsia="Calibri"/>
        </w:rPr>
        <w:t>язку</w:t>
      </w:r>
      <w:proofErr w:type="spellEnd"/>
      <w:r>
        <w:rPr>
          <w:rFonts w:eastAsia="Calibri"/>
        </w:rPr>
        <w:t xml:space="preserve">. Низькі витрати за використання радіочастот для інших комерційних користувачів дозволяють їм нераціонально </w:t>
      </w:r>
      <w:r>
        <w:rPr>
          <w:rFonts w:eastAsia="Calibri"/>
        </w:rPr>
        <w:lastRenderedPageBreak/>
        <w:t xml:space="preserve">використовувати дуже цінний та обмежений ресурс. </w:t>
      </w:r>
      <w:r>
        <w:rPr>
          <w:rFonts w:eastAsia="Calibri"/>
          <w:u w:val="single"/>
        </w:rPr>
        <w:t xml:space="preserve">При цьому обов’язок внесення в бюджет справедливої плати за радіочастоти необґрунтовано переноситься з цілого ряду користувачів на декількох операторів мобільного зв’язку. </w:t>
      </w:r>
    </w:p>
    <w:p w:rsidR="002F6B40" w:rsidRDefault="002F6B40" w:rsidP="009751DE">
      <w:pPr>
        <w:tabs>
          <w:tab w:val="left" w:pos="851"/>
          <w:tab w:val="left" w:pos="1134"/>
        </w:tabs>
        <w:spacing w:before="120"/>
        <w:ind w:firstLine="709"/>
        <w:jc w:val="both"/>
        <w:rPr>
          <w:rFonts w:eastAsia="Calibri"/>
        </w:rPr>
      </w:pPr>
      <w:r>
        <w:rPr>
          <w:rFonts w:eastAsia="Calibri"/>
        </w:rPr>
        <w:t xml:space="preserve">Отже, з метою запобігання дискримінації, ставки рентної плати за користування радіочастотним ресурсом не повинні так суттєво відрізнятись для різних користувачів радіочастотного ресурсу України.  </w:t>
      </w:r>
    </w:p>
    <w:p w:rsidR="002F6B40" w:rsidRDefault="002F6B40" w:rsidP="009751DE">
      <w:pPr>
        <w:tabs>
          <w:tab w:val="left" w:pos="851"/>
          <w:tab w:val="left" w:pos="1134"/>
        </w:tabs>
        <w:spacing w:before="120"/>
        <w:ind w:firstLine="709"/>
        <w:jc w:val="both"/>
        <w:rPr>
          <w:rFonts w:eastAsia="Calibri"/>
        </w:rPr>
      </w:pPr>
      <w:r>
        <w:rPr>
          <w:rFonts w:eastAsia="Calibri"/>
        </w:rPr>
        <w:t xml:space="preserve">На нашу думку, </w:t>
      </w:r>
      <w:r>
        <w:t xml:space="preserve">встановлення ставок рентної плати, рівень яких в десятки раз відрізняється для різних користувачів, порушує  ряд принципів податкового законодавства України, які визначені статтею 4 ПКУ, а саме: </w:t>
      </w:r>
    </w:p>
    <w:p w:rsidR="002F6B40" w:rsidRDefault="002F6B40" w:rsidP="009751DE">
      <w:pPr>
        <w:tabs>
          <w:tab w:val="left" w:pos="851"/>
          <w:tab w:val="left" w:pos="1134"/>
        </w:tabs>
        <w:spacing w:before="120"/>
        <w:ind w:firstLine="709"/>
        <w:jc w:val="both"/>
        <w:rPr>
          <w:rFonts w:eastAsia="Calibri"/>
        </w:rPr>
      </w:pPr>
      <w:r>
        <w:rPr>
          <w:rFonts w:eastAsia="Calibri"/>
        </w:rPr>
        <w:t>- рівність усіх платників перед законом, недопущення будь яких проявів податкової дискримінації – забезпечення однакового підходу до всіх платників податків (пп.4.1.2 п.4.1 ст.4 ПКУ);</w:t>
      </w:r>
    </w:p>
    <w:p w:rsidR="002F6B40" w:rsidRDefault="002F6B40" w:rsidP="009751DE">
      <w:pPr>
        <w:tabs>
          <w:tab w:val="left" w:pos="851"/>
          <w:tab w:val="left" w:pos="1134"/>
        </w:tabs>
        <w:spacing w:before="120"/>
        <w:ind w:firstLine="709"/>
        <w:jc w:val="both"/>
        <w:rPr>
          <w:rFonts w:eastAsia="Calibri"/>
        </w:rPr>
      </w:pPr>
      <w:r>
        <w:rPr>
          <w:rFonts w:eastAsia="Calibri"/>
        </w:rPr>
        <w:t>- соціальна справедливість – установлення податків та зборів відповідно до платоспроможності платників податків (пп.4.1.6 п.4.1 ст.4 ПКУ).</w:t>
      </w:r>
    </w:p>
    <w:p w:rsidR="002F6B40" w:rsidRDefault="002F6B40" w:rsidP="009751DE">
      <w:pPr>
        <w:tabs>
          <w:tab w:val="left" w:pos="851"/>
          <w:tab w:val="left" w:pos="1134"/>
        </w:tabs>
        <w:spacing w:before="120"/>
        <w:ind w:firstLine="709"/>
        <w:jc w:val="both"/>
        <w:rPr>
          <w:rFonts w:eastAsia="Calibri"/>
        </w:rPr>
      </w:pPr>
      <w:r>
        <w:rPr>
          <w:rFonts w:eastAsia="Calibri"/>
        </w:rPr>
        <w:t>- нейтральність оподаткування – установлення податків та зборів у спосіб, який не впливає на збільшення або зменшення конкурентоздатності платника податку (пп.4.1.8 п.4.1 ст.4 ПКУ).</w:t>
      </w:r>
    </w:p>
    <w:p w:rsidR="002F6B40" w:rsidRDefault="002F6B40" w:rsidP="009751DE">
      <w:pPr>
        <w:tabs>
          <w:tab w:val="left" w:pos="851"/>
          <w:tab w:val="left" w:pos="1134"/>
        </w:tabs>
        <w:spacing w:before="120"/>
        <w:ind w:firstLine="709"/>
        <w:jc w:val="both"/>
        <w:rPr>
          <w:rFonts w:eastAsia="Calibri"/>
        </w:rPr>
      </w:pPr>
      <w:r>
        <w:rPr>
          <w:rFonts w:eastAsia="Calibri"/>
        </w:rPr>
        <w:t>З урахуванням викладеного та на підставі заявлених цілей та пріоритетів Податкової реформи пропонуємо:</w:t>
      </w:r>
    </w:p>
    <w:p w:rsidR="002F6B40" w:rsidRDefault="002F6B40" w:rsidP="009751DE">
      <w:pPr>
        <w:pStyle w:val="ad"/>
        <w:numPr>
          <w:ilvl w:val="0"/>
          <w:numId w:val="19"/>
        </w:numPr>
        <w:tabs>
          <w:tab w:val="left" w:pos="0"/>
          <w:tab w:val="left" w:pos="1418"/>
        </w:tabs>
        <w:spacing w:before="120"/>
        <w:ind w:left="0" w:firstLine="709"/>
        <w:jc w:val="both"/>
        <w:rPr>
          <w:rFonts w:eastAsia="Calibri"/>
        </w:rPr>
      </w:pPr>
      <w:r>
        <w:rPr>
          <w:rFonts w:eastAsia="Calibri"/>
          <w:b/>
        </w:rPr>
        <w:t xml:space="preserve"> </w:t>
      </w:r>
      <w:r>
        <w:rPr>
          <w:rFonts w:eastAsia="Calibri"/>
        </w:rPr>
        <w:t>не допустити погіршення умов розвитку ринку телекомунікацій внаслідок введення великої плати за користування радіочастотним ресурсом України для операторів стільникового зв’язку та не здійснювати щорічне збільшення ставок податків;</w:t>
      </w:r>
    </w:p>
    <w:p w:rsidR="002F6B40" w:rsidRDefault="002F6B40" w:rsidP="009751DE">
      <w:pPr>
        <w:pStyle w:val="ad"/>
        <w:numPr>
          <w:ilvl w:val="0"/>
          <w:numId w:val="19"/>
        </w:numPr>
        <w:tabs>
          <w:tab w:val="left" w:pos="0"/>
        </w:tabs>
        <w:spacing w:before="120"/>
        <w:ind w:left="0" w:firstLine="709"/>
        <w:jc w:val="both"/>
        <w:rPr>
          <w:rFonts w:eastAsia="Calibri"/>
        </w:rPr>
      </w:pPr>
      <w:r>
        <w:rPr>
          <w:rFonts w:eastAsia="Calibri"/>
        </w:rPr>
        <w:t>провести</w:t>
      </w:r>
      <w:r>
        <w:rPr>
          <w:rFonts w:eastAsia="Calibri"/>
          <w:b/>
        </w:rPr>
        <w:t xml:space="preserve"> </w:t>
      </w:r>
      <w:r>
        <w:rPr>
          <w:rFonts w:eastAsia="Calibri"/>
        </w:rPr>
        <w:t xml:space="preserve">перегляд розміру ставок рентної плати за користування радіочастотним ресурсом для інших користувачів. Ставки рентної плати повинні бути рівними для усіх платників податків, які займаються комерційною діяльністю. </w:t>
      </w:r>
    </w:p>
    <w:p w:rsidR="002F6B40" w:rsidRDefault="002F6B40" w:rsidP="009751DE">
      <w:pPr>
        <w:pStyle w:val="af1"/>
        <w:spacing w:before="12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Щодо законопроектів, які передбачають заміну рентної плати за користування радіочастотним ресурсом на відповідну регулярну плату, з внесенням відповідних змін до ПКУ, зазначаємо наступне.</w:t>
      </w:r>
    </w:p>
    <w:p w:rsidR="002F6B40" w:rsidRDefault="002F6B40" w:rsidP="009751DE">
      <w:pPr>
        <w:pStyle w:val="af1"/>
        <w:spacing w:before="12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Запропонована проектами Законів №5019, №5021, №5052 заміна терміну                  «рентна плата» на схожий термін «регулярна плата», або «</w:t>
      </w:r>
      <w:r>
        <w:rPr>
          <w:rFonts w:ascii="Times New Roman" w:hAnsi="Times New Roman" w:cs="Times New Roman"/>
          <w:bCs/>
          <w:sz w:val="24"/>
          <w:szCs w:val="24"/>
          <w:lang w:val="uk-UA"/>
        </w:rPr>
        <w:t>ліцензійна плата за користування радіочастотним ресурсом»</w:t>
      </w:r>
      <w:r>
        <w:rPr>
          <w:bCs/>
          <w:sz w:val="28"/>
          <w:szCs w:val="28"/>
          <w:lang w:val="uk-UA"/>
        </w:rPr>
        <w:t xml:space="preserve"> </w:t>
      </w:r>
      <w:r>
        <w:rPr>
          <w:rFonts w:ascii="Times New Roman" w:hAnsi="Times New Roman" w:cs="Times New Roman"/>
          <w:sz w:val="24"/>
          <w:szCs w:val="24"/>
          <w:lang w:val="uk-UA"/>
        </w:rPr>
        <w:t>на наш погляд, має своєю основною метою виведення відповідної плати, що передбачена Законом про радіочастотний ресурс України, з-під дії пунктів 9.1</w:t>
      </w:r>
      <w:r>
        <w:rPr>
          <w:rStyle w:val="af0"/>
          <w:rFonts w:ascii="Times New Roman" w:hAnsi="Times New Roman" w:cs="Times New Roman"/>
          <w:sz w:val="24"/>
          <w:szCs w:val="24"/>
        </w:rPr>
        <w:footnoteReference w:id="1"/>
      </w:r>
      <w:r>
        <w:rPr>
          <w:rFonts w:ascii="Times New Roman" w:hAnsi="Times New Roman" w:cs="Times New Roman"/>
          <w:sz w:val="24"/>
          <w:szCs w:val="24"/>
          <w:lang w:val="uk-UA"/>
        </w:rPr>
        <w:t xml:space="preserve"> та 9.4</w:t>
      </w:r>
      <w:r>
        <w:rPr>
          <w:rStyle w:val="af0"/>
          <w:rFonts w:ascii="Times New Roman" w:hAnsi="Times New Roman" w:cs="Times New Roman"/>
          <w:sz w:val="24"/>
          <w:szCs w:val="24"/>
        </w:rPr>
        <w:footnoteReference w:id="2"/>
      </w:r>
      <w:r>
        <w:rPr>
          <w:rFonts w:ascii="Times New Roman" w:hAnsi="Times New Roman" w:cs="Times New Roman"/>
          <w:sz w:val="24"/>
          <w:szCs w:val="24"/>
          <w:lang w:val="uk-UA"/>
        </w:rPr>
        <w:t xml:space="preserve"> статті 9 ПКУ</w:t>
      </w:r>
      <w:r>
        <w:rPr>
          <w:rFonts w:ascii="Times New Roman" w:hAnsi="Times New Roman" w:cs="Times New Roman"/>
          <w:i/>
          <w:sz w:val="24"/>
          <w:szCs w:val="24"/>
          <w:lang w:val="uk-UA"/>
        </w:rPr>
        <w:t>.</w:t>
      </w:r>
    </w:p>
    <w:p w:rsidR="002F6B40" w:rsidRDefault="002F6B40" w:rsidP="009751DE">
      <w:pPr>
        <w:pStyle w:val="af1"/>
        <w:spacing w:before="12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Законів №5019, №5021, №5052 скасовують діючий та робочий механізм розрахунку плати за використання радіочастотного ресурсу, однак не встановлюють чіткого нового механізму розрахунку такої плати. </w:t>
      </w:r>
    </w:p>
    <w:p w:rsidR="002F6B40" w:rsidRDefault="002F6B40" w:rsidP="009751DE">
      <w:pPr>
        <w:pStyle w:val="af1"/>
        <w:spacing w:before="12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конкретних положень про числове вираження сум, що підлягають сплаті, створює невизначеність для суб’єктів, що діють на ринку радіочастотного зв’язку, а також може </w:t>
      </w:r>
      <w:r>
        <w:rPr>
          <w:rFonts w:ascii="Times New Roman" w:hAnsi="Times New Roman" w:cs="Times New Roman"/>
          <w:sz w:val="24"/>
          <w:szCs w:val="24"/>
          <w:lang w:val="uk-UA"/>
        </w:rPr>
        <w:lastRenderedPageBreak/>
        <w:t>викликати підвищення собівартості телекомунікаційних послуг, та буде створювати несприятливі умови діяльності у сфері комунікацій.</w:t>
      </w:r>
    </w:p>
    <w:p w:rsidR="00340629" w:rsidRPr="007E5BAF" w:rsidRDefault="00340629" w:rsidP="009751DE">
      <w:pPr>
        <w:spacing w:before="120"/>
        <w:ind w:firstLine="709"/>
        <w:jc w:val="both"/>
        <w:rPr>
          <w:color w:val="000000"/>
          <w:bdr w:val="none" w:sz="0" w:space="0" w:color="auto" w:frame="1"/>
        </w:rPr>
      </w:pPr>
      <w:r w:rsidRPr="007E5BAF">
        <w:rPr>
          <w:color w:val="000000"/>
          <w:bdr w:val="none" w:sz="0" w:space="0" w:color="auto" w:frame="1"/>
        </w:rPr>
        <w:t xml:space="preserve">У разі виникнення будь-яких запитань щодо цього звернення просимо Вас визначити відповідальну особу, яка зможе звернутися за телефоном 490-5800 та за електронною </w:t>
      </w:r>
      <w:proofErr w:type="spellStart"/>
      <w:r w:rsidRPr="007E5BAF">
        <w:rPr>
          <w:color w:val="000000"/>
          <w:bdr w:val="none" w:sz="0" w:space="0" w:color="auto" w:frame="1"/>
        </w:rPr>
        <w:t>адресою</w:t>
      </w:r>
      <w:proofErr w:type="spellEnd"/>
      <w:r w:rsidRPr="007E5BAF">
        <w:rPr>
          <w:color w:val="000000"/>
          <w:bdr w:val="none" w:sz="0" w:space="0" w:color="auto" w:frame="1"/>
        </w:rPr>
        <w:t xml:space="preserve">: </w:t>
      </w:r>
      <w:hyperlink r:id="rId13" w:history="1">
        <w:r w:rsidRPr="007E5BAF">
          <w:rPr>
            <w:rStyle w:val="a9"/>
            <w:bdr w:val="none" w:sz="0" w:space="0" w:color="auto" w:frame="1"/>
          </w:rPr>
          <w:t>oprokhorovych@chamber.ua</w:t>
        </w:r>
      </w:hyperlink>
      <w:r w:rsidRPr="007E5BAF">
        <w:rPr>
          <w:color w:val="000000"/>
          <w:bdr w:val="none" w:sz="0" w:space="0" w:color="auto" w:frame="1"/>
        </w:rPr>
        <w:t xml:space="preserve"> до Олександра Прохоровича, менеджера Палати з питань стратегічного розвитку (</w:t>
      </w:r>
      <w:r w:rsidRPr="00FE6803">
        <w:t>оподаткування та митна політика</w:t>
      </w:r>
      <w:r w:rsidRPr="007E5BAF">
        <w:rPr>
          <w:color w:val="000000"/>
          <w:bdr w:val="none" w:sz="0" w:space="0" w:color="auto" w:frame="1"/>
        </w:rPr>
        <w:t xml:space="preserve">). </w:t>
      </w:r>
    </w:p>
    <w:p w:rsidR="00340629" w:rsidRDefault="00340629" w:rsidP="00340629">
      <w:pPr>
        <w:spacing w:before="120" w:after="120"/>
        <w:ind w:firstLine="709"/>
        <w:jc w:val="both"/>
      </w:pPr>
    </w:p>
    <w:p w:rsidR="00340629" w:rsidRDefault="00340629" w:rsidP="00340629">
      <w:pPr>
        <w:jc w:val="both"/>
        <w:rPr>
          <w:b/>
        </w:rPr>
      </w:pPr>
      <w:r w:rsidRPr="006C2F7C">
        <w:rPr>
          <w:b/>
        </w:rPr>
        <w:t>З глибокою повагою та найкращими побажаннями,</w:t>
      </w:r>
    </w:p>
    <w:p w:rsidR="00340629" w:rsidRPr="006C2F7C" w:rsidRDefault="00340629" w:rsidP="00340629">
      <w:pPr>
        <w:jc w:val="both"/>
      </w:pPr>
    </w:p>
    <w:p w:rsidR="00340629" w:rsidRPr="006C2F7C" w:rsidRDefault="00340629" w:rsidP="00340629">
      <w:pPr>
        <w:jc w:val="both"/>
        <w:rPr>
          <w:b/>
        </w:rPr>
      </w:pPr>
      <w:r w:rsidRPr="006C2F7C">
        <w:rPr>
          <w:rStyle w:val="ab"/>
          <w:color w:val="000000"/>
        </w:rPr>
        <w:t>Президент</w:t>
      </w:r>
      <w:r w:rsidRPr="006C2F7C">
        <w:rPr>
          <w:rStyle w:val="ab"/>
          <w:color w:val="000000"/>
        </w:rPr>
        <w:tab/>
      </w:r>
      <w:r w:rsidRPr="006C2F7C">
        <w:rPr>
          <w:rStyle w:val="ab"/>
          <w:color w:val="000000"/>
        </w:rPr>
        <w:tab/>
      </w:r>
      <w:r w:rsidRPr="006C2F7C">
        <w:rPr>
          <w:rStyle w:val="ab"/>
          <w:color w:val="000000"/>
        </w:rPr>
        <w:tab/>
      </w:r>
      <w:r w:rsidRPr="006C2F7C">
        <w:rPr>
          <w:b/>
        </w:rPr>
        <w:tab/>
      </w:r>
      <w:r w:rsidRPr="006C2F7C">
        <w:rPr>
          <w:b/>
        </w:rPr>
        <w:tab/>
      </w:r>
      <w:r w:rsidRPr="006C2F7C">
        <w:rPr>
          <w:b/>
        </w:rPr>
        <w:tab/>
      </w:r>
      <w:r w:rsidRPr="006C2F7C">
        <w:rPr>
          <w:b/>
        </w:rPr>
        <w:tab/>
      </w:r>
      <w:r w:rsidRPr="006C2F7C">
        <w:rPr>
          <w:b/>
        </w:rPr>
        <w:tab/>
        <w:t xml:space="preserve">      </w:t>
      </w:r>
      <w:r>
        <w:rPr>
          <w:b/>
        </w:rPr>
        <w:t xml:space="preserve">                            </w:t>
      </w:r>
      <w:r w:rsidRPr="006C2F7C">
        <w:rPr>
          <w:b/>
        </w:rPr>
        <w:t xml:space="preserve">Андрій </w:t>
      </w:r>
      <w:proofErr w:type="spellStart"/>
      <w:r w:rsidRPr="006C2F7C">
        <w:rPr>
          <w:b/>
        </w:rPr>
        <w:t>Гундер</w:t>
      </w:r>
      <w:proofErr w:type="spellEnd"/>
      <w:r w:rsidRPr="006C2F7C">
        <w:rPr>
          <w:b/>
        </w:rPr>
        <w:t xml:space="preserve"> </w:t>
      </w:r>
    </w:p>
    <w:p w:rsidR="00340629" w:rsidRPr="00C1019E" w:rsidRDefault="00340629" w:rsidP="00340629">
      <w:pPr>
        <w:spacing w:before="120" w:after="120"/>
        <w:ind w:firstLine="709"/>
        <w:jc w:val="both"/>
      </w:pPr>
    </w:p>
    <w:p w:rsidR="00E96BEC" w:rsidRPr="00834080" w:rsidRDefault="00E96BEC" w:rsidP="00340629">
      <w:pPr>
        <w:rPr>
          <w:b/>
        </w:rPr>
      </w:pPr>
    </w:p>
    <w:sectPr w:rsidR="00E96BEC" w:rsidRPr="00834080" w:rsidSect="00A97B35">
      <w:headerReference w:type="even" r:id="rId14"/>
      <w:headerReference w:type="default" r:id="rId15"/>
      <w:footerReference w:type="default" r:id="rId16"/>
      <w:headerReference w:type="first" r:id="rId17"/>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E9" w:rsidRDefault="005803E9" w:rsidP="00742BAD">
      <w:r>
        <w:separator/>
      </w:r>
    </w:p>
  </w:endnote>
  <w:endnote w:type="continuationSeparator" w:id="0">
    <w:p w:rsidR="005803E9" w:rsidRDefault="005803E9"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E9" w:rsidRDefault="005803E9" w:rsidP="00742BAD">
      <w:r>
        <w:separator/>
      </w:r>
    </w:p>
  </w:footnote>
  <w:footnote w:type="continuationSeparator" w:id="0">
    <w:p w:rsidR="005803E9" w:rsidRDefault="005803E9" w:rsidP="00742BAD">
      <w:r>
        <w:continuationSeparator/>
      </w:r>
    </w:p>
  </w:footnote>
  <w:footnote w:id="1">
    <w:p w:rsidR="002F6B40" w:rsidRDefault="002F6B40" w:rsidP="002F6B40">
      <w:pPr>
        <w:pStyle w:val="ae"/>
        <w:jc w:val="both"/>
        <w:rPr>
          <w:i/>
        </w:rPr>
      </w:pPr>
      <w:r>
        <w:rPr>
          <w:rStyle w:val="af0"/>
          <w:i/>
        </w:rPr>
        <w:footnoteRef/>
      </w:r>
      <w:r>
        <w:rPr>
          <w:i/>
        </w:rPr>
        <w:t xml:space="preserve"> «</w:t>
      </w:r>
      <w:r>
        <w:rPr>
          <w:i/>
          <w:color w:val="000000"/>
          <w:shd w:val="clear" w:color="auto" w:fill="FFFFFF"/>
        </w:rPr>
        <w:t>9.1. До загальнодержавних податків належать: … 9.1.6. рентна плата;…».</w:t>
      </w:r>
    </w:p>
  </w:footnote>
  <w:footnote w:id="2">
    <w:p w:rsidR="002F6B40" w:rsidRDefault="002F6B40" w:rsidP="002F6B40">
      <w:pPr>
        <w:pStyle w:val="ae"/>
        <w:jc w:val="both"/>
        <w:rPr>
          <w:b/>
          <w:i/>
        </w:rPr>
      </w:pPr>
      <w:r>
        <w:rPr>
          <w:rStyle w:val="af0"/>
          <w:i/>
        </w:rPr>
        <w:footnoteRef/>
      </w:r>
      <w:r>
        <w:rPr>
          <w:i/>
        </w:rPr>
        <w:t xml:space="preserve"> «</w:t>
      </w:r>
      <w:r>
        <w:rPr>
          <w:i/>
          <w:u w:val="single"/>
        </w:rPr>
        <w:t>Установлення загальнодержавних податків та зборів, не передбачених цим Кодексом, забороняється</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5803E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5803E9"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lang w:val="en-US" w:eastAsia="en-US"/>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5803E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F15E7"/>
    <w:multiLevelType w:val="hybridMultilevel"/>
    <w:tmpl w:val="D874523A"/>
    <w:lvl w:ilvl="0" w:tplc="C36EEB1A">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DB155CF"/>
    <w:multiLevelType w:val="hybridMultilevel"/>
    <w:tmpl w:val="525636C2"/>
    <w:lvl w:ilvl="0" w:tplc="F094EF0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4F8018EC"/>
    <w:multiLevelType w:val="hybridMultilevel"/>
    <w:tmpl w:val="1D9AEC64"/>
    <w:lvl w:ilvl="0" w:tplc="B3BCCC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num>
  <w:num w:numId="3">
    <w:abstractNumId w:val="11"/>
  </w:num>
  <w:num w:numId="4">
    <w:abstractNumId w:val="4"/>
  </w:num>
  <w:num w:numId="5">
    <w:abstractNumId w:val="13"/>
  </w:num>
  <w:num w:numId="6">
    <w:abstractNumId w:val="7"/>
  </w:num>
  <w:num w:numId="7">
    <w:abstractNumId w:val="3"/>
  </w:num>
  <w:num w:numId="8">
    <w:abstractNumId w:val="9"/>
  </w:num>
  <w:num w:numId="9">
    <w:abstractNumId w:val="8"/>
  </w:num>
  <w:num w:numId="10">
    <w:abstractNumId w:val="17"/>
  </w:num>
  <w:num w:numId="11">
    <w:abstractNumId w:val="6"/>
  </w:num>
  <w:num w:numId="12">
    <w:abstractNumId w:val="1"/>
  </w:num>
  <w:num w:numId="13">
    <w:abstractNumId w:val="18"/>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47D13"/>
    <w:rsid w:val="000563D0"/>
    <w:rsid w:val="00065140"/>
    <w:rsid w:val="00067386"/>
    <w:rsid w:val="000712AD"/>
    <w:rsid w:val="000713D1"/>
    <w:rsid w:val="00072CB3"/>
    <w:rsid w:val="000764D8"/>
    <w:rsid w:val="0008718A"/>
    <w:rsid w:val="00090086"/>
    <w:rsid w:val="000A5203"/>
    <w:rsid w:val="000B0DBE"/>
    <w:rsid w:val="000D18EA"/>
    <w:rsid w:val="000E1D29"/>
    <w:rsid w:val="000E3826"/>
    <w:rsid w:val="000E63EE"/>
    <w:rsid w:val="000F0214"/>
    <w:rsid w:val="000F30BD"/>
    <w:rsid w:val="00107751"/>
    <w:rsid w:val="001121F8"/>
    <w:rsid w:val="001129C6"/>
    <w:rsid w:val="001144A8"/>
    <w:rsid w:val="001368E3"/>
    <w:rsid w:val="0014059B"/>
    <w:rsid w:val="00154087"/>
    <w:rsid w:val="00165464"/>
    <w:rsid w:val="00167C1D"/>
    <w:rsid w:val="00173309"/>
    <w:rsid w:val="00176FC0"/>
    <w:rsid w:val="00182929"/>
    <w:rsid w:val="0018462B"/>
    <w:rsid w:val="0018481A"/>
    <w:rsid w:val="001949C6"/>
    <w:rsid w:val="001A49ED"/>
    <w:rsid w:val="001A7A1C"/>
    <w:rsid w:val="001B1E0E"/>
    <w:rsid w:val="001C1914"/>
    <w:rsid w:val="001C5DFB"/>
    <w:rsid w:val="001F2EDF"/>
    <w:rsid w:val="00201D61"/>
    <w:rsid w:val="00204B14"/>
    <w:rsid w:val="00206E58"/>
    <w:rsid w:val="002129E8"/>
    <w:rsid w:val="00230124"/>
    <w:rsid w:val="002424FC"/>
    <w:rsid w:val="002722B6"/>
    <w:rsid w:val="002819F1"/>
    <w:rsid w:val="00286295"/>
    <w:rsid w:val="00293BCD"/>
    <w:rsid w:val="00294906"/>
    <w:rsid w:val="002A1E61"/>
    <w:rsid w:val="002B416F"/>
    <w:rsid w:val="002B41E3"/>
    <w:rsid w:val="002B60F0"/>
    <w:rsid w:val="002C06AF"/>
    <w:rsid w:val="002D1292"/>
    <w:rsid w:val="002E1592"/>
    <w:rsid w:val="002F10D6"/>
    <w:rsid w:val="002F6B40"/>
    <w:rsid w:val="00310407"/>
    <w:rsid w:val="003119DD"/>
    <w:rsid w:val="00311B6E"/>
    <w:rsid w:val="0031780C"/>
    <w:rsid w:val="00320A56"/>
    <w:rsid w:val="00326293"/>
    <w:rsid w:val="003323AC"/>
    <w:rsid w:val="003335FB"/>
    <w:rsid w:val="00336BB2"/>
    <w:rsid w:val="00340629"/>
    <w:rsid w:val="00350E18"/>
    <w:rsid w:val="0036110F"/>
    <w:rsid w:val="0036249D"/>
    <w:rsid w:val="0036794C"/>
    <w:rsid w:val="00377540"/>
    <w:rsid w:val="00385169"/>
    <w:rsid w:val="00386D3A"/>
    <w:rsid w:val="003979A2"/>
    <w:rsid w:val="003A1F50"/>
    <w:rsid w:val="003B511D"/>
    <w:rsid w:val="003B5ED9"/>
    <w:rsid w:val="003B74BB"/>
    <w:rsid w:val="003C1500"/>
    <w:rsid w:val="003D520D"/>
    <w:rsid w:val="003E256D"/>
    <w:rsid w:val="003E4E18"/>
    <w:rsid w:val="003F0939"/>
    <w:rsid w:val="003F7D10"/>
    <w:rsid w:val="00404E0F"/>
    <w:rsid w:val="00410837"/>
    <w:rsid w:val="00413B48"/>
    <w:rsid w:val="00420ED4"/>
    <w:rsid w:val="004329B3"/>
    <w:rsid w:val="00440422"/>
    <w:rsid w:val="00442194"/>
    <w:rsid w:val="0045328F"/>
    <w:rsid w:val="00465F45"/>
    <w:rsid w:val="00472201"/>
    <w:rsid w:val="00487357"/>
    <w:rsid w:val="00487B06"/>
    <w:rsid w:val="00497FFD"/>
    <w:rsid w:val="004A043D"/>
    <w:rsid w:val="004B4344"/>
    <w:rsid w:val="004B4D55"/>
    <w:rsid w:val="004B64F6"/>
    <w:rsid w:val="004C0963"/>
    <w:rsid w:val="004C15D3"/>
    <w:rsid w:val="004C3FCF"/>
    <w:rsid w:val="004E394C"/>
    <w:rsid w:val="004E7215"/>
    <w:rsid w:val="0050730B"/>
    <w:rsid w:val="00531003"/>
    <w:rsid w:val="00545DBA"/>
    <w:rsid w:val="00547C35"/>
    <w:rsid w:val="00555217"/>
    <w:rsid w:val="00556F08"/>
    <w:rsid w:val="0056346F"/>
    <w:rsid w:val="00567698"/>
    <w:rsid w:val="00570FD0"/>
    <w:rsid w:val="005803E9"/>
    <w:rsid w:val="00581BFA"/>
    <w:rsid w:val="00590E60"/>
    <w:rsid w:val="005A0673"/>
    <w:rsid w:val="005A27B1"/>
    <w:rsid w:val="005A6A22"/>
    <w:rsid w:val="005C0201"/>
    <w:rsid w:val="005D0C5B"/>
    <w:rsid w:val="005D49FE"/>
    <w:rsid w:val="005D7303"/>
    <w:rsid w:val="005E64FC"/>
    <w:rsid w:val="005F1110"/>
    <w:rsid w:val="006007A6"/>
    <w:rsid w:val="00612DEE"/>
    <w:rsid w:val="00612EE6"/>
    <w:rsid w:val="00624983"/>
    <w:rsid w:val="00642A4C"/>
    <w:rsid w:val="0064737E"/>
    <w:rsid w:val="00682652"/>
    <w:rsid w:val="00682C77"/>
    <w:rsid w:val="0068417E"/>
    <w:rsid w:val="006A0F1F"/>
    <w:rsid w:val="006A48BA"/>
    <w:rsid w:val="006A63D0"/>
    <w:rsid w:val="006B26A5"/>
    <w:rsid w:val="006D02CA"/>
    <w:rsid w:val="006D63E3"/>
    <w:rsid w:val="006D6942"/>
    <w:rsid w:val="00712510"/>
    <w:rsid w:val="00722997"/>
    <w:rsid w:val="00742BAD"/>
    <w:rsid w:val="0076187F"/>
    <w:rsid w:val="00765CFE"/>
    <w:rsid w:val="00784D33"/>
    <w:rsid w:val="00784D53"/>
    <w:rsid w:val="0078776B"/>
    <w:rsid w:val="007939AA"/>
    <w:rsid w:val="007A2437"/>
    <w:rsid w:val="007A465A"/>
    <w:rsid w:val="007C2209"/>
    <w:rsid w:val="007C4A88"/>
    <w:rsid w:val="007C500B"/>
    <w:rsid w:val="007C508D"/>
    <w:rsid w:val="007E6323"/>
    <w:rsid w:val="007E7B79"/>
    <w:rsid w:val="007F3122"/>
    <w:rsid w:val="007F31E2"/>
    <w:rsid w:val="007F381B"/>
    <w:rsid w:val="007F691E"/>
    <w:rsid w:val="00803852"/>
    <w:rsid w:val="00807AD4"/>
    <w:rsid w:val="008135B8"/>
    <w:rsid w:val="00822E86"/>
    <w:rsid w:val="008253F3"/>
    <w:rsid w:val="00826CC3"/>
    <w:rsid w:val="00834080"/>
    <w:rsid w:val="00837CAC"/>
    <w:rsid w:val="008406CF"/>
    <w:rsid w:val="008509D2"/>
    <w:rsid w:val="00851029"/>
    <w:rsid w:val="0085755E"/>
    <w:rsid w:val="00866DC7"/>
    <w:rsid w:val="00876D67"/>
    <w:rsid w:val="00877CFB"/>
    <w:rsid w:val="0089188B"/>
    <w:rsid w:val="0089440A"/>
    <w:rsid w:val="008A6C42"/>
    <w:rsid w:val="008B0CB1"/>
    <w:rsid w:val="008B4252"/>
    <w:rsid w:val="008C17A6"/>
    <w:rsid w:val="008C32A0"/>
    <w:rsid w:val="008C457F"/>
    <w:rsid w:val="008D7BE7"/>
    <w:rsid w:val="008E18A2"/>
    <w:rsid w:val="008F264B"/>
    <w:rsid w:val="009029FE"/>
    <w:rsid w:val="00912808"/>
    <w:rsid w:val="00913EF0"/>
    <w:rsid w:val="00920E9D"/>
    <w:rsid w:val="0093791A"/>
    <w:rsid w:val="009553F2"/>
    <w:rsid w:val="00965AA4"/>
    <w:rsid w:val="00973BDE"/>
    <w:rsid w:val="009751DE"/>
    <w:rsid w:val="00980DE8"/>
    <w:rsid w:val="009A0B4F"/>
    <w:rsid w:val="009A3AA3"/>
    <w:rsid w:val="009A4C99"/>
    <w:rsid w:val="009B0E3C"/>
    <w:rsid w:val="009D064C"/>
    <w:rsid w:val="009D1CA0"/>
    <w:rsid w:val="009D325B"/>
    <w:rsid w:val="00A01FE2"/>
    <w:rsid w:val="00A11672"/>
    <w:rsid w:val="00A12DEE"/>
    <w:rsid w:val="00A14BCE"/>
    <w:rsid w:val="00A251CA"/>
    <w:rsid w:val="00A30D0B"/>
    <w:rsid w:val="00A439A3"/>
    <w:rsid w:val="00A43A89"/>
    <w:rsid w:val="00A4627F"/>
    <w:rsid w:val="00A521C9"/>
    <w:rsid w:val="00A6453B"/>
    <w:rsid w:val="00A67A7A"/>
    <w:rsid w:val="00A70CC1"/>
    <w:rsid w:val="00A752C8"/>
    <w:rsid w:val="00A93288"/>
    <w:rsid w:val="00A97B35"/>
    <w:rsid w:val="00AA5274"/>
    <w:rsid w:val="00AA56AF"/>
    <w:rsid w:val="00AA5FEB"/>
    <w:rsid w:val="00AA754D"/>
    <w:rsid w:val="00AB2468"/>
    <w:rsid w:val="00AB64F3"/>
    <w:rsid w:val="00AC1320"/>
    <w:rsid w:val="00AC6F02"/>
    <w:rsid w:val="00AD0C4E"/>
    <w:rsid w:val="00AD4AC3"/>
    <w:rsid w:val="00AF3B32"/>
    <w:rsid w:val="00B05663"/>
    <w:rsid w:val="00B05BD1"/>
    <w:rsid w:val="00B15706"/>
    <w:rsid w:val="00B32412"/>
    <w:rsid w:val="00B33EF2"/>
    <w:rsid w:val="00B35E9D"/>
    <w:rsid w:val="00B37528"/>
    <w:rsid w:val="00B5115E"/>
    <w:rsid w:val="00B52F2E"/>
    <w:rsid w:val="00B53A2A"/>
    <w:rsid w:val="00B57472"/>
    <w:rsid w:val="00B61287"/>
    <w:rsid w:val="00B65B5F"/>
    <w:rsid w:val="00B66014"/>
    <w:rsid w:val="00B71FE4"/>
    <w:rsid w:val="00B73268"/>
    <w:rsid w:val="00B74200"/>
    <w:rsid w:val="00B8254B"/>
    <w:rsid w:val="00BA16F8"/>
    <w:rsid w:val="00BA584D"/>
    <w:rsid w:val="00BA7398"/>
    <w:rsid w:val="00BB48EA"/>
    <w:rsid w:val="00BD2FF7"/>
    <w:rsid w:val="00BD4DF2"/>
    <w:rsid w:val="00BE65BC"/>
    <w:rsid w:val="00BE692C"/>
    <w:rsid w:val="00BF4A2A"/>
    <w:rsid w:val="00C1019E"/>
    <w:rsid w:val="00C129D5"/>
    <w:rsid w:val="00C13862"/>
    <w:rsid w:val="00C13893"/>
    <w:rsid w:val="00C2608B"/>
    <w:rsid w:val="00C27046"/>
    <w:rsid w:val="00C34541"/>
    <w:rsid w:val="00C35463"/>
    <w:rsid w:val="00C35D47"/>
    <w:rsid w:val="00C40FA3"/>
    <w:rsid w:val="00C534D2"/>
    <w:rsid w:val="00C80404"/>
    <w:rsid w:val="00C879B8"/>
    <w:rsid w:val="00C976E7"/>
    <w:rsid w:val="00CA1616"/>
    <w:rsid w:val="00CA6F7B"/>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54B7C"/>
    <w:rsid w:val="00D631F6"/>
    <w:rsid w:val="00D67749"/>
    <w:rsid w:val="00D71F0F"/>
    <w:rsid w:val="00D801F9"/>
    <w:rsid w:val="00D865DE"/>
    <w:rsid w:val="00D942BF"/>
    <w:rsid w:val="00DB5AB3"/>
    <w:rsid w:val="00E10551"/>
    <w:rsid w:val="00E114C1"/>
    <w:rsid w:val="00E1793E"/>
    <w:rsid w:val="00E25243"/>
    <w:rsid w:val="00E3630A"/>
    <w:rsid w:val="00E441CD"/>
    <w:rsid w:val="00E45B8B"/>
    <w:rsid w:val="00E54F78"/>
    <w:rsid w:val="00E616CC"/>
    <w:rsid w:val="00E83BB7"/>
    <w:rsid w:val="00E9331F"/>
    <w:rsid w:val="00E96BEC"/>
    <w:rsid w:val="00EA068F"/>
    <w:rsid w:val="00EA2D5C"/>
    <w:rsid w:val="00EB3263"/>
    <w:rsid w:val="00EB7C0A"/>
    <w:rsid w:val="00EC0D5E"/>
    <w:rsid w:val="00EC2270"/>
    <w:rsid w:val="00ED2E7E"/>
    <w:rsid w:val="00ED4439"/>
    <w:rsid w:val="00EE0ADE"/>
    <w:rsid w:val="00F0296B"/>
    <w:rsid w:val="00F02E8D"/>
    <w:rsid w:val="00F068AF"/>
    <w:rsid w:val="00F12354"/>
    <w:rsid w:val="00F201BF"/>
    <w:rsid w:val="00F255F1"/>
    <w:rsid w:val="00F35C5A"/>
    <w:rsid w:val="00F36506"/>
    <w:rsid w:val="00F36AD4"/>
    <w:rsid w:val="00F3741E"/>
    <w:rsid w:val="00F41B9D"/>
    <w:rsid w:val="00F41E06"/>
    <w:rsid w:val="00F47F3D"/>
    <w:rsid w:val="00F50210"/>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uiPriority w:val="99"/>
    <w:rsid w:val="00F41E06"/>
    <w:rPr>
      <w:sz w:val="20"/>
      <w:szCs w:val="20"/>
    </w:rPr>
  </w:style>
  <w:style w:type="character" w:customStyle="1" w:styleId="af">
    <w:name w:val="Текст сноски Знак"/>
    <w:basedOn w:val="a0"/>
    <w:link w:val="ae"/>
    <w:uiPriority w:val="99"/>
    <w:rsid w:val="00F41E06"/>
  </w:style>
  <w:style w:type="character" w:styleId="af0">
    <w:name w:val="footnote reference"/>
    <w:uiPriority w:val="99"/>
    <w:rsid w:val="00F41E06"/>
    <w:rPr>
      <w:vertAlign w:val="superscript"/>
    </w:rPr>
  </w:style>
  <w:style w:type="paragraph" w:styleId="af1">
    <w:name w:val="No Spacing"/>
    <w:basedOn w:val="a"/>
    <w:uiPriority w:val="1"/>
    <w:qFormat/>
    <w:rsid w:val="002F6B40"/>
    <w:rPr>
      <w:rFonts w:ascii="Calibri" w:eastAsia="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uiPriority w:val="99"/>
    <w:rsid w:val="00F41E06"/>
    <w:rPr>
      <w:sz w:val="20"/>
      <w:szCs w:val="20"/>
    </w:rPr>
  </w:style>
  <w:style w:type="character" w:customStyle="1" w:styleId="af">
    <w:name w:val="Текст сноски Знак"/>
    <w:basedOn w:val="a0"/>
    <w:link w:val="ae"/>
    <w:uiPriority w:val="99"/>
    <w:rsid w:val="00F41E06"/>
  </w:style>
  <w:style w:type="character" w:styleId="af0">
    <w:name w:val="footnote reference"/>
    <w:uiPriority w:val="99"/>
    <w:rsid w:val="00F41E06"/>
    <w:rPr>
      <w:vertAlign w:val="superscript"/>
    </w:rPr>
  </w:style>
  <w:style w:type="paragraph" w:styleId="af1">
    <w:name w:val="No Spacing"/>
    <w:basedOn w:val="a"/>
    <w:uiPriority w:val="1"/>
    <w:qFormat/>
    <w:rsid w:val="002F6B40"/>
    <w:rPr>
      <w:rFonts w:ascii="Calibri" w:eastAsia="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50968257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961761340">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E76D30-D3C9-4BEF-83E8-6A5A46C7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1236</Words>
  <Characters>7048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6</cp:revision>
  <cp:lastPrinted>2014-11-11T14:45:00Z</cp:lastPrinted>
  <dcterms:created xsi:type="dcterms:W3CDTF">2016-09-20T13:11:00Z</dcterms:created>
  <dcterms:modified xsi:type="dcterms:W3CDTF">2016-09-20T13:24:00Z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