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834080" w:rsidRDefault="00877CFB" w:rsidP="00A97B35"/>
    <w:p w:rsidR="00340629" w:rsidRDefault="00340629" w:rsidP="00340629">
      <w:pPr>
        <w:rPr>
          <w:lang w:val="en-US"/>
        </w:rPr>
      </w:pPr>
      <w:r>
        <w:t>№</w:t>
      </w:r>
      <w:r>
        <w:rPr>
          <w:lang w:val="en-US"/>
        </w:rPr>
        <w:t>16</w:t>
      </w:r>
      <w:r>
        <w:t>-</w:t>
      </w:r>
    </w:p>
    <w:p w:rsidR="00340629" w:rsidRPr="000C2416" w:rsidRDefault="00340629" w:rsidP="00340629">
      <w:r>
        <w:t>від __ серпня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340629" w:rsidRPr="00907BA0" w:rsidTr="00E442E4">
        <w:tc>
          <w:tcPr>
            <w:tcW w:w="5069" w:type="dxa"/>
            <w:shd w:val="clear" w:color="auto" w:fill="auto"/>
          </w:tcPr>
          <w:p w:rsidR="00340629" w:rsidRPr="00907BA0" w:rsidRDefault="00340629" w:rsidP="00E442E4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40629" w:rsidRPr="00907BA0" w:rsidTr="00F47F3D">
              <w:tc>
                <w:tcPr>
                  <w:tcW w:w="236" w:type="dxa"/>
                  <w:shd w:val="clear" w:color="auto" w:fill="auto"/>
                </w:tcPr>
                <w:p w:rsidR="00340629" w:rsidRPr="00907BA0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907BA0" w:rsidRDefault="00340629" w:rsidP="00E442E4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340629" w:rsidRPr="00907BA0" w:rsidRDefault="00340629" w:rsidP="00E442E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340629" w:rsidRPr="00907BA0" w:rsidRDefault="00340629" w:rsidP="00E442E4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340629" w:rsidRDefault="00340629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340629" w:rsidRPr="00442194" w:rsidRDefault="00E45B8B" w:rsidP="00E442E4">
                  <w:pPr>
                    <w:rPr>
                      <w:rFonts w:eastAsia="Calibri"/>
                      <w:b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442194">
                    <w:rPr>
                      <w:rFonts w:eastAsia="Calibri"/>
                      <w:b/>
                      <w:szCs w:val="22"/>
                    </w:rPr>
                    <w:t>Комітет</w:t>
                  </w:r>
                  <w:r w:rsidR="00442194">
                    <w:rPr>
                      <w:rFonts w:eastAsia="Calibri"/>
                      <w:b/>
                      <w:szCs w:val="22"/>
                    </w:rPr>
                    <w:t>у Верховної Ради України</w:t>
                  </w:r>
                  <w:r w:rsidR="00442194" w:rsidRPr="00442194">
                    <w:rPr>
                      <w:rFonts w:eastAsia="Calibri"/>
                      <w:b/>
                      <w:szCs w:val="22"/>
                    </w:rPr>
                    <w:t xml:space="preserve"> з питань податкової та митної політики</w:t>
                  </w:r>
                </w:p>
                <w:p w:rsidR="00442194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442194">
                    <w:rPr>
                      <w:rFonts w:eastAsia="Calibri"/>
                      <w:b/>
                      <w:szCs w:val="22"/>
                      <w:lang w:val="en-US"/>
                    </w:rPr>
                    <w:t>Н.П.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Cs w:val="22"/>
                      <w:lang w:val="en-US"/>
                    </w:rPr>
                    <w:t>Южані</w:t>
                  </w:r>
                  <w:proofErr w:type="spellEnd"/>
                  <w:r>
                    <w:rPr>
                      <w:rFonts w:eastAsia="Calibri"/>
                      <w:b/>
                      <w:szCs w:val="22"/>
                    </w:rPr>
                    <w:t xml:space="preserve">ній </w:t>
                  </w:r>
                </w:p>
                <w:p w:rsidR="00442194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442194" w:rsidRDefault="00F47F3D" w:rsidP="00F47F3D">
                  <w:pPr>
                    <w:rPr>
                      <w:rFonts w:eastAsia="Calibri"/>
                      <w:b/>
                      <w:szCs w:val="22"/>
                    </w:rPr>
                  </w:pPr>
                  <w:r w:rsidRPr="00F47F3D">
                    <w:rPr>
                      <w:rFonts w:eastAsia="Calibri"/>
                      <w:szCs w:val="22"/>
                    </w:rPr>
                    <w:t>Копія: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E45B8B">
                    <w:rPr>
                      <w:rFonts w:eastAsia="Calibri"/>
                      <w:b/>
                      <w:szCs w:val="22"/>
                    </w:rPr>
                    <w:t xml:space="preserve">Голові </w:t>
                  </w:r>
                  <w:r w:rsidR="00442194" w:rsidRPr="00442194">
                    <w:rPr>
                      <w:rFonts w:eastAsia="Calibri"/>
                      <w:b/>
                      <w:szCs w:val="22"/>
                    </w:rPr>
                    <w:t>Комітет</w:t>
                  </w:r>
                  <w:r w:rsidR="00442194">
                    <w:rPr>
                      <w:rFonts w:eastAsia="Calibri"/>
                      <w:b/>
                      <w:szCs w:val="22"/>
                    </w:rPr>
                    <w:t>у Верховної Ради України</w:t>
                  </w:r>
                  <w:r w:rsidR="00442194" w:rsidRPr="00442194">
                    <w:rPr>
                      <w:rFonts w:eastAsia="Calibri"/>
                      <w:b/>
                      <w:szCs w:val="22"/>
                    </w:rPr>
                    <w:t xml:space="preserve"> з питань інформа</w:t>
                  </w:r>
                  <w:bookmarkStart w:id="0" w:name="_GoBack"/>
                  <w:bookmarkEnd w:id="0"/>
                  <w:r w:rsidR="00442194" w:rsidRPr="00442194">
                    <w:rPr>
                      <w:rFonts w:eastAsia="Calibri"/>
                      <w:b/>
                      <w:szCs w:val="22"/>
                    </w:rPr>
                    <w:t xml:space="preserve">тизації та зв'язку </w:t>
                  </w:r>
                </w:p>
                <w:p w:rsidR="00442194" w:rsidRPr="00442194" w:rsidRDefault="00442194" w:rsidP="00E442E4">
                  <w:pPr>
                    <w:rPr>
                      <w:rFonts w:eastAsia="Calibri"/>
                      <w:b/>
                      <w:szCs w:val="22"/>
                    </w:rPr>
                  </w:pPr>
                  <w:r w:rsidRPr="00442194">
                    <w:rPr>
                      <w:rFonts w:eastAsia="Calibri"/>
                      <w:b/>
                      <w:szCs w:val="22"/>
                    </w:rPr>
                    <w:t>О.І.</w:t>
                  </w:r>
                  <w:r w:rsidR="009B0E3C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Pr="00442194">
                    <w:rPr>
                      <w:rFonts w:eastAsia="Calibri"/>
                      <w:b/>
                      <w:szCs w:val="22"/>
                    </w:rPr>
                    <w:t xml:space="preserve">Данченко </w:t>
                  </w:r>
                </w:p>
                <w:p w:rsidR="00340629" w:rsidRPr="001129C6" w:rsidRDefault="00340629" w:rsidP="00E442E4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340629" w:rsidRPr="00907BA0" w:rsidRDefault="00340629" w:rsidP="00E442E4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9B0E3C" w:rsidRDefault="00340629" w:rsidP="009B0E3C">
      <w:pPr>
        <w:jc w:val="both"/>
        <w:rPr>
          <w:rFonts w:eastAsia="Calibri"/>
          <w:i/>
          <w:sz w:val="22"/>
          <w:lang w:eastAsia="en-US"/>
        </w:rPr>
      </w:pPr>
      <w:r w:rsidRPr="00907BA0">
        <w:rPr>
          <w:rFonts w:eastAsia="Calibri"/>
          <w:i/>
          <w:sz w:val="22"/>
          <w:lang w:eastAsia="en-US"/>
        </w:rPr>
        <w:t xml:space="preserve">Щодо </w:t>
      </w:r>
      <w:r w:rsidR="009B0E3C">
        <w:rPr>
          <w:rFonts w:eastAsia="Calibri"/>
          <w:i/>
          <w:sz w:val="22"/>
          <w:lang w:eastAsia="en-US"/>
        </w:rPr>
        <w:t xml:space="preserve">законопроектів стосовно </w:t>
      </w:r>
    </w:p>
    <w:p w:rsidR="00340629" w:rsidRPr="00907BA0" w:rsidRDefault="009B0E3C" w:rsidP="009B0E3C">
      <w:pPr>
        <w:jc w:val="both"/>
        <w:rPr>
          <w:rFonts w:eastAsia="Calibri"/>
          <w:i/>
          <w:sz w:val="22"/>
          <w:lang w:eastAsia="en-US"/>
        </w:rPr>
      </w:pPr>
      <w:r w:rsidRPr="009B0E3C">
        <w:rPr>
          <w:rFonts w:eastAsia="Calibri"/>
          <w:i/>
          <w:sz w:val="22"/>
          <w:lang w:eastAsia="en-US"/>
        </w:rPr>
        <w:t>радіочастотного ресурсу</w:t>
      </w:r>
      <w:r w:rsidR="00340629" w:rsidRPr="00907BA0">
        <w:rPr>
          <w:rFonts w:eastAsia="Calibri"/>
          <w:i/>
          <w:sz w:val="22"/>
          <w:lang w:eastAsia="en-US"/>
        </w:rPr>
        <w:t xml:space="preserve"> </w:t>
      </w:r>
    </w:p>
    <w:p w:rsidR="00340629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CB5DD3" w:rsidRDefault="00340629" w:rsidP="00340629">
      <w:pPr>
        <w:jc w:val="both"/>
        <w:rPr>
          <w:rFonts w:eastAsia="Calibri"/>
          <w:i/>
          <w:sz w:val="22"/>
          <w:lang w:eastAsia="en-US"/>
        </w:rPr>
      </w:pPr>
    </w:p>
    <w:p w:rsidR="00340629" w:rsidRPr="00907BA0" w:rsidRDefault="009B0E3C" w:rsidP="00340629">
      <w:pPr>
        <w:jc w:val="center"/>
        <w:rPr>
          <w:b/>
        </w:rPr>
      </w:pPr>
      <w:r>
        <w:rPr>
          <w:b/>
        </w:rPr>
        <w:t>Шановна Ніно Петрівно</w:t>
      </w:r>
      <w:r w:rsidR="00340629" w:rsidRPr="00907BA0">
        <w:rPr>
          <w:b/>
        </w:rPr>
        <w:t>!</w:t>
      </w:r>
    </w:p>
    <w:p w:rsidR="00340629" w:rsidRDefault="00340629" w:rsidP="00340629">
      <w:pPr>
        <w:rPr>
          <w:lang w:eastAsia="en-US"/>
        </w:rPr>
      </w:pPr>
    </w:p>
    <w:p w:rsidR="00340629" w:rsidRDefault="00340629" w:rsidP="00340629">
      <w:pPr>
        <w:spacing w:before="120" w:after="120"/>
        <w:ind w:firstLine="709"/>
        <w:jc w:val="both"/>
      </w:pPr>
      <w:r w:rsidRPr="00907BA0">
        <w:t>Від імені Ради директорів Американської торгівельної палати в Україні (надалі – Палата) та компаній–членів засвідчуємо Вам свою глибоку повагу та</w:t>
      </w:r>
      <w:r>
        <w:t xml:space="preserve"> звертаємось до Вас з наступного питання. </w:t>
      </w:r>
    </w:p>
    <w:p w:rsidR="009B0E3C" w:rsidRDefault="009B0E3C" w:rsidP="009B0E3C">
      <w:pPr>
        <w:jc w:val="both"/>
      </w:pPr>
      <w:r>
        <w:t xml:space="preserve">                                                                                               </w:t>
      </w:r>
    </w:p>
    <w:p w:rsidR="009B0E3C" w:rsidRDefault="009B0E3C" w:rsidP="009B0E3C">
      <w:pPr>
        <w:jc w:val="both"/>
      </w:pPr>
      <w:r>
        <w:rPr>
          <w:shd w:val="clear" w:color="auto" w:fill="FFFFFF"/>
        </w:rPr>
        <w:t xml:space="preserve">         09.08.2016 </w:t>
      </w:r>
      <w:r>
        <w:rPr>
          <w:rFonts w:eastAsiaTheme="minorEastAsia"/>
          <w:lang w:eastAsia="ru-RU"/>
        </w:rPr>
        <w:t>зареєстровано проект Закону №</w:t>
      </w:r>
      <w:r>
        <w:rPr>
          <w:shd w:val="clear" w:color="auto" w:fill="FFFFFF"/>
        </w:rPr>
        <w:t>5021</w:t>
      </w:r>
      <w:r>
        <w:rPr>
          <w:rFonts w:eastAsiaTheme="minorEastAsia"/>
          <w:lang w:eastAsia="ru-RU"/>
        </w:rPr>
        <w:t xml:space="preserve"> </w:t>
      </w:r>
      <w:r>
        <w:t>«Про внесення змін до ПКУ щодо забезпечення умов ефективного використання радіочастотного ресурсу»</w:t>
      </w:r>
      <w:r>
        <w:rPr>
          <w:rFonts w:eastAsiaTheme="minorEastAsia"/>
          <w:lang w:eastAsia="ru-RU"/>
        </w:rPr>
        <w:t>, п</w:t>
      </w:r>
      <w:r>
        <w:t>роект Закону №</w:t>
      </w:r>
      <w:r>
        <w:rPr>
          <w:shd w:val="clear" w:color="auto" w:fill="FFFFFF"/>
        </w:rPr>
        <w:t xml:space="preserve">5019 </w:t>
      </w:r>
      <w:r>
        <w:t>про внесення змін до Закону «</w:t>
      </w:r>
      <w:r>
        <w:t>Про радіочастотний ресурс України</w:t>
      </w:r>
      <w:r>
        <w:t>»</w:t>
      </w:r>
      <w:r>
        <w:rPr>
          <w:rFonts w:eastAsiaTheme="minorEastAsia"/>
          <w:lang w:eastAsia="ru-RU"/>
        </w:rPr>
        <w:t xml:space="preserve">, </w:t>
      </w:r>
      <w:r>
        <w:rPr>
          <w:rFonts w:eastAsiaTheme="minorEastAsia"/>
          <w:lang w:eastAsia="ru-RU"/>
        </w:rPr>
        <w:t>проект Закону №</w:t>
      </w:r>
      <w:r>
        <w:rPr>
          <w:shd w:val="clear" w:color="auto" w:fill="FFFFFF"/>
        </w:rPr>
        <w:t>5020 від 09.08.2016 «</w:t>
      </w:r>
      <w:r>
        <w:t>Про внесення змін до Бюджетного кодексу щодо забезпечення умов ефективного використання радіочастотного ресурсу».</w:t>
      </w:r>
    </w:p>
    <w:p w:rsidR="009B0E3C" w:rsidRDefault="009B0E3C" w:rsidP="009B0E3C">
      <w:pPr>
        <w:ind w:firstLine="567"/>
        <w:contextualSpacing/>
        <w:jc w:val="both"/>
        <w:rPr>
          <w:rFonts w:eastAsiaTheme="minorEastAsia"/>
          <w:lang w:eastAsia="ru-RU"/>
        </w:rPr>
      </w:pPr>
    </w:p>
    <w:p w:rsidR="009B0E3C" w:rsidRDefault="009B0E3C" w:rsidP="009B0E3C">
      <w:pPr>
        <w:ind w:firstLine="567"/>
        <w:contextualSpacing/>
        <w:jc w:val="both"/>
        <w:rPr>
          <w:rFonts w:eastAsiaTheme="minorHAnsi" w:cstheme="minorBidi"/>
          <w:lang w:val="pt-PT" w:eastAsia="en-US"/>
        </w:rPr>
      </w:pPr>
      <w:r>
        <w:rPr>
          <w:shd w:val="clear" w:color="auto" w:fill="FFFFFF"/>
        </w:rPr>
        <w:t>За результатами розгляду даних законопроектів компанія-членами Палати, варто зазначити, щ</w:t>
      </w:r>
      <w:r>
        <w:rPr>
          <w:shd w:val="clear" w:color="auto" w:fill="FFFFFF"/>
        </w:rPr>
        <w:t xml:space="preserve">о вилучення </w:t>
      </w:r>
      <w:r>
        <w:t>з</w:t>
      </w:r>
      <w:r>
        <w:t>і</w:t>
      </w:r>
      <w:r>
        <w:t xml:space="preserve"> складу податків і зборів рентної плати за радіочастотний ресурс України </w:t>
      </w:r>
      <w:r>
        <w:rPr>
          <w:lang w:eastAsia="ru-RU"/>
        </w:rPr>
        <w:t xml:space="preserve">за відсутності будь-якого економічного обґрунтування та заміну зазначеного платежу на </w:t>
      </w:r>
      <w:r>
        <w:t>разову та регулярну плату</w:t>
      </w:r>
      <w:r>
        <w:t>,</w:t>
      </w:r>
      <w:r>
        <w:t xml:space="preserve"> вважаємо за необхідне висловити позицію про недоцільність його прийняття у зв'язку із такими зауваженнями до нього.</w:t>
      </w:r>
    </w:p>
    <w:p w:rsidR="009B0E3C" w:rsidRDefault="009B0E3C" w:rsidP="009B0E3C">
      <w:pPr>
        <w:ind w:firstLine="567"/>
        <w:contextualSpacing/>
        <w:jc w:val="both"/>
      </w:pPr>
    </w:p>
    <w:p w:rsidR="009B0E3C" w:rsidRDefault="009B0E3C" w:rsidP="009B0E3C">
      <w:pPr>
        <w:ind w:firstLine="567"/>
        <w:contextualSpacing/>
        <w:jc w:val="both"/>
      </w:pPr>
      <w:r>
        <w:rPr>
          <w:noProof/>
        </w:rPr>
        <w:t>Відповідно до п. 7.3 ст.7 П</w:t>
      </w:r>
      <w:r>
        <w:rPr>
          <w:noProof/>
        </w:rPr>
        <w:t>одаткового кодексу України (</w:t>
      </w:r>
      <w:r w:rsidRPr="00907BA0">
        <w:t>надалі –</w:t>
      </w:r>
      <w:r>
        <w:t xml:space="preserve"> </w:t>
      </w:r>
      <w:r>
        <w:rPr>
          <w:noProof/>
        </w:rPr>
        <w:t>П</w:t>
      </w:r>
      <w:r>
        <w:rPr>
          <w:noProof/>
        </w:rPr>
        <w:t>КУ</w:t>
      </w:r>
      <w:r>
        <w:rPr>
          <w:noProof/>
        </w:rPr>
        <w:t>)</w:t>
      </w:r>
      <w:r>
        <w:rPr>
          <w:noProof/>
        </w:rPr>
        <w:t xml:space="preserve"> </w:t>
      </w:r>
      <w:r>
        <w:rPr>
          <w:u w:val="single"/>
        </w:rPr>
        <w:t>будь-які питання щодо оподаткування</w:t>
      </w:r>
      <w:r>
        <w:t xml:space="preserve"> регулюються </w:t>
      </w:r>
      <w:r>
        <w:t>ПКУ</w:t>
      </w:r>
      <w:r>
        <w:t xml:space="preserve"> і </w:t>
      </w:r>
      <w:r>
        <w:rPr>
          <w:u w:val="single"/>
        </w:rPr>
        <w:t>не можуть встановлюватися або змінюватися іншими законами України</w:t>
      </w:r>
      <w:r>
        <w:t xml:space="preserve">, крім законів, що містять виключно положення щодо внесення змін до </w:t>
      </w:r>
      <w:r>
        <w:t>ПКУ</w:t>
      </w:r>
      <w:r>
        <w:t xml:space="preserve"> та/або положення, які встановлюють відповідальність за порушення норм податкового законодавства. </w:t>
      </w:r>
    </w:p>
    <w:p w:rsidR="009B0E3C" w:rsidRDefault="009B0E3C" w:rsidP="009B0E3C">
      <w:pPr>
        <w:ind w:firstLine="567"/>
        <w:contextualSpacing/>
        <w:jc w:val="both"/>
        <w:rPr>
          <w:shd w:val="clear" w:color="auto" w:fill="FFFFFF"/>
        </w:rPr>
      </w:pPr>
    </w:p>
    <w:p w:rsidR="009B0E3C" w:rsidRDefault="009B0E3C" w:rsidP="009B0E3C">
      <w:pPr>
        <w:ind w:firstLine="567"/>
        <w:contextualSpacing/>
        <w:jc w:val="both"/>
        <w:rPr>
          <w:u w:val="single"/>
        </w:rPr>
      </w:pPr>
      <w:r>
        <w:rPr>
          <w:shd w:val="clear" w:color="auto" w:fill="FFFFFF"/>
        </w:rPr>
        <w:t>Відповідно до п.9</w:t>
      </w:r>
      <w:r>
        <w:t xml:space="preserve">.4 ст.9 ПКУ </w:t>
      </w:r>
      <w:r>
        <w:rPr>
          <w:u w:val="single"/>
        </w:rPr>
        <w:t>установлення</w:t>
      </w:r>
      <w:r>
        <w:t xml:space="preserve"> загальнодержавних податків та </w:t>
      </w:r>
      <w:r>
        <w:rPr>
          <w:u w:val="single"/>
        </w:rPr>
        <w:t xml:space="preserve">зборів, не передбачених </w:t>
      </w:r>
      <w:r>
        <w:rPr>
          <w:u w:val="single"/>
        </w:rPr>
        <w:t>ПКУ</w:t>
      </w:r>
      <w:r>
        <w:rPr>
          <w:u w:val="single"/>
        </w:rPr>
        <w:t xml:space="preserve">, забороняється. </w:t>
      </w:r>
    </w:p>
    <w:p w:rsidR="009B0E3C" w:rsidRDefault="009B0E3C" w:rsidP="009B0E3C">
      <w:pPr>
        <w:contextualSpacing/>
        <w:jc w:val="both"/>
      </w:pPr>
      <w:r>
        <w:t xml:space="preserve">        </w:t>
      </w:r>
    </w:p>
    <w:p w:rsidR="009B0E3C" w:rsidRDefault="009B0E3C" w:rsidP="009B0E3C">
      <w:pPr>
        <w:contextualSpacing/>
        <w:jc w:val="both"/>
      </w:pPr>
      <w:r>
        <w:lastRenderedPageBreak/>
        <w:t xml:space="preserve"> Запропоноване також не відповідає принципам, що встановлені пунктом 4.1 статті 4 ПКУ, зокрема, принципу стабільності.</w:t>
      </w:r>
    </w:p>
    <w:p w:rsidR="009B0E3C" w:rsidRDefault="009B0E3C" w:rsidP="009B0E3C">
      <w:pPr>
        <w:ind w:firstLine="567"/>
        <w:contextualSpacing/>
        <w:jc w:val="both"/>
      </w:pPr>
    </w:p>
    <w:p w:rsidR="009B0E3C" w:rsidRDefault="009B0E3C" w:rsidP="009B0E3C">
      <w:pPr>
        <w:ind w:firstLine="567"/>
        <w:contextualSpacing/>
        <w:jc w:val="both"/>
      </w:pPr>
      <w:r>
        <w:t>Крім того, зазначеним законопроектом не встановлено ставку рентної плати. Відповідно, наслідком</w:t>
      </w:r>
      <w:r>
        <w:t xml:space="preserve"> прийняття цього законопроекту </w:t>
      </w:r>
      <w:r>
        <w:t xml:space="preserve">може стати підвищення собівартості телекомунікаційних послуг та відповідне підвищення тарифів на телекомунікаційні послуги, які встановлюються операторами, провайдерами телекомунікацій самостійно. Такі зміни не </w:t>
      </w:r>
      <w:proofErr w:type="spellStart"/>
      <w:r>
        <w:t>створять</w:t>
      </w:r>
      <w:proofErr w:type="spellEnd"/>
      <w:r>
        <w:t xml:space="preserve"> сприятливих умов діяльності у сфері телекомунікацій.</w:t>
      </w:r>
    </w:p>
    <w:p w:rsidR="009B0E3C" w:rsidRDefault="009B0E3C" w:rsidP="009B0E3C">
      <w:pPr>
        <w:ind w:firstLine="567"/>
        <w:contextualSpacing/>
        <w:jc w:val="both"/>
      </w:pPr>
    </w:p>
    <w:p w:rsidR="009B0E3C" w:rsidRDefault="009B0E3C" w:rsidP="009B0E3C">
      <w:pPr>
        <w:ind w:firstLine="567"/>
        <w:contextualSpacing/>
        <w:jc w:val="both"/>
      </w:pPr>
      <w:r>
        <w:t>Вищезазначене може створювати труднощі при обчисленні податкового навантаження та штучного збільшення законодавчих норм, що ускладнює їх сприйняття та розуміння.</w:t>
      </w:r>
    </w:p>
    <w:p w:rsidR="009B0E3C" w:rsidRDefault="009B0E3C" w:rsidP="009B0E3C">
      <w:pPr>
        <w:ind w:firstLine="567"/>
        <w:contextualSpacing/>
        <w:jc w:val="both"/>
      </w:pPr>
    </w:p>
    <w:p w:rsidR="009B0E3C" w:rsidRDefault="009B0E3C" w:rsidP="009B0E3C">
      <w:pPr>
        <w:ind w:firstLine="567"/>
        <w:contextualSpacing/>
        <w:jc w:val="both"/>
      </w:pPr>
      <w:r>
        <w:t xml:space="preserve">У </w:t>
      </w:r>
      <w:r>
        <w:t xml:space="preserve">цьому </w:t>
      </w:r>
      <w:r>
        <w:t xml:space="preserve">зв'язку, </w:t>
      </w:r>
      <w:r>
        <w:t>з</w:t>
      </w:r>
      <w:r>
        <w:t xml:space="preserve"> метою забезпечення умов ефективного використання радіочастотного ресурсу </w:t>
      </w:r>
      <w:r>
        <w:t>хотіли б поінформувати про не підтримання</w:t>
      </w:r>
      <w:r>
        <w:t xml:space="preserve"> </w:t>
      </w:r>
      <w:r>
        <w:t xml:space="preserve">компаніями-членами Палати цієї ініціативи щодо </w:t>
      </w:r>
      <w:r>
        <w:t>впровадження вищезазначених змін</w:t>
      </w:r>
      <w:r>
        <w:t>, оскільки</w:t>
      </w:r>
      <w:r>
        <w:t xml:space="preserve"> </w:t>
      </w:r>
      <w:r w:rsidRPr="009B0E3C">
        <w:rPr>
          <w:b/>
          <w:u w:val="single"/>
        </w:rPr>
        <w:t>в</w:t>
      </w:r>
      <w:r w:rsidRPr="009B0E3C">
        <w:rPr>
          <w:b/>
          <w:u w:val="single"/>
        </w:rPr>
        <w:t>ичерпний</w:t>
      </w:r>
      <w:r>
        <w:rPr>
          <w:b/>
          <w:u w:val="single"/>
        </w:rPr>
        <w:t xml:space="preserve"> перелік податків і зборів, порядок їх адміністрування повинні регулюватись податковим законодавством, а не </w:t>
      </w:r>
      <w:proofErr w:type="spellStart"/>
      <w:r>
        <w:rPr>
          <w:b/>
          <w:u w:val="single"/>
        </w:rPr>
        <w:t>підчинятись</w:t>
      </w:r>
      <w:proofErr w:type="spellEnd"/>
      <w:r>
        <w:rPr>
          <w:b/>
          <w:u w:val="single"/>
        </w:rPr>
        <w:t xml:space="preserve"> регулюванню окремих відомчих структур, що може створювати засади корупції.</w:t>
      </w:r>
      <w:r>
        <w:rPr>
          <w:b/>
        </w:rPr>
        <w:t xml:space="preserve"> </w:t>
      </w:r>
      <w:r>
        <w:t>Сукупність податків та зборів, що справляються в установленому ПКУ порядку становить податкову систему України.</w:t>
      </w:r>
    </w:p>
    <w:p w:rsidR="009B0E3C" w:rsidRDefault="009B0E3C" w:rsidP="009B0E3C">
      <w:pPr>
        <w:contextualSpacing/>
        <w:jc w:val="both"/>
        <w:rPr>
          <w:rFonts w:asciiTheme="minorHAnsi" w:hAnsiTheme="minorHAnsi"/>
          <w:color w:val="1F497D"/>
          <w:sz w:val="22"/>
          <w:szCs w:val="22"/>
        </w:rPr>
      </w:pPr>
      <w:r>
        <w:rPr>
          <w:color w:val="1F497D"/>
        </w:rPr>
        <w:t xml:space="preserve">           </w:t>
      </w:r>
    </w:p>
    <w:p w:rsidR="00340629" w:rsidRPr="007E5BAF" w:rsidRDefault="00340629" w:rsidP="00340629">
      <w:pPr>
        <w:ind w:firstLine="709"/>
        <w:jc w:val="both"/>
        <w:rPr>
          <w:color w:val="000000"/>
          <w:bdr w:val="none" w:sz="0" w:space="0" w:color="auto" w:frame="1"/>
        </w:rPr>
      </w:pPr>
      <w:r w:rsidRPr="007E5BAF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7E5BAF">
        <w:rPr>
          <w:color w:val="000000"/>
          <w:bdr w:val="none" w:sz="0" w:space="0" w:color="auto" w:frame="1"/>
        </w:rPr>
        <w:t>адресою</w:t>
      </w:r>
      <w:proofErr w:type="spellEnd"/>
      <w:r w:rsidRPr="007E5BAF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7E5BAF">
          <w:rPr>
            <w:rStyle w:val="a9"/>
            <w:bdr w:val="none" w:sz="0" w:space="0" w:color="auto" w:frame="1"/>
          </w:rPr>
          <w:t>oprokhorovych@chamber.ua</w:t>
        </w:r>
      </w:hyperlink>
      <w:r w:rsidRPr="007E5BAF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FE6803">
        <w:t>оподаткування та митна політика</w:t>
      </w:r>
      <w:r w:rsidRPr="007E5BAF">
        <w:rPr>
          <w:color w:val="000000"/>
          <w:bdr w:val="none" w:sz="0" w:space="0" w:color="auto" w:frame="1"/>
        </w:rPr>
        <w:t xml:space="preserve">). </w:t>
      </w:r>
    </w:p>
    <w:p w:rsidR="00340629" w:rsidRDefault="00340629" w:rsidP="00340629">
      <w:pPr>
        <w:spacing w:before="120" w:after="120"/>
        <w:ind w:firstLine="709"/>
        <w:jc w:val="both"/>
      </w:pPr>
    </w:p>
    <w:p w:rsidR="00340629" w:rsidRDefault="00340629" w:rsidP="00340629">
      <w:pPr>
        <w:jc w:val="both"/>
        <w:rPr>
          <w:b/>
        </w:rPr>
      </w:pPr>
      <w:r w:rsidRPr="006C2F7C">
        <w:rPr>
          <w:b/>
        </w:rPr>
        <w:t>З глибокою повагою та найкращими побажаннями,</w:t>
      </w:r>
    </w:p>
    <w:p w:rsidR="00340629" w:rsidRPr="006C2F7C" w:rsidRDefault="00340629" w:rsidP="00340629">
      <w:pPr>
        <w:jc w:val="both"/>
      </w:pPr>
    </w:p>
    <w:p w:rsidR="00340629" w:rsidRPr="006C2F7C" w:rsidRDefault="00340629" w:rsidP="00340629">
      <w:pPr>
        <w:jc w:val="both"/>
        <w:rPr>
          <w:b/>
        </w:rPr>
      </w:pPr>
      <w:r w:rsidRPr="006C2F7C">
        <w:rPr>
          <w:rStyle w:val="ab"/>
          <w:color w:val="000000"/>
        </w:rPr>
        <w:t>Президент</w:t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  <w:t xml:space="preserve">      </w:t>
      </w:r>
      <w:r>
        <w:rPr>
          <w:b/>
        </w:rPr>
        <w:t xml:space="preserve">                            </w:t>
      </w:r>
      <w:r w:rsidRPr="006C2F7C">
        <w:rPr>
          <w:b/>
        </w:rPr>
        <w:t xml:space="preserve">Андрій </w:t>
      </w:r>
      <w:proofErr w:type="spellStart"/>
      <w:r w:rsidRPr="006C2F7C">
        <w:rPr>
          <w:b/>
        </w:rPr>
        <w:t>Гундер</w:t>
      </w:r>
      <w:proofErr w:type="spellEnd"/>
      <w:r w:rsidRPr="006C2F7C">
        <w:rPr>
          <w:b/>
        </w:rPr>
        <w:t xml:space="preserve"> </w:t>
      </w:r>
    </w:p>
    <w:p w:rsidR="00340629" w:rsidRPr="00C1019E" w:rsidRDefault="00340629" w:rsidP="00340629">
      <w:pPr>
        <w:spacing w:before="120" w:after="120"/>
        <w:ind w:firstLine="709"/>
        <w:jc w:val="both"/>
      </w:pPr>
    </w:p>
    <w:p w:rsidR="00E96BEC" w:rsidRPr="00834080" w:rsidRDefault="00E96BEC" w:rsidP="00340629">
      <w:pPr>
        <w:rPr>
          <w:b/>
        </w:rPr>
      </w:pPr>
    </w:p>
    <w:sectPr w:rsidR="00E96BEC" w:rsidRPr="00834080" w:rsidSect="00A97B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C9" w:rsidRDefault="00A521C9" w:rsidP="00742BAD">
      <w:r>
        <w:separator/>
      </w:r>
    </w:p>
  </w:endnote>
  <w:endnote w:type="continuationSeparator" w:id="0">
    <w:p w:rsidR="00A521C9" w:rsidRDefault="00A521C9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C9" w:rsidRDefault="00A521C9" w:rsidP="00742BAD">
      <w:r>
        <w:separator/>
      </w:r>
    </w:p>
  </w:footnote>
  <w:footnote w:type="continuationSeparator" w:id="0">
    <w:p w:rsidR="00A521C9" w:rsidRDefault="00A521C9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A52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A521C9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A521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49C6"/>
    <w:rsid w:val="001A49ED"/>
    <w:rsid w:val="001A7A1C"/>
    <w:rsid w:val="001B1E0E"/>
    <w:rsid w:val="001C1914"/>
    <w:rsid w:val="001C5DFB"/>
    <w:rsid w:val="001F2EDF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D1292"/>
    <w:rsid w:val="002E1592"/>
    <w:rsid w:val="002F10D6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31003"/>
    <w:rsid w:val="00545DBA"/>
    <w:rsid w:val="00547C35"/>
    <w:rsid w:val="00555217"/>
    <w:rsid w:val="00556F08"/>
    <w:rsid w:val="0056346F"/>
    <w:rsid w:val="00567698"/>
    <w:rsid w:val="00570FD0"/>
    <w:rsid w:val="00581BFA"/>
    <w:rsid w:val="00590E60"/>
    <w:rsid w:val="005A0673"/>
    <w:rsid w:val="005A27B1"/>
    <w:rsid w:val="005A6A22"/>
    <w:rsid w:val="005C0201"/>
    <w:rsid w:val="005D0C5B"/>
    <w:rsid w:val="005D49FE"/>
    <w:rsid w:val="005D7303"/>
    <w:rsid w:val="005E64FC"/>
    <w:rsid w:val="005F1110"/>
    <w:rsid w:val="006007A6"/>
    <w:rsid w:val="00612DEE"/>
    <w:rsid w:val="00612EE6"/>
    <w:rsid w:val="00624983"/>
    <w:rsid w:val="00642A4C"/>
    <w:rsid w:val="0064737E"/>
    <w:rsid w:val="00682652"/>
    <w:rsid w:val="00682C77"/>
    <w:rsid w:val="0068417E"/>
    <w:rsid w:val="006A0F1F"/>
    <w:rsid w:val="006A48BA"/>
    <w:rsid w:val="006A63D0"/>
    <w:rsid w:val="006B26A5"/>
    <w:rsid w:val="006D63E3"/>
    <w:rsid w:val="006D6942"/>
    <w:rsid w:val="00712510"/>
    <w:rsid w:val="00722997"/>
    <w:rsid w:val="00742BAD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80DE8"/>
    <w:rsid w:val="009A0B4F"/>
    <w:rsid w:val="009A3AA3"/>
    <w:rsid w:val="009A4C99"/>
    <w:rsid w:val="009B0E3C"/>
    <w:rsid w:val="009D064C"/>
    <w:rsid w:val="009D1CA0"/>
    <w:rsid w:val="009D325B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6F7B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45B8B"/>
    <w:rsid w:val="00E54F78"/>
    <w:rsid w:val="00E616CC"/>
    <w:rsid w:val="00E83BB7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1E06"/>
  </w:style>
  <w:style w:type="character" w:styleId="af0">
    <w:name w:val="footnote reference"/>
    <w:rsid w:val="00F4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C492ABE-BA38-4F25-A453-44ACFB9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8</cp:revision>
  <cp:lastPrinted>2014-11-11T14:45:00Z</cp:lastPrinted>
  <dcterms:created xsi:type="dcterms:W3CDTF">2016-08-22T12:01:00Z</dcterms:created>
  <dcterms:modified xsi:type="dcterms:W3CDTF">2016-08-22T12:17:00Z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