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FB" w:rsidRPr="00834080" w:rsidRDefault="00877CFB" w:rsidP="00A97B35"/>
    <w:p w:rsidR="000F30BD" w:rsidRPr="00834080" w:rsidRDefault="000F30BD" w:rsidP="00A97B35">
      <w:r w:rsidRPr="00834080">
        <w:t>№16-</w:t>
      </w:r>
    </w:p>
    <w:tbl>
      <w:tblPr>
        <w:tblW w:w="10441" w:type="dxa"/>
        <w:tblInd w:w="284" w:type="dxa"/>
        <w:tblLook w:val="04A0" w:firstRow="1" w:lastRow="0" w:firstColumn="1" w:lastColumn="0" w:noHBand="0" w:noVBand="1"/>
      </w:tblPr>
      <w:tblGrid>
        <w:gridCol w:w="5069"/>
        <w:gridCol w:w="5372"/>
      </w:tblGrid>
      <w:tr w:rsidR="000F30BD" w:rsidRPr="00834080" w:rsidTr="00B80CEF">
        <w:tc>
          <w:tcPr>
            <w:tcW w:w="5069" w:type="dxa"/>
            <w:shd w:val="clear" w:color="auto" w:fill="auto"/>
          </w:tcPr>
          <w:p w:rsidR="000F30BD" w:rsidRPr="00834080" w:rsidRDefault="00722997" w:rsidP="00B15706">
            <w:pPr>
              <w:jc w:val="both"/>
              <w:rPr>
                <w:rFonts w:eastAsia="Calibri"/>
                <w:i/>
                <w:lang w:eastAsia="en-US"/>
              </w:rPr>
            </w:pPr>
            <w:r w:rsidRPr="00834080">
              <w:rPr>
                <w:rFonts w:eastAsia="Calibri"/>
                <w:lang w:eastAsia="en-US"/>
              </w:rPr>
              <w:t xml:space="preserve">      </w:t>
            </w:r>
            <w:r w:rsidR="00B15706" w:rsidRPr="00834080">
              <w:rPr>
                <w:rFonts w:eastAsia="Calibri"/>
                <w:lang w:eastAsia="en-US"/>
              </w:rPr>
              <w:t>червня</w:t>
            </w:r>
            <w:r w:rsidR="00D631F6" w:rsidRPr="00834080">
              <w:rPr>
                <w:rFonts w:eastAsia="Calibri"/>
                <w:lang w:eastAsia="en-US"/>
              </w:rPr>
              <w:t xml:space="preserve"> </w:t>
            </w:r>
            <w:r w:rsidR="000F30BD" w:rsidRPr="00834080">
              <w:rPr>
                <w:rFonts w:eastAsia="Calibri"/>
                <w:lang w:eastAsia="en-US"/>
              </w:rPr>
              <w:t>2016 рок</w:t>
            </w:r>
            <w:r w:rsidR="00EB3263" w:rsidRPr="00834080">
              <w:rPr>
                <w:rFonts w:eastAsia="Calibri"/>
                <w:lang w:eastAsia="en-US"/>
              </w:rPr>
              <w:t>у</w:t>
            </w:r>
            <w:r w:rsidR="000F30BD" w:rsidRPr="00834080">
              <w:rPr>
                <w:rFonts w:eastAsia="Calibri"/>
                <w:lang w:eastAsia="en-US"/>
              </w:rPr>
              <w:t xml:space="preserve"> </w:t>
            </w:r>
          </w:p>
        </w:tc>
        <w:tc>
          <w:tcPr>
            <w:tcW w:w="5372" w:type="dxa"/>
            <w:shd w:val="clear" w:color="auto" w:fill="auto"/>
          </w:tcPr>
          <w:tbl>
            <w:tblPr>
              <w:tblW w:w="0" w:type="auto"/>
              <w:tblLook w:val="04A0" w:firstRow="1" w:lastRow="0" w:firstColumn="1" w:lastColumn="0" w:noHBand="0" w:noVBand="1"/>
            </w:tblPr>
            <w:tblGrid>
              <w:gridCol w:w="236"/>
              <w:gridCol w:w="4617"/>
            </w:tblGrid>
            <w:tr w:rsidR="000F30BD" w:rsidRPr="00834080" w:rsidTr="00413B48">
              <w:tc>
                <w:tcPr>
                  <w:tcW w:w="236" w:type="dxa"/>
                  <w:shd w:val="clear" w:color="auto" w:fill="auto"/>
                </w:tcPr>
                <w:p w:rsidR="000F30BD" w:rsidRPr="00834080" w:rsidRDefault="000F30BD">
                  <w:pPr>
                    <w:rPr>
                      <w:rFonts w:ascii="Calibri" w:eastAsia="Calibri" w:hAnsi="Calibri"/>
                      <w:b/>
                      <w:sz w:val="22"/>
                      <w:szCs w:val="22"/>
                    </w:rPr>
                  </w:pPr>
                </w:p>
                <w:p w:rsidR="000F30BD" w:rsidRPr="00834080" w:rsidRDefault="000F30BD">
                  <w:pPr>
                    <w:ind w:right="-109"/>
                    <w:jc w:val="right"/>
                    <w:rPr>
                      <w:rFonts w:ascii="Calibri" w:eastAsia="Calibri" w:hAnsi="Calibri"/>
                      <w:sz w:val="22"/>
                      <w:szCs w:val="22"/>
                    </w:rPr>
                  </w:pPr>
                </w:p>
                <w:p w:rsidR="000F30BD" w:rsidRPr="00834080" w:rsidRDefault="000F30BD">
                  <w:pPr>
                    <w:rPr>
                      <w:rFonts w:ascii="Calibri" w:eastAsia="Calibri" w:hAnsi="Calibri"/>
                      <w:b/>
                      <w:sz w:val="22"/>
                      <w:szCs w:val="22"/>
                    </w:rPr>
                  </w:pPr>
                </w:p>
                <w:p w:rsidR="000F30BD" w:rsidRPr="00834080" w:rsidRDefault="00D37CEF">
                  <w:pPr>
                    <w:ind w:firstLine="3261"/>
                    <w:rPr>
                      <w:rFonts w:ascii="Calibri" w:eastAsia="Calibri" w:hAnsi="Calibri"/>
                      <w:b/>
                      <w:sz w:val="22"/>
                      <w:szCs w:val="22"/>
                    </w:rPr>
                  </w:pPr>
                  <w:r w:rsidRPr="00834080">
                    <w:rPr>
                      <w:rFonts w:ascii="Calibri" w:eastAsia="Calibri" w:hAnsi="Calibri"/>
                      <w:b/>
                      <w:sz w:val="22"/>
                      <w:szCs w:val="22"/>
                    </w:rPr>
                    <w:t xml:space="preserve"> </w:t>
                  </w:r>
                </w:p>
              </w:tc>
              <w:tc>
                <w:tcPr>
                  <w:tcW w:w="4617" w:type="dxa"/>
                  <w:shd w:val="clear" w:color="auto" w:fill="auto"/>
                </w:tcPr>
                <w:p w:rsidR="000F30BD" w:rsidRPr="00834080" w:rsidRDefault="000F30BD">
                  <w:pPr>
                    <w:rPr>
                      <w:rFonts w:eastAsia="Calibri"/>
                      <w:b/>
                      <w:szCs w:val="22"/>
                    </w:rPr>
                  </w:pPr>
                </w:p>
                <w:p w:rsidR="00B15706" w:rsidRPr="00834080" w:rsidRDefault="00B15706" w:rsidP="00B15706">
                  <w:pPr>
                    <w:ind w:left="824"/>
                    <w:rPr>
                      <w:rFonts w:eastAsia="Calibri"/>
                      <w:b/>
                      <w:szCs w:val="22"/>
                    </w:rPr>
                  </w:pPr>
                  <w:r w:rsidRPr="00834080">
                    <w:rPr>
                      <w:rFonts w:eastAsia="Calibri"/>
                      <w:b/>
                      <w:szCs w:val="22"/>
                    </w:rPr>
                    <w:t xml:space="preserve">Голові Державної фіскальної </w:t>
                  </w:r>
                </w:p>
                <w:p w:rsidR="00B15706" w:rsidRPr="00834080" w:rsidRDefault="00B15706" w:rsidP="00B15706">
                  <w:pPr>
                    <w:ind w:left="824"/>
                    <w:rPr>
                      <w:rFonts w:eastAsia="Calibri"/>
                      <w:b/>
                      <w:szCs w:val="22"/>
                    </w:rPr>
                  </w:pPr>
                  <w:r w:rsidRPr="00834080">
                    <w:rPr>
                      <w:rFonts w:eastAsia="Calibri"/>
                      <w:b/>
                      <w:szCs w:val="22"/>
                    </w:rPr>
                    <w:t>служби України</w:t>
                  </w:r>
                </w:p>
                <w:p w:rsidR="000F30BD" w:rsidRPr="00834080" w:rsidRDefault="00B15706" w:rsidP="00B15706">
                  <w:pPr>
                    <w:ind w:left="824"/>
                    <w:rPr>
                      <w:rFonts w:eastAsia="Calibri"/>
                      <w:b/>
                      <w:szCs w:val="22"/>
                    </w:rPr>
                  </w:pPr>
                  <w:r w:rsidRPr="00834080">
                    <w:rPr>
                      <w:rFonts w:eastAsia="Calibri"/>
                      <w:b/>
                      <w:szCs w:val="22"/>
                    </w:rPr>
                    <w:t xml:space="preserve">Р.М. </w:t>
                  </w:r>
                  <w:proofErr w:type="spellStart"/>
                  <w:r w:rsidRPr="00834080">
                    <w:rPr>
                      <w:rFonts w:eastAsia="Calibri"/>
                      <w:b/>
                      <w:szCs w:val="22"/>
                    </w:rPr>
                    <w:t>Насірову</w:t>
                  </w:r>
                  <w:proofErr w:type="spellEnd"/>
                </w:p>
                <w:p w:rsidR="001129C6" w:rsidRPr="00834080" w:rsidRDefault="001129C6">
                  <w:pPr>
                    <w:rPr>
                      <w:rFonts w:eastAsia="Calibri"/>
                      <w:b/>
                      <w:szCs w:val="22"/>
                    </w:rPr>
                  </w:pPr>
                </w:p>
                <w:p w:rsidR="001129C6" w:rsidRPr="00834080" w:rsidRDefault="001129C6" w:rsidP="00877CFB">
                  <w:pPr>
                    <w:ind w:left="824"/>
                    <w:rPr>
                      <w:rFonts w:eastAsia="Calibri"/>
                      <w:b/>
                      <w:szCs w:val="22"/>
                    </w:rPr>
                  </w:pPr>
                </w:p>
              </w:tc>
            </w:tr>
          </w:tbl>
          <w:p w:rsidR="000F30BD" w:rsidRPr="00834080" w:rsidRDefault="000F30BD" w:rsidP="00A97B35">
            <w:pPr>
              <w:pStyle w:val="ac"/>
              <w:spacing w:before="0" w:beforeAutospacing="0" w:after="0" w:afterAutospacing="0"/>
              <w:rPr>
                <w:b/>
              </w:rPr>
            </w:pPr>
          </w:p>
        </w:tc>
      </w:tr>
    </w:tbl>
    <w:p w:rsidR="00784D53" w:rsidRPr="00834080" w:rsidRDefault="00784D53" w:rsidP="00784D53">
      <w:pPr>
        <w:jc w:val="both"/>
        <w:rPr>
          <w:rFonts w:eastAsia="Calibri"/>
          <w:i/>
          <w:sz w:val="22"/>
          <w:lang w:eastAsia="en-US"/>
        </w:rPr>
      </w:pPr>
      <w:r w:rsidRPr="00834080">
        <w:rPr>
          <w:rFonts w:eastAsia="Calibri"/>
          <w:i/>
          <w:sz w:val="22"/>
          <w:lang w:eastAsia="en-US"/>
        </w:rPr>
        <w:t>Щодо</w:t>
      </w:r>
      <w:r w:rsidRPr="00834080">
        <w:rPr>
          <w:rFonts w:eastAsia="Calibri"/>
          <w:i/>
          <w:sz w:val="22"/>
          <w:lang w:eastAsia="en-US"/>
        </w:rPr>
        <w:t xml:space="preserve"> надання податкової консультації</w:t>
      </w:r>
    </w:p>
    <w:p w:rsidR="006B26A5" w:rsidRPr="00834080" w:rsidRDefault="00784D53" w:rsidP="00784D53">
      <w:pPr>
        <w:jc w:val="both"/>
        <w:rPr>
          <w:rFonts w:eastAsia="Calibri"/>
          <w:i/>
          <w:sz w:val="22"/>
          <w:lang w:eastAsia="en-US"/>
        </w:rPr>
      </w:pPr>
      <w:r w:rsidRPr="00834080">
        <w:rPr>
          <w:rFonts w:eastAsia="Calibri"/>
          <w:i/>
          <w:sz w:val="22"/>
          <w:lang w:eastAsia="en-US"/>
        </w:rPr>
        <w:t>з ПДВ</w:t>
      </w:r>
    </w:p>
    <w:p w:rsidR="00877CFB" w:rsidRPr="00834080" w:rsidRDefault="00877CFB">
      <w:pPr>
        <w:jc w:val="both"/>
        <w:rPr>
          <w:rFonts w:eastAsia="Calibri"/>
          <w:i/>
          <w:sz w:val="22"/>
          <w:lang w:eastAsia="en-US"/>
        </w:rPr>
      </w:pPr>
    </w:p>
    <w:p w:rsidR="007F31E2" w:rsidRPr="00834080" w:rsidRDefault="007F31E2">
      <w:pPr>
        <w:jc w:val="both"/>
        <w:rPr>
          <w:rFonts w:eastAsia="Calibri"/>
          <w:i/>
          <w:sz w:val="22"/>
          <w:lang w:eastAsia="en-US"/>
        </w:rPr>
      </w:pPr>
    </w:p>
    <w:p w:rsidR="000F30BD" w:rsidRPr="00834080" w:rsidRDefault="0018481A" w:rsidP="00A97B35">
      <w:pPr>
        <w:jc w:val="center"/>
        <w:rPr>
          <w:b/>
        </w:rPr>
      </w:pPr>
      <w:r w:rsidRPr="00834080">
        <w:rPr>
          <w:b/>
        </w:rPr>
        <w:t xml:space="preserve">Шановний </w:t>
      </w:r>
      <w:r w:rsidR="00B15706" w:rsidRPr="00834080">
        <w:rPr>
          <w:b/>
        </w:rPr>
        <w:t>Романе Михайловичу</w:t>
      </w:r>
      <w:r w:rsidR="000F30BD" w:rsidRPr="00834080">
        <w:rPr>
          <w:b/>
        </w:rPr>
        <w:t>!</w:t>
      </w:r>
    </w:p>
    <w:p w:rsidR="00BD4DF2" w:rsidRPr="00834080" w:rsidRDefault="00BD4DF2">
      <w:pPr>
        <w:rPr>
          <w:lang w:eastAsia="en-US"/>
        </w:rPr>
      </w:pPr>
    </w:p>
    <w:p w:rsidR="00A67A7A" w:rsidRPr="00834080" w:rsidRDefault="0078776B" w:rsidP="004E394C">
      <w:pPr>
        <w:spacing w:after="120"/>
        <w:ind w:firstLine="709"/>
        <w:jc w:val="both"/>
        <w:rPr>
          <w:bCs/>
        </w:rPr>
      </w:pPr>
      <w:r w:rsidRPr="00834080">
        <w:rPr>
          <w:bCs/>
        </w:rPr>
        <w:t>Від імені Ради директорів Американської торгівельної палати в Україні</w:t>
      </w:r>
      <w:r w:rsidR="00F068AF" w:rsidRPr="00834080">
        <w:rPr>
          <w:bCs/>
        </w:rPr>
        <w:t xml:space="preserve"> (надалі - Палата)</w:t>
      </w:r>
      <w:r w:rsidRPr="00834080">
        <w:rPr>
          <w:bCs/>
        </w:rPr>
        <w:t xml:space="preserve"> та компаній-членів </w:t>
      </w:r>
      <w:r w:rsidR="00404E0F" w:rsidRPr="00834080">
        <w:rPr>
          <w:bCs/>
        </w:rPr>
        <w:t xml:space="preserve">Палати </w:t>
      </w:r>
      <w:r w:rsidRPr="00834080">
        <w:rPr>
          <w:bCs/>
        </w:rPr>
        <w:t>засвідчуємо Вам свою</w:t>
      </w:r>
      <w:r w:rsidR="00866DC7" w:rsidRPr="00834080">
        <w:rPr>
          <w:bCs/>
        </w:rPr>
        <w:t xml:space="preserve"> високу повагу та </w:t>
      </w:r>
      <w:r w:rsidR="00F41E06" w:rsidRPr="00834080">
        <w:t xml:space="preserve">звертаємося до Вас з приводу </w:t>
      </w:r>
      <w:r w:rsidR="00784D53" w:rsidRPr="00834080">
        <w:t xml:space="preserve">надання </w:t>
      </w:r>
      <w:r w:rsidR="00784D53" w:rsidRPr="00834080">
        <w:rPr>
          <w:rFonts w:eastAsia="Calibri"/>
          <w:bCs/>
          <w:color w:val="000000" w:themeColor="text1"/>
          <w:lang w:eastAsia="ru-RU"/>
        </w:rPr>
        <w:t>податков</w:t>
      </w:r>
      <w:r w:rsidR="00784D53" w:rsidRPr="00834080">
        <w:rPr>
          <w:rFonts w:eastAsia="Calibri"/>
          <w:bCs/>
          <w:color w:val="000000" w:themeColor="text1"/>
          <w:lang w:eastAsia="ru-RU"/>
        </w:rPr>
        <w:t>ої консультації</w:t>
      </w:r>
      <w:r w:rsidR="00784D53" w:rsidRPr="00834080">
        <w:rPr>
          <w:rFonts w:eastAsia="Calibri"/>
          <w:bCs/>
          <w:color w:val="000000" w:themeColor="text1"/>
          <w:lang w:eastAsia="ru-RU"/>
        </w:rPr>
        <w:t xml:space="preserve"> з наступних питань</w:t>
      </w:r>
      <w:r w:rsidR="00F41E06" w:rsidRPr="00834080">
        <w:t>.</w:t>
      </w:r>
    </w:p>
    <w:p w:rsidR="00784D53" w:rsidRPr="00834080" w:rsidRDefault="00834080" w:rsidP="004E394C">
      <w:pPr>
        <w:spacing w:after="120"/>
        <w:ind w:firstLine="709"/>
        <w:jc w:val="both"/>
        <w:rPr>
          <w:color w:val="000000" w:themeColor="text1"/>
        </w:rPr>
      </w:pPr>
      <w:r>
        <w:rPr>
          <w:color w:val="000000" w:themeColor="text1"/>
        </w:rPr>
        <w:t>У</w:t>
      </w:r>
      <w:r w:rsidR="00784D53" w:rsidRPr="00834080">
        <w:rPr>
          <w:color w:val="000000" w:themeColor="text1"/>
        </w:rPr>
        <w:t xml:space="preserve"> господарській діяльності платників податків виникають ситуації, коли основні засоби  (далі – ОЗ) викрадаються. У зв`язку з цим</w:t>
      </w:r>
      <w:r>
        <w:rPr>
          <w:color w:val="000000" w:themeColor="text1"/>
        </w:rPr>
        <w:t>,</w:t>
      </w:r>
      <w:r w:rsidR="00784D53" w:rsidRPr="00834080">
        <w:rPr>
          <w:color w:val="000000" w:themeColor="text1"/>
        </w:rPr>
        <w:t xml:space="preserve"> виникає необхідність у списанні таких основних засобів.</w:t>
      </w:r>
    </w:p>
    <w:p w:rsidR="00784D53" w:rsidRPr="00834080" w:rsidRDefault="00834080" w:rsidP="004E394C">
      <w:pPr>
        <w:spacing w:after="120"/>
        <w:ind w:firstLine="720"/>
        <w:jc w:val="both"/>
        <w:rPr>
          <w:color w:val="000000" w:themeColor="text1"/>
        </w:rPr>
      </w:pPr>
      <w:r w:rsidRPr="00834080">
        <w:rPr>
          <w:color w:val="000000" w:themeColor="text1"/>
        </w:rPr>
        <w:t>1.</w:t>
      </w:r>
      <w:r>
        <w:rPr>
          <w:color w:val="000000" w:themeColor="text1"/>
        </w:rPr>
        <w:t xml:space="preserve"> </w:t>
      </w:r>
      <w:r w:rsidR="00784D53" w:rsidRPr="00834080">
        <w:rPr>
          <w:color w:val="000000" w:themeColor="text1"/>
        </w:rPr>
        <w:t xml:space="preserve">Згідно з п. </w:t>
      </w:r>
      <w:hyperlink r:id="rId13" w:anchor="3773" w:tgtFrame="_blank" w:tooltip="Податковий кодекс України; нормативно-правовий акт № 2755-VI від 02.12.2010" w:history="1">
        <w:r w:rsidR="00784D53" w:rsidRPr="00834080">
          <w:rPr>
            <w:rStyle w:val="a9"/>
            <w:color w:val="000000" w:themeColor="text1"/>
          </w:rPr>
          <w:t>189.9</w:t>
        </w:r>
      </w:hyperlink>
      <w:r w:rsidR="00784D53" w:rsidRPr="00834080">
        <w:rPr>
          <w:color w:val="000000" w:themeColor="text1"/>
        </w:rPr>
        <w:t xml:space="preserve"> ст. </w:t>
      </w:r>
      <w:hyperlink r:id="rId14" w:anchor="3748" w:tgtFrame="_blank" w:tooltip="Податковий кодекс України; нормативно-правовий акт № 2755-VI від 02.12.2010" w:history="1">
        <w:r w:rsidR="00784D53" w:rsidRPr="00834080">
          <w:rPr>
            <w:rStyle w:val="a9"/>
            <w:color w:val="000000" w:themeColor="text1"/>
          </w:rPr>
          <w:t>189 ПК України</w:t>
        </w:r>
      </w:hyperlink>
      <w:r w:rsidR="00784D53" w:rsidRPr="00834080">
        <w:rPr>
          <w:color w:val="000000" w:themeColor="text1"/>
        </w:rPr>
        <w:t xml:space="preserve"> у разі якщо основні виробничі або невиробничі засоби ліквідуються за самостійним рішенням платника податку, така ліквідація для цілей оподаткування розглядається як постачання таких основних виробничих або невиробничих засобів за звичайними цінами, але не нижче балансової вартості на момент ліквідації. </w:t>
      </w:r>
    </w:p>
    <w:p w:rsidR="00784D53" w:rsidRPr="00834080" w:rsidRDefault="00784D53" w:rsidP="004E394C">
      <w:pPr>
        <w:spacing w:after="120"/>
        <w:ind w:firstLine="720"/>
        <w:jc w:val="both"/>
      </w:pPr>
      <w:r w:rsidRPr="00834080">
        <w:t xml:space="preserve">При цьому якщо ліквідація основних виробничих або невиробничих засобів відбулась у зв'язку з викраденням, що підтверджено згідно законодавства, для суб'єкта господарювання така </w:t>
      </w:r>
      <w:r w:rsidRPr="00834080">
        <w:rPr>
          <w:b/>
        </w:rPr>
        <w:t>ліквідація</w:t>
      </w:r>
      <w:r w:rsidRPr="00834080">
        <w:t xml:space="preserve"> </w:t>
      </w:r>
      <w:r w:rsidRPr="00834080">
        <w:rPr>
          <w:b/>
          <w:u w:val="single"/>
        </w:rPr>
        <w:t xml:space="preserve">не розглядається як постачання таких основних виробничих або невиробничих засобів за звичайними цінами відповідно до </w:t>
      </w:r>
      <w:r w:rsidRPr="00834080">
        <w:rPr>
          <w:b/>
          <w:color w:val="000000" w:themeColor="text1"/>
          <w:u w:val="single"/>
        </w:rPr>
        <w:t>абзацу другого п. 189.9 ст. 189 Кодексу.</w:t>
      </w:r>
    </w:p>
    <w:p w:rsidR="00784D53" w:rsidRPr="00834080" w:rsidRDefault="00784D53" w:rsidP="004E394C">
      <w:pPr>
        <w:spacing w:after="120"/>
        <w:ind w:firstLine="720"/>
        <w:jc w:val="both"/>
      </w:pPr>
      <w:r w:rsidRPr="00834080">
        <w:t>Дотримуючись зазначеної норми, платники податку здійснюють списання вкрадених ОЗ без нарахування ПДВ зобов`язань.</w:t>
      </w:r>
    </w:p>
    <w:p w:rsidR="00784D53" w:rsidRPr="00834080" w:rsidRDefault="00784D53" w:rsidP="004E394C">
      <w:pPr>
        <w:spacing w:after="120"/>
        <w:ind w:firstLine="851"/>
        <w:jc w:val="both"/>
        <w:rPr>
          <w:rFonts w:eastAsia="Calibri"/>
          <w:bCs/>
          <w:color w:val="000000" w:themeColor="text1"/>
          <w:lang w:eastAsia="ru-RU"/>
        </w:rPr>
      </w:pPr>
      <w:r w:rsidRPr="00834080">
        <w:rPr>
          <w:color w:val="000000" w:themeColor="text1"/>
        </w:rPr>
        <w:t xml:space="preserve">Проте ДФС в своєму роз`ясненні від </w:t>
      </w:r>
      <w:r w:rsidRPr="00834080">
        <w:rPr>
          <w:rFonts w:eastAsia="Calibri"/>
          <w:bCs/>
          <w:color w:val="000000" w:themeColor="text1"/>
          <w:lang w:eastAsia="ru-RU"/>
        </w:rPr>
        <w:t>27.05.2016р. № 11679/6/99-95-42-01-15 зазначила, що при списанні вкрадених ОЗ повинні бути нараховані</w:t>
      </w:r>
      <w:r w:rsidRPr="00834080">
        <w:rPr>
          <w:color w:val="000000" w:themeColor="text1"/>
        </w:rPr>
        <w:t xml:space="preserve"> податкові зобов`язання з ПДВ згідно </w:t>
      </w:r>
      <w:proofErr w:type="spellStart"/>
      <w:r w:rsidRPr="00834080">
        <w:rPr>
          <w:color w:val="000000" w:themeColor="text1"/>
        </w:rPr>
        <w:t>абз</w:t>
      </w:r>
      <w:proofErr w:type="spellEnd"/>
      <w:r w:rsidRPr="00834080">
        <w:rPr>
          <w:color w:val="000000" w:themeColor="text1"/>
        </w:rPr>
        <w:t xml:space="preserve">. «г» ст. 198.5 ПКУ. Підставою для цього, як вважає податковий орган є те, що ОЗ, які були викрадені та при придбанні яких був сформований податковий кредит, </w:t>
      </w:r>
      <w:r w:rsidRPr="00834080">
        <w:rPr>
          <w:b/>
          <w:i/>
          <w:color w:val="000000" w:themeColor="text1"/>
        </w:rPr>
        <w:t>неможливо використати в господарській діяльності.</w:t>
      </w:r>
    </w:p>
    <w:p w:rsidR="00784D53" w:rsidRPr="00834080" w:rsidRDefault="00784D53" w:rsidP="004E394C">
      <w:pPr>
        <w:spacing w:after="120"/>
        <w:ind w:firstLine="720"/>
        <w:jc w:val="both"/>
        <w:rPr>
          <w:color w:val="000000" w:themeColor="text1"/>
          <w:lang w:eastAsia="en-US"/>
        </w:rPr>
      </w:pPr>
      <w:r w:rsidRPr="00834080">
        <w:rPr>
          <w:color w:val="000000" w:themeColor="text1"/>
        </w:rPr>
        <w:t>Вважаємо, що в цьому випадку застосування ст. 198.5 ПКУ є недоречним.</w:t>
      </w:r>
    </w:p>
    <w:p w:rsidR="00784D53" w:rsidRPr="00834080" w:rsidRDefault="00784D53" w:rsidP="004E394C">
      <w:pPr>
        <w:pStyle w:val="ac"/>
        <w:spacing w:before="0" w:beforeAutospacing="0" w:after="120" w:afterAutospacing="0"/>
        <w:ind w:firstLine="720"/>
        <w:jc w:val="both"/>
        <w:rPr>
          <w:rFonts w:eastAsiaTheme="minorEastAsia"/>
          <w:b/>
          <w:color w:val="000000" w:themeColor="text1"/>
          <w:sz w:val="22"/>
          <w:szCs w:val="22"/>
          <w:u w:val="single"/>
        </w:rPr>
      </w:pPr>
      <w:r w:rsidRPr="00834080">
        <w:rPr>
          <w:color w:val="000000" w:themeColor="text1"/>
          <w:sz w:val="22"/>
          <w:szCs w:val="22"/>
        </w:rPr>
        <w:t xml:space="preserve">Згідно з </w:t>
      </w:r>
      <w:proofErr w:type="spellStart"/>
      <w:r w:rsidRPr="00834080">
        <w:rPr>
          <w:color w:val="000000" w:themeColor="text1"/>
          <w:sz w:val="22"/>
          <w:szCs w:val="22"/>
        </w:rPr>
        <w:t>пп</w:t>
      </w:r>
      <w:proofErr w:type="spellEnd"/>
      <w:r w:rsidRPr="00834080">
        <w:rPr>
          <w:color w:val="000000" w:themeColor="text1"/>
          <w:sz w:val="22"/>
          <w:szCs w:val="22"/>
        </w:rPr>
        <w:t xml:space="preserve">. «г» п. </w:t>
      </w:r>
      <w:hyperlink r:id="rId15" w:anchor="9393" w:tgtFrame="_blank" w:tooltip="Податковий кодекс України; нормативно-правовий акт № 2755-VI від 02.12.2010" w:history="1">
        <w:r w:rsidRPr="00834080">
          <w:rPr>
            <w:rStyle w:val="a9"/>
            <w:color w:val="000000" w:themeColor="text1"/>
            <w:sz w:val="22"/>
            <w:szCs w:val="22"/>
          </w:rPr>
          <w:t>198.5</w:t>
        </w:r>
      </w:hyperlink>
      <w:r w:rsidRPr="00834080">
        <w:rPr>
          <w:color w:val="000000" w:themeColor="text1"/>
          <w:sz w:val="22"/>
          <w:szCs w:val="22"/>
        </w:rPr>
        <w:t xml:space="preserve"> ст. </w:t>
      </w:r>
      <w:hyperlink r:id="rId16" w:anchor="4030" w:tgtFrame="_blank" w:tooltip="Податковий кодекс України; нормативно-правовий акт № 2755-VI від 02.12.2010" w:history="1">
        <w:r w:rsidRPr="00834080">
          <w:rPr>
            <w:rStyle w:val="a9"/>
            <w:color w:val="000000" w:themeColor="text1"/>
            <w:sz w:val="22"/>
            <w:szCs w:val="22"/>
          </w:rPr>
          <w:t>198 Податкового кодексу України</w:t>
        </w:r>
      </w:hyperlink>
      <w:r w:rsidRPr="00834080">
        <w:rPr>
          <w:color w:val="000000" w:themeColor="text1"/>
          <w:sz w:val="22"/>
          <w:szCs w:val="22"/>
        </w:rPr>
        <w:t xml:space="preserve"> вбачається, що у платника податку виникає обов'язок нарахувати податкові зобов'язання з податку на додану вартість за умови, що придбані товари, необоротні активи  (податок на додану вартість у складі вартової яких віднесених до складу податкового кредиту) </w:t>
      </w:r>
      <w:r w:rsidRPr="00834080">
        <w:rPr>
          <w:b/>
          <w:color w:val="000000" w:themeColor="text1"/>
          <w:sz w:val="22"/>
          <w:szCs w:val="22"/>
          <w:u w:val="single"/>
        </w:rPr>
        <w:t>почали використовуватись в операціях</w:t>
      </w:r>
      <w:r w:rsidRPr="00834080">
        <w:rPr>
          <w:b/>
          <w:color w:val="000000" w:themeColor="text1"/>
          <w:sz w:val="22"/>
          <w:szCs w:val="22"/>
        </w:rPr>
        <w:t xml:space="preserve">, </w:t>
      </w:r>
      <w:r w:rsidRPr="00834080">
        <w:rPr>
          <w:b/>
          <w:color w:val="000000" w:themeColor="text1"/>
          <w:sz w:val="22"/>
          <w:szCs w:val="22"/>
          <w:u w:val="single"/>
        </w:rPr>
        <w:t>що не є господарською діяльністю платника податку.</w:t>
      </w:r>
    </w:p>
    <w:p w:rsidR="00784D53" w:rsidRPr="00834080" w:rsidRDefault="00784D53" w:rsidP="004E394C">
      <w:pPr>
        <w:pStyle w:val="ac"/>
        <w:spacing w:before="0" w:beforeAutospacing="0" w:after="120" w:afterAutospacing="0"/>
        <w:ind w:firstLine="720"/>
        <w:jc w:val="both"/>
        <w:rPr>
          <w:color w:val="000000" w:themeColor="text1"/>
          <w:sz w:val="22"/>
          <w:szCs w:val="22"/>
        </w:rPr>
      </w:pPr>
      <w:r w:rsidRPr="00834080">
        <w:rPr>
          <w:color w:val="000000" w:themeColor="text1"/>
          <w:sz w:val="22"/>
          <w:szCs w:val="22"/>
        </w:rPr>
        <w:t xml:space="preserve">Отже, обов'язковою умовою нарахування податкових зобов'язань є факт початку використання платником податку придбаного товару в операціях, які не пов'язані з його господарською діяльністю. </w:t>
      </w:r>
    </w:p>
    <w:p w:rsidR="00784D53" w:rsidRPr="00834080" w:rsidRDefault="00784D53" w:rsidP="004E394C">
      <w:pPr>
        <w:pStyle w:val="ac"/>
        <w:spacing w:before="0" w:beforeAutospacing="0" w:after="120" w:afterAutospacing="0"/>
        <w:ind w:firstLine="720"/>
        <w:jc w:val="both"/>
        <w:rPr>
          <w:b/>
          <w:color w:val="000000" w:themeColor="text1"/>
          <w:sz w:val="22"/>
          <w:szCs w:val="22"/>
          <w:u w:val="single"/>
        </w:rPr>
      </w:pPr>
      <w:r w:rsidRPr="00834080">
        <w:rPr>
          <w:b/>
          <w:color w:val="000000" w:themeColor="text1"/>
          <w:sz w:val="22"/>
          <w:szCs w:val="22"/>
        </w:rPr>
        <w:lastRenderedPageBreak/>
        <w:t xml:space="preserve">Але ж </w:t>
      </w:r>
      <w:r w:rsidRPr="00834080">
        <w:rPr>
          <w:b/>
          <w:color w:val="000000" w:themeColor="text1"/>
          <w:sz w:val="22"/>
          <w:szCs w:val="22"/>
          <w:u w:val="single"/>
        </w:rPr>
        <w:t>ОЗ, який вкрали</w:t>
      </w:r>
      <w:r w:rsidRPr="00834080">
        <w:rPr>
          <w:b/>
          <w:color w:val="000000" w:themeColor="text1"/>
          <w:sz w:val="22"/>
          <w:szCs w:val="22"/>
        </w:rPr>
        <w:t xml:space="preserve">, </w:t>
      </w:r>
      <w:r w:rsidRPr="00834080">
        <w:rPr>
          <w:b/>
          <w:color w:val="000000" w:themeColor="text1"/>
          <w:sz w:val="22"/>
          <w:szCs w:val="22"/>
          <w:u w:val="single"/>
        </w:rPr>
        <w:t>ніяк не можуть використовуватись платником ні в якій діяльності: ні у господарській, ні у діяльності, що не є господарською.</w:t>
      </w:r>
    </w:p>
    <w:p w:rsidR="00784D53" w:rsidRPr="00834080" w:rsidRDefault="00784D53" w:rsidP="004E394C">
      <w:pPr>
        <w:pStyle w:val="ac"/>
        <w:spacing w:before="0" w:beforeAutospacing="0" w:after="120" w:afterAutospacing="0"/>
        <w:ind w:firstLine="720"/>
        <w:jc w:val="both"/>
        <w:rPr>
          <w:b/>
          <w:color w:val="000000" w:themeColor="text1"/>
          <w:sz w:val="22"/>
          <w:szCs w:val="22"/>
        </w:rPr>
      </w:pPr>
      <w:r w:rsidRPr="00834080">
        <w:rPr>
          <w:b/>
          <w:color w:val="000000" w:themeColor="text1"/>
          <w:sz w:val="22"/>
          <w:szCs w:val="22"/>
        </w:rPr>
        <w:t xml:space="preserve">Отже, списання ОЗ у зв`язку з крадіжкою такого ОЗ не є обставиною, яка свідчить, що такі ОЗ починають використовуватися в операціях, які не є господарською діяльністю платника. </w:t>
      </w:r>
      <w:r w:rsidRPr="00834080">
        <w:rPr>
          <w:color w:val="000000" w:themeColor="text1"/>
          <w:sz w:val="22"/>
          <w:szCs w:val="22"/>
        </w:rPr>
        <w:t>Відповідно відсутні підстави для застосування ст. 198.5 ПКУ.</w:t>
      </w:r>
    </w:p>
    <w:p w:rsidR="00784D53" w:rsidRPr="00834080" w:rsidRDefault="00784D53" w:rsidP="004E394C">
      <w:pPr>
        <w:spacing w:after="120"/>
        <w:ind w:firstLine="720"/>
        <w:jc w:val="both"/>
        <w:rPr>
          <w:b/>
          <w:color w:val="000000" w:themeColor="text1"/>
          <w:sz w:val="22"/>
          <w:szCs w:val="22"/>
        </w:rPr>
      </w:pPr>
      <w:r w:rsidRPr="00834080">
        <w:rPr>
          <w:b/>
          <w:color w:val="000000" w:themeColor="text1"/>
        </w:rPr>
        <w:t>2.Крім цього, одна господарська операція може розглядатись як постачання товару для цілей розділу V ПКУ лише один раз.</w:t>
      </w:r>
    </w:p>
    <w:p w:rsidR="00784D53" w:rsidRPr="00834080" w:rsidRDefault="00784D53" w:rsidP="004E394C">
      <w:pPr>
        <w:spacing w:after="120"/>
        <w:ind w:firstLine="720"/>
        <w:jc w:val="both"/>
        <w:rPr>
          <w:color w:val="000000" w:themeColor="text1"/>
        </w:rPr>
      </w:pPr>
      <w:r w:rsidRPr="00834080">
        <w:rPr>
          <w:color w:val="000000" w:themeColor="text1"/>
        </w:rPr>
        <w:t xml:space="preserve">Так, </w:t>
      </w:r>
      <w:r w:rsidRPr="00834080">
        <w:rPr>
          <w:rFonts w:eastAsia="Calibri"/>
          <w:bCs/>
          <w:color w:val="000000" w:themeColor="text1"/>
          <w:lang w:eastAsia="ru-RU"/>
        </w:rPr>
        <w:t>з</w:t>
      </w:r>
      <w:r w:rsidRPr="00834080">
        <w:rPr>
          <w:color w:val="000000" w:themeColor="text1"/>
        </w:rPr>
        <w:t xml:space="preserve">гідно з ст. 185 Податкового кодексу України (далі - ПКУ) об'єктом оподаткування ПДВ є операції платників податку: </w:t>
      </w:r>
    </w:p>
    <w:p w:rsidR="00784D53" w:rsidRPr="00834080" w:rsidRDefault="00784D53" w:rsidP="004E394C">
      <w:pPr>
        <w:spacing w:after="120"/>
        <w:jc w:val="both"/>
        <w:rPr>
          <w:color w:val="000000" w:themeColor="text1"/>
        </w:rPr>
      </w:pPr>
      <w:r w:rsidRPr="00834080">
        <w:rPr>
          <w:color w:val="000000" w:themeColor="text1"/>
        </w:rPr>
        <w:t xml:space="preserve">«а) </w:t>
      </w:r>
      <w:r w:rsidRPr="00834080">
        <w:rPr>
          <w:b/>
          <w:color w:val="000000" w:themeColor="text1"/>
          <w:u w:val="single"/>
        </w:rPr>
        <w:t>постачання товарів</w:t>
      </w:r>
      <w:r w:rsidRPr="00834080">
        <w:rPr>
          <w:color w:val="000000" w:themeColor="text1"/>
        </w:rPr>
        <w:t>, місце постачання яких розташоване на митній території України;</w:t>
      </w:r>
    </w:p>
    <w:p w:rsidR="00784D53" w:rsidRPr="00834080" w:rsidRDefault="00784D53" w:rsidP="004E394C">
      <w:pPr>
        <w:spacing w:after="120"/>
        <w:jc w:val="both"/>
        <w:rPr>
          <w:color w:val="000000" w:themeColor="text1"/>
        </w:rPr>
      </w:pPr>
      <w:r w:rsidRPr="00834080">
        <w:rPr>
          <w:color w:val="000000" w:themeColor="text1"/>
        </w:rPr>
        <w:t xml:space="preserve">б) </w:t>
      </w:r>
      <w:r w:rsidRPr="00834080">
        <w:rPr>
          <w:b/>
          <w:color w:val="000000" w:themeColor="text1"/>
          <w:u w:val="single"/>
        </w:rPr>
        <w:t>постачання послуг,</w:t>
      </w:r>
      <w:r w:rsidRPr="00834080">
        <w:rPr>
          <w:color w:val="000000" w:themeColor="text1"/>
        </w:rPr>
        <w:t xml:space="preserve"> місце постачання яких розташоване на митній території України».</w:t>
      </w:r>
    </w:p>
    <w:p w:rsidR="00784D53" w:rsidRPr="00834080" w:rsidRDefault="00784D53" w:rsidP="004E394C">
      <w:pPr>
        <w:spacing w:after="120"/>
        <w:ind w:firstLine="720"/>
        <w:jc w:val="both"/>
        <w:rPr>
          <w:color w:val="000000" w:themeColor="text1"/>
        </w:rPr>
      </w:pPr>
      <w:r w:rsidRPr="00834080">
        <w:rPr>
          <w:color w:val="000000" w:themeColor="text1"/>
        </w:rPr>
        <w:t>Статтею 188 ПКУ встановлено «порядок визначення бази оподаткування в разі постачання товарів/послуг».</w:t>
      </w:r>
    </w:p>
    <w:p w:rsidR="00784D53" w:rsidRPr="00834080" w:rsidRDefault="00784D53" w:rsidP="004E394C">
      <w:pPr>
        <w:spacing w:after="120"/>
        <w:ind w:firstLine="720"/>
        <w:jc w:val="both"/>
        <w:rPr>
          <w:color w:val="000000" w:themeColor="text1"/>
        </w:rPr>
      </w:pPr>
      <w:r w:rsidRPr="00834080">
        <w:rPr>
          <w:color w:val="000000" w:themeColor="text1"/>
        </w:rPr>
        <w:t>ПКУ визначає всі елементи податку на додану вартість виключно стосовно операцій «постачання товарів/послуг».</w:t>
      </w:r>
    </w:p>
    <w:p w:rsidR="00784D53" w:rsidRPr="00834080" w:rsidRDefault="00784D53" w:rsidP="004E394C">
      <w:pPr>
        <w:spacing w:after="120"/>
        <w:jc w:val="both"/>
        <w:rPr>
          <w:color w:val="000000" w:themeColor="text1"/>
        </w:rPr>
      </w:pPr>
      <w:r w:rsidRPr="00834080">
        <w:rPr>
          <w:color w:val="000000" w:themeColor="text1"/>
        </w:rPr>
        <w:tab/>
        <w:t xml:space="preserve">Статтею  14.1.191 ПКУ визначено вичерпний перелік операцій, які є </w:t>
      </w:r>
      <w:r w:rsidRPr="00834080">
        <w:rPr>
          <w:b/>
          <w:color w:val="000000" w:themeColor="text1"/>
          <w:u w:val="single"/>
        </w:rPr>
        <w:t>постачанням товарів для цілей оподаткування ПДВ</w:t>
      </w:r>
      <w:r w:rsidR="004E394C">
        <w:rPr>
          <w:color w:val="000000" w:themeColor="text1"/>
        </w:rPr>
        <w:t>, у</w:t>
      </w:r>
      <w:r w:rsidRPr="00834080">
        <w:rPr>
          <w:color w:val="000000" w:themeColor="text1"/>
        </w:rPr>
        <w:t xml:space="preserve"> </w:t>
      </w:r>
      <w:proofErr w:type="spellStart"/>
      <w:r w:rsidRPr="00834080">
        <w:rPr>
          <w:color w:val="000000" w:themeColor="text1"/>
        </w:rPr>
        <w:t>т.ч</w:t>
      </w:r>
      <w:proofErr w:type="spellEnd"/>
      <w:r w:rsidRPr="00834080">
        <w:rPr>
          <w:color w:val="000000" w:themeColor="text1"/>
        </w:rPr>
        <w:t>.:</w:t>
      </w:r>
    </w:p>
    <w:p w:rsidR="00784D53" w:rsidRPr="00834080" w:rsidRDefault="00784D53" w:rsidP="004E394C">
      <w:pPr>
        <w:spacing w:after="120"/>
        <w:jc w:val="both"/>
        <w:rPr>
          <w:color w:val="000000" w:themeColor="text1"/>
        </w:rPr>
      </w:pPr>
      <w:r w:rsidRPr="00834080">
        <w:rPr>
          <w:color w:val="000000" w:themeColor="text1"/>
        </w:rPr>
        <w:t>в) будь-яка із зазначених дій платника податку щодо матеріальних активів, якщо платник податку мав право на віднесення сум податку до податкового кредиту у разі придбання зазначеного майна чи його частини (</w:t>
      </w:r>
      <w:r w:rsidRPr="00834080">
        <w:rPr>
          <w:b/>
          <w:color w:val="000000" w:themeColor="text1"/>
        </w:rPr>
        <w:t>передача майна у межах балансу платника податку, що використовується у господарській діяльності платника податку для його подальшого використання з метою, не пов'язаною із господарською діяльністю такого платника податку</w:t>
      </w:r>
      <w:r w:rsidRPr="00834080">
        <w:rPr>
          <w:color w:val="000000" w:themeColor="text1"/>
        </w:rPr>
        <w:t xml:space="preserve">); </w:t>
      </w:r>
    </w:p>
    <w:p w:rsidR="00784D53" w:rsidRPr="00834080" w:rsidRDefault="00784D53" w:rsidP="004E394C">
      <w:pPr>
        <w:spacing w:after="120"/>
        <w:jc w:val="both"/>
        <w:rPr>
          <w:color w:val="000000" w:themeColor="text1"/>
        </w:rPr>
      </w:pPr>
      <w:r w:rsidRPr="00834080">
        <w:rPr>
          <w:color w:val="000000" w:themeColor="text1"/>
        </w:rPr>
        <w:t xml:space="preserve">д) </w:t>
      </w:r>
      <w:r w:rsidRPr="00834080">
        <w:rPr>
          <w:b/>
          <w:color w:val="000000" w:themeColor="text1"/>
        </w:rPr>
        <w:t>ліквідація платником податку за власним бажанням необоротних активів</w:t>
      </w:r>
      <w:r w:rsidRPr="00834080">
        <w:rPr>
          <w:color w:val="000000" w:themeColor="text1"/>
        </w:rPr>
        <w:t>, які перебувають у такого платника.».</w:t>
      </w:r>
    </w:p>
    <w:p w:rsidR="00784D53" w:rsidRPr="00834080" w:rsidRDefault="00784D53" w:rsidP="004E394C">
      <w:pPr>
        <w:spacing w:after="120"/>
        <w:jc w:val="both"/>
      </w:pPr>
      <w:r w:rsidRPr="00834080">
        <w:tab/>
        <w:t xml:space="preserve">Зазначені в ст. </w:t>
      </w:r>
      <w:r w:rsidRPr="00834080">
        <w:rPr>
          <w:color w:val="000000" w:themeColor="text1"/>
        </w:rPr>
        <w:t>14.1.191 ПКУ</w:t>
      </w:r>
      <w:r w:rsidRPr="00834080">
        <w:t xml:space="preserve"> види операції з постачання товарів також наведе</w:t>
      </w:r>
      <w:r w:rsidR="001C1914">
        <w:t xml:space="preserve">ні в п. 198.5 ст. </w:t>
      </w:r>
      <w:r w:rsidRPr="00834080">
        <w:t>198 ПКУ. Щодо цих операцій постачання товарів згідно ст. 198.5 ПКУ платник податку зобов`язаний нарахувати податкові зобов`язання з ПДВ.</w:t>
      </w:r>
    </w:p>
    <w:p w:rsidR="00784D53" w:rsidRPr="00834080" w:rsidRDefault="001C1914" w:rsidP="004E394C">
      <w:pPr>
        <w:spacing w:after="120"/>
        <w:ind w:firstLine="720"/>
        <w:jc w:val="both"/>
        <w:rPr>
          <w:color w:val="000000" w:themeColor="text1"/>
        </w:rPr>
      </w:pPr>
      <w:r>
        <w:t>Із</w:t>
      </w:r>
      <w:r w:rsidR="00784D53" w:rsidRPr="00834080">
        <w:t xml:space="preserve"> роз`яснення </w:t>
      </w:r>
      <w:r w:rsidR="00784D53" w:rsidRPr="00834080">
        <w:rPr>
          <w:color w:val="000000" w:themeColor="text1"/>
        </w:rPr>
        <w:t xml:space="preserve">ДФС від </w:t>
      </w:r>
      <w:r>
        <w:rPr>
          <w:rFonts w:eastAsia="Calibri"/>
          <w:bCs/>
          <w:color w:val="000000" w:themeColor="text1"/>
          <w:lang w:eastAsia="ru-RU"/>
        </w:rPr>
        <w:t xml:space="preserve">27.05.2016 </w:t>
      </w:r>
      <w:r w:rsidR="00784D53" w:rsidRPr="00834080">
        <w:rPr>
          <w:rFonts w:eastAsia="Calibri"/>
          <w:bCs/>
          <w:color w:val="000000" w:themeColor="text1"/>
          <w:lang w:eastAsia="ru-RU"/>
        </w:rPr>
        <w:t xml:space="preserve">№11679/6/99-95-42-01-15 </w:t>
      </w:r>
      <w:r w:rsidR="00A251CA">
        <w:rPr>
          <w:rFonts w:eastAsia="Calibri"/>
          <w:bCs/>
          <w:color w:val="000000" w:themeColor="text1"/>
          <w:lang w:eastAsia="ru-RU"/>
        </w:rPr>
        <w:t>робиться висновок</w:t>
      </w:r>
      <w:r w:rsidR="00784D53" w:rsidRPr="00834080">
        <w:rPr>
          <w:rFonts w:eastAsia="Calibri"/>
          <w:bCs/>
          <w:color w:val="000000" w:themeColor="text1"/>
          <w:lang w:eastAsia="ru-RU"/>
        </w:rPr>
        <w:t xml:space="preserve">, що </w:t>
      </w:r>
      <w:r w:rsidR="00784D53" w:rsidRPr="00834080">
        <w:t>одна опе</w:t>
      </w:r>
      <w:r w:rsidR="00784D53" w:rsidRPr="00834080">
        <w:rPr>
          <w:color w:val="000000" w:themeColor="text1"/>
        </w:rPr>
        <w:t>рація з лікв</w:t>
      </w:r>
      <w:r>
        <w:rPr>
          <w:color w:val="000000" w:themeColor="text1"/>
        </w:rPr>
        <w:t xml:space="preserve">ідації </w:t>
      </w:r>
      <w:r w:rsidR="001949C6">
        <w:rPr>
          <w:color w:val="000000" w:themeColor="text1"/>
        </w:rPr>
        <w:t>ОЗ у зв`язку з його викраденням</w:t>
      </w:r>
      <w:r w:rsidR="00784D53" w:rsidRPr="00834080">
        <w:rPr>
          <w:color w:val="000000" w:themeColor="text1"/>
        </w:rPr>
        <w:t xml:space="preserve"> підпадає під дію декількох різних норм ПКУ:</w:t>
      </w:r>
    </w:p>
    <w:p w:rsidR="00784D53" w:rsidRPr="00834080" w:rsidRDefault="00784D53" w:rsidP="004E394C">
      <w:pPr>
        <w:spacing w:after="120"/>
        <w:ind w:firstLine="709"/>
        <w:jc w:val="both"/>
        <w:rPr>
          <w:color w:val="000000" w:themeColor="text1"/>
        </w:rPr>
      </w:pPr>
      <w:r w:rsidRPr="00834080">
        <w:rPr>
          <w:color w:val="000000" w:themeColor="text1"/>
        </w:rPr>
        <w:t>- як ліквідація основного засобу відповідно до ст. 14.1.191 ПКУ, п. 189.9 ст. 189 ПКУ;</w:t>
      </w:r>
    </w:p>
    <w:p w:rsidR="00784D53" w:rsidRPr="00834080" w:rsidRDefault="00784D53" w:rsidP="004E394C">
      <w:pPr>
        <w:spacing w:after="120"/>
        <w:ind w:firstLine="709"/>
        <w:jc w:val="both"/>
      </w:pPr>
      <w:r w:rsidRPr="00834080">
        <w:t>- як використання товару не в господарській діяльності відповідно до ст. 198.5 ПКУ.</w:t>
      </w:r>
    </w:p>
    <w:p w:rsidR="00784D53" w:rsidRPr="00834080" w:rsidRDefault="00784D53" w:rsidP="004E394C">
      <w:pPr>
        <w:spacing w:after="120"/>
        <w:ind w:firstLine="720"/>
        <w:jc w:val="both"/>
        <w:rPr>
          <w:color w:val="000000" w:themeColor="text1"/>
        </w:rPr>
      </w:pPr>
      <w:r w:rsidRPr="00834080">
        <w:rPr>
          <w:color w:val="000000" w:themeColor="text1"/>
        </w:rPr>
        <w:t>У такому разі виходить, що платник податку при списанні вкрадених ОЗ повинен двічі нарахувати ПДВ зобов`язання.</w:t>
      </w:r>
    </w:p>
    <w:p w:rsidR="00784D53" w:rsidRPr="00834080" w:rsidRDefault="00F201BF" w:rsidP="004E394C">
      <w:pPr>
        <w:spacing w:after="120"/>
        <w:ind w:firstLine="720"/>
        <w:jc w:val="both"/>
        <w:rPr>
          <w:b/>
        </w:rPr>
      </w:pPr>
      <w:r>
        <w:rPr>
          <w:color w:val="000000" w:themeColor="text1"/>
        </w:rPr>
        <w:t>Згідно ст. 17 Господарського к</w:t>
      </w:r>
      <w:r w:rsidR="00784D53" w:rsidRPr="00834080">
        <w:rPr>
          <w:color w:val="000000" w:themeColor="text1"/>
        </w:rPr>
        <w:t xml:space="preserve">одексу України </w:t>
      </w:r>
      <w:r w:rsidR="00784D53" w:rsidRPr="00834080">
        <w:rPr>
          <w:b/>
        </w:rPr>
        <w:t>закони, якими регулюється оподаткування суб'єктів господарювання</w:t>
      </w:r>
      <w:r w:rsidR="00784D53" w:rsidRPr="00834080">
        <w:t>,</w:t>
      </w:r>
      <w:r w:rsidR="00784D53" w:rsidRPr="00834080">
        <w:rPr>
          <w:b/>
        </w:rPr>
        <w:t xml:space="preserve"> повинні передбачати усунення подвійного оподаткування.</w:t>
      </w:r>
    </w:p>
    <w:p w:rsidR="00784D53" w:rsidRPr="00834080" w:rsidRDefault="00784D53" w:rsidP="004E394C">
      <w:pPr>
        <w:spacing w:after="120"/>
        <w:ind w:firstLine="720"/>
        <w:jc w:val="both"/>
      </w:pPr>
      <w:r w:rsidRPr="00834080">
        <w:lastRenderedPageBreak/>
        <w:t>Відповідно до Закону України «Про бухгалтерський облік та фінансову звітність в Україні»</w:t>
      </w:r>
      <w:r w:rsidR="00F201BF">
        <w:t>:</w:t>
      </w:r>
      <w:r w:rsidRPr="00834080">
        <w:t xml:space="preserve"> «господарська операція – це дія або подія, яка викликає зміни в структурі активів лише один раз».</w:t>
      </w:r>
    </w:p>
    <w:p w:rsidR="00784D53" w:rsidRPr="00834080" w:rsidRDefault="00784D53" w:rsidP="004E394C">
      <w:pPr>
        <w:spacing w:after="120"/>
        <w:ind w:firstLine="720"/>
        <w:jc w:val="both"/>
        <w:rPr>
          <w:b/>
          <w:color w:val="000000" w:themeColor="text1"/>
        </w:rPr>
      </w:pPr>
      <w:r w:rsidRPr="00834080">
        <w:rPr>
          <w:b/>
          <w:color w:val="000000" w:themeColor="text1"/>
        </w:rPr>
        <w:t xml:space="preserve">Таким чином, одна господарська операція повинна розглядатись як постачання товару для цілей розділу V ПКУ </w:t>
      </w:r>
      <w:r w:rsidRPr="00834080">
        <w:rPr>
          <w:b/>
          <w:color w:val="000000" w:themeColor="text1"/>
          <w:u w:val="single"/>
        </w:rPr>
        <w:t>лише один раз.</w:t>
      </w:r>
    </w:p>
    <w:p w:rsidR="00784D53" w:rsidRPr="00834080" w:rsidRDefault="00784D53" w:rsidP="004E394C">
      <w:pPr>
        <w:spacing w:after="120"/>
        <w:ind w:firstLine="720"/>
        <w:jc w:val="both"/>
        <w:rPr>
          <w:b/>
          <w:color w:val="000000" w:themeColor="text1"/>
        </w:rPr>
      </w:pPr>
      <w:r w:rsidRPr="00834080">
        <w:rPr>
          <w:color w:val="000000" w:themeColor="text1"/>
        </w:rPr>
        <w:t>Підтвердженням цього є висновки ДФС від 26.04.2016р. № 9699/6/99-99-15-0302-15, де ДФС підтвердила</w:t>
      </w:r>
      <w:r w:rsidRPr="00834080">
        <w:rPr>
          <w:b/>
          <w:color w:val="000000" w:themeColor="text1"/>
        </w:rPr>
        <w:t>, що одна господарська операція з безоплатної передачі товару за наявності декількох норм в ПКУ, що передбачають її оподаткування, підпадає під дію лише однієї норми ПКУ, зокрема ст. 188 ПКУ.</w:t>
      </w:r>
    </w:p>
    <w:p w:rsidR="00784D53" w:rsidRPr="00834080" w:rsidRDefault="00784D53" w:rsidP="004E394C">
      <w:pPr>
        <w:spacing w:after="120"/>
        <w:ind w:firstLine="720"/>
        <w:jc w:val="both"/>
        <w:rPr>
          <w:color w:val="000000" w:themeColor="text1"/>
        </w:rPr>
      </w:pPr>
      <w:r w:rsidRPr="00834080">
        <w:rPr>
          <w:color w:val="000000" w:themeColor="text1"/>
        </w:rPr>
        <w:t xml:space="preserve">Враховуючи викладене, вважаємо, що </w:t>
      </w:r>
      <w:r w:rsidRPr="00834080">
        <w:rPr>
          <w:b/>
          <w:color w:val="000000" w:themeColor="text1"/>
        </w:rPr>
        <w:t>ліквідація основних виробничих або невиробничих засобів відбулась у зв'язку з викраденням,</w:t>
      </w:r>
      <w:r w:rsidRPr="00834080">
        <w:rPr>
          <w:color w:val="000000" w:themeColor="text1"/>
        </w:rPr>
        <w:t xml:space="preserve"> що підтверджено відповідно до законодавства, </w:t>
      </w:r>
      <w:r w:rsidRPr="00834080">
        <w:rPr>
          <w:b/>
          <w:color w:val="000000" w:themeColor="text1"/>
        </w:rPr>
        <w:t>не є використанням платником податку таких ОЗ у негосподарській діяльності</w:t>
      </w:r>
      <w:r w:rsidRPr="00834080">
        <w:rPr>
          <w:color w:val="000000" w:themeColor="text1"/>
        </w:rPr>
        <w:t xml:space="preserve">. А отже ПДВ при ліквідації ОЗ у зв`язку з крадіжкою не повинно нараховуватись  згідно з </w:t>
      </w:r>
      <w:proofErr w:type="spellStart"/>
      <w:r w:rsidRPr="00834080">
        <w:rPr>
          <w:color w:val="000000" w:themeColor="text1"/>
        </w:rPr>
        <w:t>абзацем</w:t>
      </w:r>
      <w:proofErr w:type="spellEnd"/>
      <w:r w:rsidRPr="00834080">
        <w:rPr>
          <w:color w:val="000000" w:themeColor="text1"/>
        </w:rPr>
        <w:t xml:space="preserve"> другим п. 189.9 ст. 189 ПКУ, адже це є спеціальною нормою щодо таких випадків. Інші норми розділу V ПКУ не можуть застосовуватись до таких операцій.</w:t>
      </w:r>
    </w:p>
    <w:p w:rsidR="00784D53" w:rsidRPr="00834080" w:rsidRDefault="00784D53" w:rsidP="004E394C">
      <w:pPr>
        <w:spacing w:after="120"/>
        <w:ind w:firstLine="720"/>
        <w:jc w:val="both"/>
        <w:rPr>
          <w:color w:val="000000" w:themeColor="text1"/>
        </w:rPr>
      </w:pPr>
      <w:r w:rsidRPr="00834080">
        <w:rPr>
          <w:color w:val="000000" w:themeColor="text1"/>
        </w:rPr>
        <w:t xml:space="preserve">Відповідно до </w:t>
      </w:r>
      <w:proofErr w:type="spellStart"/>
      <w:r w:rsidRPr="00834080">
        <w:rPr>
          <w:color w:val="000000" w:themeColor="text1"/>
        </w:rPr>
        <w:t>пп</w:t>
      </w:r>
      <w:proofErr w:type="spellEnd"/>
      <w:r w:rsidRPr="00834080">
        <w:rPr>
          <w:color w:val="000000" w:themeColor="text1"/>
        </w:rPr>
        <w:t xml:space="preserve">. 14.1.191 ст. 14 ПКУ, п. 189.9 ст. 189 Кодексу не є постачанням товарів випадки, коли основні виробничі засоби або невиробничі засоби ліквідуються у зв'язку з їх знищенням або зруйнуванням, коли така </w:t>
      </w:r>
      <w:r w:rsidRPr="00834080">
        <w:rPr>
          <w:b/>
          <w:color w:val="000000" w:themeColor="text1"/>
        </w:rPr>
        <w:t>ліквідація здійснюється без згоди платника податку,</w:t>
      </w:r>
    </w:p>
    <w:p w:rsidR="00784D53" w:rsidRPr="00834080" w:rsidRDefault="00784D53" w:rsidP="004E394C">
      <w:pPr>
        <w:spacing w:after="120"/>
        <w:ind w:firstLine="720"/>
        <w:jc w:val="both"/>
        <w:rPr>
          <w:b/>
          <w:color w:val="000000" w:themeColor="text1"/>
        </w:rPr>
      </w:pPr>
      <w:r w:rsidRPr="00834080">
        <w:rPr>
          <w:b/>
          <w:color w:val="000000" w:themeColor="text1"/>
        </w:rPr>
        <w:t>Крадіжка ОЗ – це також вимушена ліквідація ОЗ, що здійснюється без згоди платника ПДВ.</w:t>
      </w:r>
    </w:p>
    <w:p w:rsidR="00784D53" w:rsidRPr="00834080" w:rsidRDefault="00784D53" w:rsidP="004E394C">
      <w:pPr>
        <w:spacing w:after="120"/>
        <w:ind w:firstLine="720"/>
        <w:jc w:val="both"/>
        <w:rPr>
          <w:color w:val="000000" w:themeColor="text1"/>
        </w:rPr>
      </w:pPr>
      <w:r w:rsidRPr="00834080">
        <w:rPr>
          <w:color w:val="000000" w:themeColor="text1"/>
        </w:rPr>
        <w:t xml:space="preserve">Цю позицію ДФС підтвердила в своєму листі </w:t>
      </w:r>
      <w:r w:rsidR="00834080">
        <w:rPr>
          <w:b/>
          <w:color w:val="000000" w:themeColor="text1"/>
        </w:rPr>
        <w:t>від 29.08.2011</w:t>
      </w:r>
      <w:r w:rsidRPr="00834080">
        <w:rPr>
          <w:b/>
          <w:color w:val="000000" w:themeColor="text1"/>
        </w:rPr>
        <w:t xml:space="preserve"> </w:t>
      </w:r>
      <w:r w:rsidR="00834080">
        <w:rPr>
          <w:b/>
          <w:color w:val="000000" w:themeColor="text1"/>
        </w:rPr>
        <w:t>№</w:t>
      </w:r>
      <w:r w:rsidRPr="00834080">
        <w:rPr>
          <w:b/>
          <w:color w:val="000000" w:themeColor="text1"/>
        </w:rPr>
        <w:t>15693/6/15-3415-26</w:t>
      </w:r>
      <w:r w:rsidRPr="00834080">
        <w:rPr>
          <w:color w:val="000000" w:themeColor="text1"/>
        </w:rPr>
        <w:t xml:space="preserve"> зазначила:</w:t>
      </w:r>
    </w:p>
    <w:p w:rsidR="00784D53" w:rsidRPr="00834080" w:rsidRDefault="00784D53" w:rsidP="004E394C">
      <w:pPr>
        <w:spacing w:after="120"/>
        <w:ind w:firstLine="426"/>
        <w:jc w:val="both"/>
        <w:rPr>
          <w:b/>
          <w:color w:val="000000" w:themeColor="text1"/>
        </w:rPr>
      </w:pPr>
      <w:r w:rsidRPr="00834080">
        <w:rPr>
          <w:b/>
          <w:color w:val="000000" w:themeColor="text1"/>
        </w:rPr>
        <w:t xml:space="preserve">«Таким чином, у разі вимушеної ліквідації підприємством основних засобів з оформленням вищезазначених документів </w:t>
      </w:r>
      <w:r w:rsidRPr="00834080">
        <w:rPr>
          <w:b/>
          <w:color w:val="000000" w:themeColor="text1"/>
          <w:u w:val="single"/>
        </w:rPr>
        <w:t>операція з їх списання з балансу не є об'єктом оподаткування ПДВ</w:t>
      </w:r>
      <w:r w:rsidRPr="00834080">
        <w:rPr>
          <w:b/>
          <w:color w:val="000000" w:themeColor="text1"/>
        </w:rPr>
        <w:t>».</w:t>
      </w:r>
    </w:p>
    <w:p w:rsidR="00784D53" w:rsidRPr="00834080" w:rsidRDefault="00784D53" w:rsidP="004E394C">
      <w:pPr>
        <w:pStyle w:val="ac"/>
        <w:spacing w:before="0" w:beforeAutospacing="0" w:after="120" w:afterAutospacing="0"/>
        <w:ind w:firstLine="720"/>
        <w:jc w:val="both"/>
        <w:rPr>
          <w:color w:val="000000" w:themeColor="text1"/>
          <w:sz w:val="22"/>
          <w:szCs w:val="22"/>
        </w:rPr>
      </w:pPr>
      <w:r w:rsidRPr="00834080">
        <w:rPr>
          <w:color w:val="000000" w:themeColor="text1"/>
          <w:sz w:val="22"/>
          <w:szCs w:val="22"/>
        </w:rPr>
        <w:t xml:space="preserve">Враховуючи </w:t>
      </w:r>
      <w:r w:rsidR="004E394C" w:rsidRPr="00834080">
        <w:rPr>
          <w:color w:val="000000" w:themeColor="text1"/>
          <w:sz w:val="22"/>
          <w:szCs w:val="22"/>
        </w:rPr>
        <w:t>вище</w:t>
      </w:r>
      <w:r w:rsidRPr="00834080">
        <w:rPr>
          <w:color w:val="000000" w:themeColor="text1"/>
          <w:sz w:val="22"/>
          <w:szCs w:val="22"/>
        </w:rPr>
        <w:t xml:space="preserve">наведене, керуючись ст. 52 ПКУ, просимо уточнити надану відповідь від </w:t>
      </w:r>
      <w:r w:rsidRPr="00834080">
        <w:rPr>
          <w:rFonts w:eastAsia="Calibri"/>
          <w:bCs/>
          <w:color w:val="000000" w:themeColor="text1"/>
          <w:sz w:val="22"/>
          <w:szCs w:val="22"/>
          <w:lang w:eastAsia="ru-RU"/>
        </w:rPr>
        <w:t>27.05.2016 №11679/6/99-95-42-01-15</w:t>
      </w:r>
      <w:r w:rsidRPr="00834080">
        <w:rPr>
          <w:color w:val="000000" w:themeColor="text1"/>
          <w:sz w:val="22"/>
          <w:szCs w:val="22"/>
        </w:rPr>
        <w:t>, чи правильно ми розуміємо, що:</w:t>
      </w:r>
    </w:p>
    <w:p w:rsidR="00F41E06" w:rsidRPr="00834080" w:rsidRDefault="00784D53" w:rsidP="004E394C">
      <w:pPr>
        <w:spacing w:after="120"/>
        <w:ind w:firstLine="709"/>
        <w:jc w:val="both"/>
      </w:pPr>
      <w:r w:rsidRPr="00834080">
        <w:rPr>
          <w:b/>
          <w:color w:val="000000" w:themeColor="text1"/>
        </w:rPr>
        <w:t>-виведення з експлуатації основних засобів у зв`язку з їх викраденням</w:t>
      </w:r>
      <w:r w:rsidRPr="00834080">
        <w:rPr>
          <w:color w:val="000000" w:themeColor="text1"/>
        </w:rPr>
        <w:t xml:space="preserve">, що підтверджується відповідно до законодавства, </w:t>
      </w:r>
      <w:r w:rsidRPr="00834080">
        <w:rPr>
          <w:b/>
          <w:color w:val="000000" w:themeColor="text1"/>
        </w:rPr>
        <w:t xml:space="preserve">не є використанням ОЗ в негосподарській діяльності, а тому ПДВ </w:t>
      </w:r>
      <w:r w:rsidRPr="00834080">
        <w:rPr>
          <w:color w:val="000000" w:themeColor="text1"/>
        </w:rPr>
        <w:t>зобов`язання згідно ст. 189.9 ПКУ</w:t>
      </w:r>
      <w:r w:rsidRPr="004E394C">
        <w:rPr>
          <w:color w:val="000000" w:themeColor="text1"/>
        </w:rPr>
        <w:t>,</w:t>
      </w:r>
      <w:r w:rsidRPr="00834080">
        <w:rPr>
          <w:color w:val="000000" w:themeColor="text1"/>
        </w:rPr>
        <w:t xml:space="preserve"> 198.5 ПКУ не нараховуються?</w:t>
      </w:r>
      <w:r w:rsidR="00F41E06" w:rsidRPr="00834080">
        <w:t>.</w:t>
      </w:r>
    </w:p>
    <w:p w:rsidR="00F41E06" w:rsidRPr="00834080" w:rsidRDefault="00F41E06" w:rsidP="004E394C">
      <w:pPr>
        <w:spacing w:after="120"/>
        <w:ind w:firstLine="709"/>
        <w:jc w:val="both"/>
      </w:pPr>
      <w:r w:rsidRPr="00834080">
        <w:rPr>
          <w:color w:val="000000"/>
          <w:bdr w:val="none" w:sz="0" w:space="0" w:color="auto" w:frame="1"/>
        </w:rPr>
        <w:t xml:space="preserve">Заздалегідь дякуємо за розгляд </w:t>
      </w:r>
      <w:r w:rsidR="00784D53" w:rsidRPr="00834080">
        <w:rPr>
          <w:color w:val="000000"/>
          <w:bdr w:val="none" w:sz="0" w:space="0" w:color="auto" w:frame="1"/>
        </w:rPr>
        <w:t>та надання відповіді.</w:t>
      </w:r>
    </w:p>
    <w:p w:rsidR="00E96BEC" w:rsidRPr="00834080" w:rsidRDefault="00E96BEC" w:rsidP="004E394C">
      <w:pPr>
        <w:pStyle w:val="ad"/>
        <w:spacing w:after="120"/>
        <w:ind w:left="0" w:firstLine="709"/>
        <w:contextualSpacing w:val="0"/>
        <w:jc w:val="both"/>
      </w:pPr>
      <w:r w:rsidRPr="00834080">
        <w:t>У разі виникнення додаткових запитань з приводу положень листа, просимо уповноважити відповідальну особу, яка б могла зв’язатися з нами за телефоном 490-58-00 або електронною поштою oprokhorovych@chamber.ua, контактна особа – Олександр Прохорович, менеджер Палати з питань стратегічного розвитку (оподаткування та митна політика).</w:t>
      </w:r>
    </w:p>
    <w:p w:rsidR="00167C1D" w:rsidRDefault="00167C1D">
      <w:pPr>
        <w:jc w:val="both"/>
      </w:pPr>
    </w:p>
    <w:p w:rsidR="00294906" w:rsidRPr="00834080" w:rsidRDefault="00294906">
      <w:pPr>
        <w:jc w:val="both"/>
      </w:pPr>
      <w:bookmarkStart w:id="0" w:name="_GoBack"/>
      <w:bookmarkEnd w:id="0"/>
    </w:p>
    <w:p w:rsidR="00E96BEC" w:rsidRPr="00834080" w:rsidRDefault="00E96BEC">
      <w:pPr>
        <w:jc w:val="both"/>
        <w:rPr>
          <w:b/>
        </w:rPr>
      </w:pPr>
      <w:r w:rsidRPr="00834080">
        <w:rPr>
          <w:b/>
        </w:rPr>
        <w:t>З глибокою повагою та найкращими побажаннями,</w:t>
      </w:r>
    </w:p>
    <w:p w:rsidR="00E96BEC" w:rsidRPr="00834080" w:rsidRDefault="00E96BEC">
      <w:pPr>
        <w:jc w:val="both"/>
      </w:pPr>
    </w:p>
    <w:p w:rsidR="00E96BEC" w:rsidRPr="00834080" w:rsidRDefault="00E96BEC">
      <w:pPr>
        <w:jc w:val="both"/>
        <w:rPr>
          <w:b/>
        </w:rPr>
      </w:pPr>
      <w:r w:rsidRPr="00834080">
        <w:rPr>
          <w:rStyle w:val="ab"/>
          <w:color w:val="000000"/>
        </w:rPr>
        <w:t>Президент</w:t>
      </w:r>
      <w:r w:rsidRPr="00834080">
        <w:rPr>
          <w:rStyle w:val="ab"/>
          <w:color w:val="000000"/>
        </w:rPr>
        <w:tab/>
      </w:r>
      <w:r w:rsidRPr="00834080">
        <w:rPr>
          <w:rStyle w:val="ab"/>
          <w:color w:val="000000"/>
        </w:rPr>
        <w:tab/>
      </w:r>
      <w:r w:rsidRPr="00834080">
        <w:rPr>
          <w:rStyle w:val="ab"/>
          <w:color w:val="000000"/>
        </w:rPr>
        <w:tab/>
      </w:r>
      <w:r w:rsidRPr="00834080">
        <w:rPr>
          <w:rStyle w:val="ab"/>
          <w:color w:val="000000"/>
        </w:rPr>
        <w:tab/>
      </w:r>
      <w:r w:rsidRPr="00834080">
        <w:rPr>
          <w:b/>
        </w:rPr>
        <w:tab/>
      </w:r>
      <w:r w:rsidRPr="00834080">
        <w:rPr>
          <w:b/>
        </w:rPr>
        <w:tab/>
      </w:r>
      <w:r w:rsidRPr="00834080">
        <w:rPr>
          <w:b/>
        </w:rPr>
        <w:tab/>
      </w:r>
      <w:r w:rsidRPr="00834080">
        <w:rPr>
          <w:b/>
        </w:rPr>
        <w:tab/>
      </w:r>
      <w:r w:rsidRPr="00834080">
        <w:rPr>
          <w:b/>
        </w:rPr>
        <w:tab/>
      </w:r>
      <w:r w:rsidRPr="00834080">
        <w:rPr>
          <w:b/>
        </w:rPr>
        <w:tab/>
        <w:t xml:space="preserve">      </w:t>
      </w:r>
      <w:r w:rsidR="00C80404" w:rsidRPr="00834080">
        <w:rPr>
          <w:b/>
        </w:rPr>
        <w:t xml:space="preserve">     </w:t>
      </w:r>
      <w:r w:rsidRPr="00834080">
        <w:rPr>
          <w:b/>
        </w:rPr>
        <w:t xml:space="preserve">Андрій </w:t>
      </w:r>
      <w:proofErr w:type="spellStart"/>
      <w:r w:rsidRPr="00834080">
        <w:rPr>
          <w:b/>
        </w:rPr>
        <w:t>Гундер</w:t>
      </w:r>
      <w:proofErr w:type="spellEnd"/>
      <w:r w:rsidRPr="00834080">
        <w:rPr>
          <w:b/>
        </w:rPr>
        <w:t xml:space="preserve"> </w:t>
      </w:r>
    </w:p>
    <w:sectPr w:rsidR="00E96BEC" w:rsidRPr="00834080" w:rsidSect="00A97B35">
      <w:headerReference w:type="even" r:id="rId17"/>
      <w:headerReference w:type="default" r:id="rId18"/>
      <w:footerReference w:type="default" r:id="rId19"/>
      <w:headerReference w:type="first" r:id="rId20"/>
      <w:pgSz w:w="11906" w:h="16838"/>
      <w:pgMar w:top="567" w:right="991"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06" w:rsidRDefault="00487B06" w:rsidP="00742BAD">
      <w:r>
        <w:separator/>
      </w:r>
    </w:p>
  </w:endnote>
  <w:endnote w:type="continuationSeparator" w:id="0">
    <w:p w:rsidR="00487B06" w:rsidRDefault="00487B06"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C" w:rsidRPr="00EA068F" w:rsidRDefault="00D54B7C" w:rsidP="00D54B7C">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_________________</w:t>
    </w:r>
    <w:r w:rsidRPr="00EA068F">
      <w:rPr>
        <w:rFonts w:ascii="Arial" w:hAnsi="Arial" w:cs="Arial"/>
        <w:b/>
        <w:i/>
        <w:color w:val="244061"/>
        <w:sz w:val="16"/>
        <w:szCs w:val="16"/>
      </w:rPr>
      <w:t>___________________________________________________________________________________________</w:t>
    </w:r>
  </w:p>
  <w:p w:rsidR="00D54B7C" w:rsidRPr="00FD004B" w:rsidRDefault="00D54B7C" w:rsidP="00D54B7C">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Кері Україна".</w:t>
    </w:r>
  </w:p>
  <w:p w:rsidR="00D54B7C" w:rsidRPr="00C35D47" w:rsidRDefault="00D54B7C" w:rsidP="00D54B7C">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06" w:rsidRDefault="00487B06" w:rsidP="00742BAD">
      <w:r>
        <w:separator/>
      </w:r>
    </w:p>
  </w:footnote>
  <w:footnote w:type="continuationSeparator" w:id="0">
    <w:p w:rsidR="00487B06" w:rsidRDefault="00487B06"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487B0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0" o:spid="_x0000_s2050" type="#_x0000_t136" style="position:absolute;margin-left:0;margin-top:0;width:492.5pt;height:1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487B06" w:rsidP="000F30BD">
    <w:pPr>
      <w:pStyle w:val="a3"/>
      <w:ind w:left="-567"/>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1" o:spid="_x0000_s2051" type="#_x0000_t136" style="position:absolute;left:0;text-align:left;margin-left:0;margin-top:0;width:492.5pt;height:1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F30BD">
      <w:rPr>
        <w:noProof/>
      </w:rPr>
      <w:drawing>
        <wp:inline distT="0" distB="0" distL="0" distR="0" wp14:anchorId="1C2A51A6" wp14:editId="1E8B09B3">
          <wp:extent cx="6829425" cy="704850"/>
          <wp:effectExtent l="0" t="0" r="9525"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04850"/>
                  </a:xfrm>
                  <a:prstGeom prst="rect">
                    <a:avLst/>
                  </a:prstGeom>
                  <a:noFill/>
                  <a:ln>
                    <a:noFill/>
                  </a:ln>
                </pic:spPr>
              </pic:pic>
            </a:graphicData>
          </a:graphic>
        </wp:inline>
      </w:drawing>
    </w: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487B0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49" o:spid="_x0000_s2049" type="#_x0000_t136" style="position:absolute;margin-left:0;margin-top:0;width:492.5pt;height:19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415B83"/>
    <w:multiLevelType w:val="hybridMultilevel"/>
    <w:tmpl w:val="72245B82"/>
    <w:lvl w:ilvl="0" w:tplc="A7D073A2">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3320BD"/>
    <w:multiLevelType w:val="hybridMultilevel"/>
    <w:tmpl w:val="442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8113BB"/>
    <w:multiLevelType w:val="hybridMultilevel"/>
    <w:tmpl w:val="6AF82FD4"/>
    <w:lvl w:ilvl="0" w:tplc="2146E13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A20617E"/>
    <w:multiLevelType w:val="hybridMultilevel"/>
    <w:tmpl w:val="DAD2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A734A19"/>
    <w:multiLevelType w:val="hybridMultilevel"/>
    <w:tmpl w:val="E814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B9D5256"/>
    <w:multiLevelType w:val="hybridMultilevel"/>
    <w:tmpl w:val="053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B1D4BF6"/>
    <w:multiLevelType w:val="hybridMultilevel"/>
    <w:tmpl w:val="154A2798"/>
    <w:lvl w:ilvl="0" w:tplc="04190011">
      <w:start w:val="1"/>
      <w:numFmt w:val="decimal"/>
      <w:lvlText w:val="%1)"/>
      <w:lvlJc w:val="left"/>
      <w:pPr>
        <w:ind w:left="720" w:hanging="360"/>
      </w:pPr>
      <w:rPr>
        <w:b w:val="0"/>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BDC1913"/>
    <w:multiLevelType w:val="hybridMultilevel"/>
    <w:tmpl w:val="C6263644"/>
    <w:lvl w:ilvl="0" w:tplc="873EB59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7A4A4198"/>
    <w:multiLevelType w:val="hybridMultilevel"/>
    <w:tmpl w:val="90CC55E6"/>
    <w:lvl w:ilvl="0" w:tplc="F580C5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7F37340D"/>
    <w:multiLevelType w:val="hybridMultilevel"/>
    <w:tmpl w:val="221035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0"/>
  </w:num>
  <w:num w:numId="3">
    <w:abstractNumId w:val="10"/>
  </w:num>
  <w:num w:numId="4">
    <w:abstractNumId w:val="4"/>
  </w:num>
  <w:num w:numId="5">
    <w:abstractNumId w:val="12"/>
  </w:num>
  <w:num w:numId="6">
    <w:abstractNumId w:val="7"/>
  </w:num>
  <w:num w:numId="7">
    <w:abstractNumId w:val="3"/>
  </w:num>
  <w:num w:numId="8">
    <w:abstractNumId w:val="9"/>
  </w:num>
  <w:num w:numId="9">
    <w:abstractNumId w:val="8"/>
  </w:num>
  <w:num w:numId="10">
    <w:abstractNumId w:val="14"/>
  </w:num>
  <w:num w:numId="11">
    <w:abstractNumId w:val="6"/>
  </w:num>
  <w:num w:numId="12">
    <w:abstractNumId w:val="1"/>
  </w:num>
  <w:num w:numId="13">
    <w:abstractNumId w:val="15"/>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2094A"/>
    <w:rsid w:val="000209B7"/>
    <w:rsid w:val="0004037E"/>
    <w:rsid w:val="000426AB"/>
    <w:rsid w:val="000429DF"/>
    <w:rsid w:val="00047D13"/>
    <w:rsid w:val="000563D0"/>
    <w:rsid w:val="00065140"/>
    <w:rsid w:val="00067386"/>
    <w:rsid w:val="000712AD"/>
    <w:rsid w:val="000713D1"/>
    <w:rsid w:val="00072CB3"/>
    <w:rsid w:val="000764D8"/>
    <w:rsid w:val="0008718A"/>
    <w:rsid w:val="00090086"/>
    <w:rsid w:val="000A5203"/>
    <w:rsid w:val="000B0DBE"/>
    <w:rsid w:val="000D18EA"/>
    <w:rsid w:val="000E1D29"/>
    <w:rsid w:val="000E3826"/>
    <w:rsid w:val="000E63EE"/>
    <w:rsid w:val="000F0214"/>
    <w:rsid w:val="000F30BD"/>
    <w:rsid w:val="001121F8"/>
    <w:rsid w:val="001129C6"/>
    <w:rsid w:val="001144A8"/>
    <w:rsid w:val="001368E3"/>
    <w:rsid w:val="0014059B"/>
    <w:rsid w:val="00154087"/>
    <w:rsid w:val="00165464"/>
    <w:rsid w:val="00167C1D"/>
    <w:rsid w:val="00173309"/>
    <w:rsid w:val="00176FC0"/>
    <w:rsid w:val="00182929"/>
    <w:rsid w:val="0018462B"/>
    <w:rsid w:val="0018481A"/>
    <w:rsid w:val="001949C6"/>
    <w:rsid w:val="001A49ED"/>
    <w:rsid w:val="001A7A1C"/>
    <w:rsid w:val="001B1E0E"/>
    <w:rsid w:val="001C1914"/>
    <w:rsid w:val="001C5DFB"/>
    <w:rsid w:val="001F2EDF"/>
    <w:rsid w:val="00201D61"/>
    <w:rsid w:val="00204B14"/>
    <w:rsid w:val="00206E58"/>
    <w:rsid w:val="002129E8"/>
    <w:rsid w:val="00230124"/>
    <w:rsid w:val="002424FC"/>
    <w:rsid w:val="002722B6"/>
    <w:rsid w:val="002819F1"/>
    <w:rsid w:val="00286295"/>
    <w:rsid w:val="00293BCD"/>
    <w:rsid w:val="00294906"/>
    <w:rsid w:val="002A1E61"/>
    <w:rsid w:val="002B416F"/>
    <w:rsid w:val="002B41E3"/>
    <w:rsid w:val="002B60F0"/>
    <w:rsid w:val="002D1292"/>
    <w:rsid w:val="002E1592"/>
    <w:rsid w:val="002F10D6"/>
    <w:rsid w:val="00310407"/>
    <w:rsid w:val="003119DD"/>
    <w:rsid w:val="00311B6E"/>
    <w:rsid w:val="0031780C"/>
    <w:rsid w:val="00320A56"/>
    <w:rsid w:val="00326293"/>
    <w:rsid w:val="003323AC"/>
    <w:rsid w:val="003335FB"/>
    <w:rsid w:val="00336BB2"/>
    <w:rsid w:val="00350E18"/>
    <w:rsid w:val="0036110F"/>
    <w:rsid w:val="0036249D"/>
    <w:rsid w:val="0036794C"/>
    <w:rsid w:val="00377540"/>
    <w:rsid w:val="00385169"/>
    <w:rsid w:val="00386D3A"/>
    <w:rsid w:val="003979A2"/>
    <w:rsid w:val="003A1F50"/>
    <w:rsid w:val="003B5ED9"/>
    <w:rsid w:val="003B74BB"/>
    <w:rsid w:val="003C1500"/>
    <w:rsid w:val="003D520D"/>
    <w:rsid w:val="003E256D"/>
    <w:rsid w:val="003E4E18"/>
    <w:rsid w:val="003F0939"/>
    <w:rsid w:val="003F7D10"/>
    <w:rsid w:val="00404E0F"/>
    <w:rsid w:val="00410837"/>
    <w:rsid w:val="00413B48"/>
    <w:rsid w:val="00420ED4"/>
    <w:rsid w:val="004329B3"/>
    <w:rsid w:val="00440422"/>
    <w:rsid w:val="0045328F"/>
    <w:rsid w:val="00465F45"/>
    <w:rsid w:val="00472201"/>
    <w:rsid w:val="00487357"/>
    <w:rsid w:val="00487B06"/>
    <w:rsid w:val="00497FFD"/>
    <w:rsid w:val="004A043D"/>
    <w:rsid w:val="004B4344"/>
    <w:rsid w:val="004B4D55"/>
    <w:rsid w:val="004B64F6"/>
    <w:rsid w:val="004C0963"/>
    <w:rsid w:val="004C15D3"/>
    <w:rsid w:val="004C3FCF"/>
    <w:rsid w:val="004E394C"/>
    <w:rsid w:val="004E7215"/>
    <w:rsid w:val="00531003"/>
    <w:rsid w:val="00545DBA"/>
    <w:rsid w:val="00547C35"/>
    <w:rsid w:val="00555217"/>
    <w:rsid w:val="00556F08"/>
    <w:rsid w:val="0056346F"/>
    <w:rsid w:val="00567698"/>
    <w:rsid w:val="00570FD0"/>
    <w:rsid w:val="00581BFA"/>
    <w:rsid w:val="00590E60"/>
    <w:rsid w:val="005A0673"/>
    <w:rsid w:val="005A27B1"/>
    <w:rsid w:val="005A6A22"/>
    <w:rsid w:val="005C0201"/>
    <w:rsid w:val="005D0C5B"/>
    <w:rsid w:val="005D7303"/>
    <w:rsid w:val="005E64FC"/>
    <w:rsid w:val="005F1110"/>
    <w:rsid w:val="006007A6"/>
    <w:rsid w:val="00612DEE"/>
    <w:rsid w:val="00612EE6"/>
    <w:rsid w:val="00642A4C"/>
    <w:rsid w:val="0064737E"/>
    <w:rsid w:val="00682652"/>
    <w:rsid w:val="00682C77"/>
    <w:rsid w:val="0068417E"/>
    <w:rsid w:val="006A0F1F"/>
    <w:rsid w:val="006A48BA"/>
    <w:rsid w:val="006A63D0"/>
    <w:rsid w:val="006B26A5"/>
    <w:rsid w:val="006D63E3"/>
    <w:rsid w:val="006D6942"/>
    <w:rsid w:val="00712510"/>
    <w:rsid w:val="00722997"/>
    <w:rsid w:val="00742BAD"/>
    <w:rsid w:val="0076187F"/>
    <w:rsid w:val="00765CFE"/>
    <w:rsid w:val="00784D33"/>
    <w:rsid w:val="00784D53"/>
    <w:rsid w:val="0078776B"/>
    <w:rsid w:val="007939AA"/>
    <w:rsid w:val="007A2437"/>
    <w:rsid w:val="007A465A"/>
    <w:rsid w:val="007C2209"/>
    <w:rsid w:val="007C4A88"/>
    <w:rsid w:val="007C500B"/>
    <w:rsid w:val="007C508D"/>
    <w:rsid w:val="007E6323"/>
    <w:rsid w:val="007E7B79"/>
    <w:rsid w:val="007F3122"/>
    <w:rsid w:val="007F31E2"/>
    <w:rsid w:val="007F381B"/>
    <w:rsid w:val="007F691E"/>
    <w:rsid w:val="00803852"/>
    <w:rsid w:val="00807AD4"/>
    <w:rsid w:val="008135B8"/>
    <w:rsid w:val="00822E86"/>
    <w:rsid w:val="008253F3"/>
    <w:rsid w:val="00826CC3"/>
    <w:rsid w:val="00834080"/>
    <w:rsid w:val="00837CAC"/>
    <w:rsid w:val="008406CF"/>
    <w:rsid w:val="008509D2"/>
    <w:rsid w:val="00851029"/>
    <w:rsid w:val="0085755E"/>
    <w:rsid w:val="00866DC7"/>
    <w:rsid w:val="00876D67"/>
    <w:rsid w:val="00877CFB"/>
    <w:rsid w:val="0089188B"/>
    <w:rsid w:val="0089440A"/>
    <w:rsid w:val="008A6C42"/>
    <w:rsid w:val="008B0CB1"/>
    <w:rsid w:val="008B4252"/>
    <w:rsid w:val="008C17A6"/>
    <w:rsid w:val="008C32A0"/>
    <w:rsid w:val="008C457F"/>
    <w:rsid w:val="008D7BE7"/>
    <w:rsid w:val="008E18A2"/>
    <w:rsid w:val="008F264B"/>
    <w:rsid w:val="009029FE"/>
    <w:rsid w:val="00912808"/>
    <w:rsid w:val="00913EF0"/>
    <w:rsid w:val="00920E9D"/>
    <w:rsid w:val="0093791A"/>
    <w:rsid w:val="009553F2"/>
    <w:rsid w:val="00965AA4"/>
    <w:rsid w:val="00973BDE"/>
    <w:rsid w:val="00980DE8"/>
    <w:rsid w:val="009A0B4F"/>
    <w:rsid w:val="009A3AA3"/>
    <w:rsid w:val="009A4C99"/>
    <w:rsid w:val="009D064C"/>
    <w:rsid w:val="009D1CA0"/>
    <w:rsid w:val="009D325B"/>
    <w:rsid w:val="00A01FE2"/>
    <w:rsid w:val="00A11672"/>
    <w:rsid w:val="00A12DEE"/>
    <w:rsid w:val="00A14BCE"/>
    <w:rsid w:val="00A251CA"/>
    <w:rsid w:val="00A30D0B"/>
    <w:rsid w:val="00A439A3"/>
    <w:rsid w:val="00A43A89"/>
    <w:rsid w:val="00A4627F"/>
    <w:rsid w:val="00A6453B"/>
    <w:rsid w:val="00A67A7A"/>
    <w:rsid w:val="00A70CC1"/>
    <w:rsid w:val="00A752C8"/>
    <w:rsid w:val="00A93288"/>
    <w:rsid w:val="00A97B35"/>
    <w:rsid w:val="00AA5274"/>
    <w:rsid w:val="00AA56AF"/>
    <w:rsid w:val="00AA5FEB"/>
    <w:rsid w:val="00AA754D"/>
    <w:rsid w:val="00AB2468"/>
    <w:rsid w:val="00AB64F3"/>
    <w:rsid w:val="00AC1320"/>
    <w:rsid w:val="00AC6F02"/>
    <w:rsid w:val="00AD0C4E"/>
    <w:rsid w:val="00AD4AC3"/>
    <w:rsid w:val="00AF3B32"/>
    <w:rsid w:val="00B05663"/>
    <w:rsid w:val="00B05BD1"/>
    <w:rsid w:val="00B15706"/>
    <w:rsid w:val="00B32412"/>
    <w:rsid w:val="00B33EF2"/>
    <w:rsid w:val="00B35E9D"/>
    <w:rsid w:val="00B37528"/>
    <w:rsid w:val="00B5115E"/>
    <w:rsid w:val="00B52F2E"/>
    <w:rsid w:val="00B53A2A"/>
    <w:rsid w:val="00B57472"/>
    <w:rsid w:val="00B61287"/>
    <w:rsid w:val="00B65B5F"/>
    <w:rsid w:val="00B66014"/>
    <w:rsid w:val="00B71FE4"/>
    <w:rsid w:val="00B73268"/>
    <w:rsid w:val="00B74200"/>
    <w:rsid w:val="00B8254B"/>
    <w:rsid w:val="00BA16F8"/>
    <w:rsid w:val="00BA584D"/>
    <w:rsid w:val="00BA7398"/>
    <w:rsid w:val="00BB48EA"/>
    <w:rsid w:val="00BD2FF7"/>
    <w:rsid w:val="00BD4DF2"/>
    <w:rsid w:val="00BE65BC"/>
    <w:rsid w:val="00BF4A2A"/>
    <w:rsid w:val="00C1019E"/>
    <w:rsid w:val="00C129D5"/>
    <w:rsid w:val="00C13862"/>
    <w:rsid w:val="00C13893"/>
    <w:rsid w:val="00C2608B"/>
    <w:rsid w:val="00C27046"/>
    <w:rsid w:val="00C34541"/>
    <w:rsid w:val="00C35463"/>
    <w:rsid w:val="00C35D47"/>
    <w:rsid w:val="00C40FA3"/>
    <w:rsid w:val="00C534D2"/>
    <w:rsid w:val="00C80404"/>
    <w:rsid w:val="00C879B8"/>
    <w:rsid w:val="00C976E7"/>
    <w:rsid w:val="00CA1616"/>
    <w:rsid w:val="00CA713B"/>
    <w:rsid w:val="00CB32DD"/>
    <w:rsid w:val="00CB471B"/>
    <w:rsid w:val="00CB68E2"/>
    <w:rsid w:val="00CC666B"/>
    <w:rsid w:val="00CD3AA8"/>
    <w:rsid w:val="00CD47F0"/>
    <w:rsid w:val="00CD7CB4"/>
    <w:rsid w:val="00CE51AD"/>
    <w:rsid w:val="00D001ED"/>
    <w:rsid w:val="00D040F5"/>
    <w:rsid w:val="00D0456B"/>
    <w:rsid w:val="00D049FA"/>
    <w:rsid w:val="00D22916"/>
    <w:rsid w:val="00D304C3"/>
    <w:rsid w:val="00D33472"/>
    <w:rsid w:val="00D37CEF"/>
    <w:rsid w:val="00D54B7C"/>
    <w:rsid w:val="00D631F6"/>
    <w:rsid w:val="00D67749"/>
    <w:rsid w:val="00D71F0F"/>
    <w:rsid w:val="00D801F9"/>
    <w:rsid w:val="00D865DE"/>
    <w:rsid w:val="00D942BF"/>
    <w:rsid w:val="00DB5AB3"/>
    <w:rsid w:val="00E10551"/>
    <w:rsid w:val="00E114C1"/>
    <w:rsid w:val="00E1793E"/>
    <w:rsid w:val="00E25243"/>
    <w:rsid w:val="00E3630A"/>
    <w:rsid w:val="00E441CD"/>
    <w:rsid w:val="00E54F78"/>
    <w:rsid w:val="00E616CC"/>
    <w:rsid w:val="00E83BB7"/>
    <w:rsid w:val="00E9331F"/>
    <w:rsid w:val="00E96BEC"/>
    <w:rsid w:val="00EA068F"/>
    <w:rsid w:val="00EA2D5C"/>
    <w:rsid w:val="00EB3263"/>
    <w:rsid w:val="00EB7C0A"/>
    <w:rsid w:val="00EC0D5E"/>
    <w:rsid w:val="00EC2270"/>
    <w:rsid w:val="00ED2E7E"/>
    <w:rsid w:val="00ED4439"/>
    <w:rsid w:val="00EE0ADE"/>
    <w:rsid w:val="00F0296B"/>
    <w:rsid w:val="00F02E8D"/>
    <w:rsid w:val="00F068AF"/>
    <w:rsid w:val="00F12354"/>
    <w:rsid w:val="00F201BF"/>
    <w:rsid w:val="00F255F1"/>
    <w:rsid w:val="00F35C5A"/>
    <w:rsid w:val="00F36506"/>
    <w:rsid w:val="00F36AD4"/>
    <w:rsid w:val="00F3741E"/>
    <w:rsid w:val="00F41B9D"/>
    <w:rsid w:val="00F41E06"/>
    <w:rsid w:val="00F6789E"/>
    <w:rsid w:val="00F73E5F"/>
    <w:rsid w:val="00F765C3"/>
    <w:rsid w:val="00F80688"/>
    <w:rsid w:val="00F8309D"/>
    <w:rsid w:val="00F83A88"/>
    <w:rsid w:val="00F848E5"/>
    <w:rsid w:val="00F84F00"/>
    <w:rsid w:val="00F84F30"/>
    <w:rsid w:val="00F855F2"/>
    <w:rsid w:val="00F9346C"/>
    <w:rsid w:val="00FA613B"/>
    <w:rsid w:val="00FA6945"/>
    <w:rsid w:val="00FA6E91"/>
    <w:rsid w:val="00FC2E1C"/>
    <w:rsid w:val="00FD004B"/>
    <w:rsid w:val="00FD6E6F"/>
    <w:rsid w:val="00FE2172"/>
    <w:rsid w:val="00FF3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 w:type="paragraph" w:styleId="ae">
    <w:name w:val="footnote text"/>
    <w:basedOn w:val="a"/>
    <w:link w:val="af"/>
    <w:rsid w:val="00F41E06"/>
    <w:rPr>
      <w:sz w:val="20"/>
      <w:szCs w:val="20"/>
    </w:rPr>
  </w:style>
  <w:style w:type="character" w:customStyle="1" w:styleId="af">
    <w:name w:val="Текст сноски Знак"/>
    <w:basedOn w:val="a0"/>
    <w:link w:val="ae"/>
    <w:rsid w:val="00F41E06"/>
  </w:style>
  <w:style w:type="character" w:styleId="af0">
    <w:name w:val="footnote reference"/>
    <w:rsid w:val="00F41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400251825">
      <w:bodyDiv w:val="1"/>
      <w:marLeft w:val="0"/>
      <w:marRight w:val="0"/>
      <w:marTop w:val="0"/>
      <w:marBottom w:val="0"/>
      <w:divBdr>
        <w:top w:val="none" w:sz="0" w:space="0" w:color="auto"/>
        <w:left w:val="none" w:sz="0" w:space="0" w:color="auto"/>
        <w:bottom w:val="none" w:sz="0" w:space="0" w:color="auto"/>
        <w:right w:val="none" w:sz="0" w:space="0" w:color="auto"/>
      </w:divBdr>
    </w:div>
    <w:div w:id="447508596">
      <w:bodyDiv w:val="1"/>
      <w:marLeft w:val="0"/>
      <w:marRight w:val="0"/>
      <w:marTop w:val="0"/>
      <w:marBottom w:val="0"/>
      <w:divBdr>
        <w:top w:val="none" w:sz="0" w:space="0" w:color="auto"/>
        <w:left w:val="none" w:sz="0" w:space="0" w:color="auto"/>
        <w:bottom w:val="none" w:sz="0" w:space="0" w:color="auto"/>
        <w:right w:val="none" w:sz="0" w:space="0" w:color="auto"/>
      </w:divBdr>
    </w:div>
    <w:div w:id="456459252">
      <w:bodyDiv w:val="1"/>
      <w:marLeft w:val="0"/>
      <w:marRight w:val="0"/>
      <w:marTop w:val="0"/>
      <w:marBottom w:val="0"/>
      <w:divBdr>
        <w:top w:val="none" w:sz="0" w:space="0" w:color="auto"/>
        <w:left w:val="none" w:sz="0" w:space="0" w:color="auto"/>
        <w:bottom w:val="none" w:sz="0" w:space="0" w:color="auto"/>
        <w:right w:val="none" w:sz="0" w:space="0" w:color="auto"/>
      </w:divBdr>
    </w:div>
    <w:div w:id="549613401">
      <w:bodyDiv w:val="1"/>
      <w:marLeft w:val="0"/>
      <w:marRight w:val="0"/>
      <w:marTop w:val="0"/>
      <w:marBottom w:val="0"/>
      <w:divBdr>
        <w:top w:val="none" w:sz="0" w:space="0" w:color="auto"/>
        <w:left w:val="none" w:sz="0" w:space="0" w:color="auto"/>
        <w:bottom w:val="none" w:sz="0" w:space="0" w:color="auto"/>
        <w:right w:val="none" w:sz="0" w:space="0" w:color="auto"/>
      </w:divBdr>
    </w:div>
    <w:div w:id="607081435">
      <w:bodyDiv w:val="1"/>
      <w:marLeft w:val="0"/>
      <w:marRight w:val="0"/>
      <w:marTop w:val="0"/>
      <w:marBottom w:val="0"/>
      <w:divBdr>
        <w:top w:val="none" w:sz="0" w:space="0" w:color="auto"/>
        <w:left w:val="none" w:sz="0" w:space="0" w:color="auto"/>
        <w:bottom w:val="none" w:sz="0" w:space="0" w:color="auto"/>
        <w:right w:val="none" w:sz="0" w:space="0" w:color="auto"/>
      </w:divBdr>
    </w:div>
    <w:div w:id="637606742">
      <w:bodyDiv w:val="1"/>
      <w:marLeft w:val="0"/>
      <w:marRight w:val="0"/>
      <w:marTop w:val="0"/>
      <w:marBottom w:val="0"/>
      <w:divBdr>
        <w:top w:val="none" w:sz="0" w:space="0" w:color="auto"/>
        <w:left w:val="none" w:sz="0" w:space="0" w:color="auto"/>
        <w:bottom w:val="none" w:sz="0" w:space="0" w:color="auto"/>
        <w:right w:val="none" w:sz="0" w:space="0" w:color="auto"/>
      </w:divBdr>
    </w:div>
    <w:div w:id="717633298">
      <w:bodyDiv w:val="1"/>
      <w:marLeft w:val="0"/>
      <w:marRight w:val="0"/>
      <w:marTop w:val="0"/>
      <w:marBottom w:val="0"/>
      <w:divBdr>
        <w:top w:val="none" w:sz="0" w:space="0" w:color="auto"/>
        <w:left w:val="none" w:sz="0" w:space="0" w:color="auto"/>
        <w:bottom w:val="none" w:sz="0" w:space="0" w:color="auto"/>
        <w:right w:val="none" w:sz="0" w:space="0" w:color="auto"/>
      </w:divBdr>
    </w:div>
    <w:div w:id="776101211">
      <w:bodyDiv w:val="1"/>
      <w:marLeft w:val="0"/>
      <w:marRight w:val="0"/>
      <w:marTop w:val="0"/>
      <w:marBottom w:val="0"/>
      <w:divBdr>
        <w:top w:val="none" w:sz="0" w:space="0" w:color="auto"/>
        <w:left w:val="none" w:sz="0" w:space="0" w:color="auto"/>
        <w:bottom w:val="none" w:sz="0" w:space="0" w:color="auto"/>
        <w:right w:val="none" w:sz="0" w:space="0" w:color="auto"/>
      </w:divBdr>
      <w:divsChild>
        <w:div w:id="80372407">
          <w:marLeft w:val="446"/>
          <w:marRight w:val="0"/>
          <w:marTop w:val="0"/>
          <w:marBottom w:val="0"/>
          <w:divBdr>
            <w:top w:val="none" w:sz="0" w:space="0" w:color="auto"/>
            <w:left w:val="none" w:sz="0" w:space="0" w:color="auto"/>
            <w:bottom w:val="none" w:sz="0" w:space="0" w:color="auto"/>
            <w:right w:val="none" w:sz="0" w:space="0" w:color="auto"/>
          </w:divBdr>
        </w:div>
      </w:divsChild>
    </w:div>
    <w:div w:id="816606541">
      <w:bodyDiv w:val="1"/>
      <w:marLeft w:val="0"/>
      <w:marRight w:val="0"/>
      <w:marTop w:val="0"/>
      <w:marBottom w:val="0"/>
      <w:divBdr>
        <w:top w:val="none" w:sz="0" w:space="0" w:color="auto"/>
        <w:left w:val="none" w:sz="0" w:space="0" w:color="auto"/>
        <w:bottom w:val="none" w:sz="0" w:space="0" w:color="auto"/>
        <w:right w:val="none" w:sz="0" w:space="0" w:color="auto"/>
      </w:divBdr>
    </w:div>
    <w:div w:id="905917248">
      <w:bodyDiv w:val="1"/>
      <w:marLeft w:val="0"/>
      <w:marRight w:val="0"/>
      <w:marTop w:val="0"/>
      <w:marBottom w:val="0"/>
      <w:divBdr>
        <w:top w:val="none" w:sz="0" w:space="0" w:color="auto"/>
        <w:left w:val="none" w:sz="0" w:space="0" w:color="auto"/>
        <w:bottom w:val="none" w:sz="0" w:space="0" w:color="auto"/>
        <w:right w:val="none" w:sz="0" w:space="0" w:color="auto"/>
      </w:divBdr>
    </w:div>
    <w:div w:id="949898025">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242838122">
      <w:bodyDiv w:val="1"/>
      <w:marLeft w:val="0"/>
      <w:marRight w:val="0"/>
      <w:marTop w:val="0"/>
      <w:marBottom w:val="0"/>
      <w:divBdr>
        <w:top w:val="none" w:sz="0" w:space="0" w:color="auto"/>
        <w:left w:val="none" w:sz="0" w:space="0" w:color="auto"/>
        <w:bottom w:val="none" w:sz="0" w:space="0" w:color="auto"/>
        <w:right w:val="none" w:sz="0" w:space="0" w:color="auto"/>
      </w:divBdr>
    </w:div>
    <w:div w:id="1255826033">
      <w:bodyDiv w:val="1"/>
      <w:marLeft w:val="0"/>
      <w:marRight w:val="0"/>
      <w:marTop w:val="0"/>
      <w:marBottom w:val="0"/>
      <w:divBdr>
        <w:top w:val="none" w:sz="0" w:space="0" w:color="auto"/>
        <w:left w:val="none" w:sz="0" w:space="0" w:color="auto"/>
        <w:bottom w:val="none" w:sz="0" w:space="0" w:color="auto"/>
        <w:right w:val="none" w:sz="0" w:space="0" w:color="auto"/>
      </w:divBdr>
    </w:div>
    <w:div w:id="1399329203">
      <w:bodyDiv w:val="1"/>
      <w:marLeft w:val="0"/>
      <w:marRight w:val="0"/>
      <w:marTop w:val="0"/>
      <w:marBottom w:val="0"/>
      <w:divBdr>
        <w:top w:val="none" w:sz="0" w:space="0" w:color="auto"/>
        <w:left w:val="none" w:sz="0" w:space="0" w:color="auto"/>
        <w:bottom w:val="none" w:sz="0" w:space="0" w:color="auto"/>
        <w:right w:val="none" w:sz="0" w:space="0" w:color="auto"/>
      </w:divBdr>
    </w:div>
    <w:div w:id="1971282407">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 w:id="2059206821">
      <w:bodyDiv w:val="1"/>
      <w:marLeft w:val="0"/>
      <w:marRight w:val="0"/>
      <w:marTop w:val="0"/>
      <w:marBottom w:val="0"/>
      <w:divBdr>
        <w:top w:val="none" w:sz="0" w:space="0" w:color="auto"/>
        <w:left w:val="none" w:sz="0" w:space="0" w:color="auto"/>
        <w:bottom w:val="none" w:sz="0" w:space="0" w:color="auto"/>
        <w:right w:val="none" w:sz="0" w:space="0" w:color="auto"/>
      </w:divBdr>
    </w:div>
    <w:div w:id="2142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earch.ligazakon.ua/l_doc2.nsf/link1/an_3773/ed_2015_09_17/pravo1/T102755.html?pravo=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arch.ligazakon.ua/l_doc2.nsf/link1/an_4030/ed_2015_01_17/pravo1/T102755.html?pravo=1"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arch.ligazakon.ua/l_doc2.nsf/link1/an_9393/ed_2015_01_17/pravo1/T102755.html?pravo=1"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arch.ligazakon.ua/l_doc2.nsf/link1/an_3748/ed_2015_09_17/pravo1/T102755.html?pravo=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4.xml><?xml version="1.0" encoding="utf-8"?>
<ds:datastoreItem xmlns:ds="http://schemas.openxmlformats.org/officeDocument/2006/customXml" ds:itemID="{3C55EE69-0D57-459F-BE03-1CF3FDA855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07537D6-EB27-4851-9430-B1A35B27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5368</Words>
  <Characters>3061</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14</cp:revision>
  <cp:lastPrinted>2014-11-11T14:45:00Z</cp:lastPrinted>
  <dcterms:created xsi:type="dcterms:W3CDTF">2016-06-14T07:19:00Z</dcterms:created>
  <dcterms:modified xsi:type="dcterms:W3CDTF">2016-06-14T07:30:00Z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