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Pr="005E64FC" w:rsidRDefault="00877CFB" w:rsidP="00A97B35"/>
    <w:p w:rsidR="000F30BD" w:rsidRPr="005E64FC" w:rsidRDefault="000F30BD" w:rsidP="00A97B35">
      <w:r w:rsidRPr="005E64FC">
        <w:t>№16-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0F30BD" w:rsidRPr="005E64FC" w:rsidTr="00B80CEF">
        <w:tc>
          <w:tcPr>
            <w:tcW w:w="5069" w:type="dxa"/>
            <w:shd w:val="clear" w:color="auto" w:fill="auto"/>
          </w:tcPr>
          <w:p w:rsidR="000F30BD" w:rsidRPr="005E64FC" w:rsidRDefault="00722997" w:rsidP="00EB3263">
            <w:pPr>
              <w:jc w:val="both"/>
              <w:rPr>
                <w:rFonts w:eastAsia="Calibri"/>
                <w:i/>
                <w:lang w:eastAsia="en-US"/>
              </w:rPr>
            </w:pPr>
            <w:r w:rsidRPr="005E64FC">
              <w:rPr>
                <w:rFonts w:eastAsia="Calibri"/>
                <w:lang w:eastAsia="en-US"/>
              </w:rPr>
              <w:t xml:space="preserve">      </w:t>
            </w:r>
            <w:r w:rsidR="00EB3263" w:rsidRPr="005E64FC">
              <w:rPr>
                <w:rFonts w:eastAsia="Calibri"/>
                <w:lang w:eastAsia="en-US"/>
              </w:rPr>
              <w:t>травня</w:t>
            </w:r>
            <w:r w:rsidR="00D631F6" w:rsidRPr="005E64FC">
              <w:rPr>
                <w:rFonts w:eastAsia="Calibri"/>
                <w:lang w:eastAsia="en-US"/>
              </w:rPr>
              <w:t xml:space="preserve"> </w:t>
            </w:r>
            <w:r w:rsidR="000F30BD" w:rsidRPr="005E64FC">
              <w:rPr>
                <w:rFonts w:eastAsia="Calibri"/>
                <w:lang w:eastAsia="en-US"/>
              </w:rPr>
              <w:t>2016 рок</w:t>
            </w:r>
            <w:r w:rsidR="00EB3263" w:rsidRPr="005E64FC">
              <w:rPr>
                <w:rFonts w:eastAsia="Calibri"/>
                <w:lang w:eastAsia="en-US"/>
              </w:rPr>
              <w:t>у</w:t>
            </w:r>
            <w:r w:rsidR="000F30BD" w:rsidRPr="005E64F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0F30BD" w:rsidRPr="005E64FC" w:rsidTr="00413B48">
              <w:tc>
                <w:tcPr>
                  <w:tcW w:w="236" w:type="dxa"/>
                  <w:shd w:val="clear" w:color="auto" w:fill="auto"/>
                </w:tcPr>
                <w:p w:rsidR="000F30BD" w:rsidRPr="005E64FC" w:rsidRDefault="000F30BD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F30BD" w:rsidRPr="005E64FC" w:rsidRDefault="000F30BD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0F30BD" w:rsidRPr="005E64FC" w:rsidRDefault="000F30BD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F30BD" w:rsidRPr="005E64FC" w:rsidRDefault="00D37CEF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0F30BD" w:rsidRPr="005E64FC" w:rsidRDefault="000F30BD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D37CEF" w:rsidRPr="005E64FC" w:rsidRDefault="00D37CEF" w:rsidP="00D37CEF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5E64FC">
                    <w:rPr>
                      <w:rFonts w:eastAsia="Calibri"/>
                      <w:b/>
                      <w:szCs w:val="22"/>
                    </w:rPr>
                    <w:t>Міністру фінансів України</w:t>
                  </w:r>
                </w:p>
                <w:p w:rsidR="000F30BD" w:rsidRPr="005E64FC" w:rsidRDefault="00D37CEF" w:rsidP="0006738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5E64FC">
                    <w:rPr>
                      <w:rFonts w:eastAsia="Calibri"/>
                      <w:b/>
                      <w:szCs w:val="22"/>
                    </w:rPr>
                    <w:t>О.О. Данилюку</w:t>
                  </w:r>
                </w:p>
                <w:p w:rsidR="001129C6" w:rsidRPr="005E64FC" w:rsidRDefault="001129C6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D37CEF" w:rsidRPr="005E64FC" w:rsidRDefault="00067386" w:rsidP="00D37CEF">
                  <w:pPr>
                    <w:ind w:left="824" w:hanging="824"/>
                    <w:rPr>
                      <w:rFonts w:eastAsia="Calibri"/>
                      <w:b/>
                      <w:szCs w:val="22"/>
                    </w:rPr>
                  </w:pPr>
                  <w:r w:rsidRPr="005E64FC">
                    <w:rPr>
                      <w:rFonts w:eastAsia="Calibri"/>
                      <w:szCs w:val="22"/>
                    </w:rPr>
                    <w:t>Копія:</w:t>
                  </w:r>
                  <w:r w:rsidRPr="005E64FC">
                    <w:rPr>
                      <w:rFonts w:eastAsia="Calibri"/>
                      <w:b/>
                      <w:szCs w:val="22"/>
                    </w:rPr>
                    <w:t xml:space="preserve">  </w:t>
                  </w:r>
                  <w:r w:rsidR="00413B48" w:rsidRPr="005E64FC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  <w:r w:rsidR="00D37CEF" w:rsidRPr="005E64FC">
                    <w:rPr>
                      <w:rFonts w:eastAsia="Calibri"/>
                      <w:b/>
                      <w:szCs w:val="22"/>
                    </w:rPr>
                    <w:t xml:space="preserve">Голові Державної фіскальної </w:t>
                  </w:r>
                </w:p>
                <w:p w:rsidR="00D37CEF" w:rsidRPr="005E64FC" w:rsidRDefault="00D37CEF" w:rsidP="00D37CEF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5E64FC">
                    <w:rPr>
                      <w:rFonts w:eastAsia="Calibri"/>
                      <w:b/>
                      <w:szCs w:val="22"/>
                    </w:rPr>
                    <w:t>служби України</w:t>
                  </w:r>
                </w:p>
                <w:p w:rsidR="00D37CEF" w:rsidRPr="005E64FC" w:rsidRDefault="00D37CEF" w:rsidP="00D37CEF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5E64FC">
                    <w:rPr>
                      <w:rFonts w:eastAsia="Calibri"/>
                      <w:b/>
                      <w:szCs w:val="22"/>
                    </w:rPr>
                    <w:t xml:space="preserve">Р.М. </w:t>
                  </w:r>
                  <w:proofErr w:type="spellStart"/>
                  <w:r w:rsidRPr="005E64FC">
                    <w:rPr>
                      <w:rFonts w:eastAsia="Calibri"/>
                      <w:b/>
                      <w:szCs w:val="22"/>
                    </w:rPr>
                    <w:t>Насірову</w:t>
                  </w:r>
                  <w:proofErr w:type="spellEnd"/>
                </w:p>
                <w:p w:rsidR="001129C6" w:rsidRPr="005E64FC" w:rsidRDefault="001129C6" w:rsidP="000E1D29">
                  <w:pPr>
                    <w:ind w:left="824" w:hanging="834"/>
                    <w:rPr>
                      <w:rFonts w:eastAsia="Calibri"/>
                      <w:b/>
                      <w:szCs w:val="22"/>
                    </w:rPr>
                  </w:pPr>
                </w:p>
                <w:p w:rsidR="001129C6" w:rsidRPr="005E64FC" w:rsidRDefault="001129C6" w:rsidP="00877CFB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0F30BD" w:rsidRPr="005E64FC" w:rsidRDefault="000F30BD" w:rsidP="00A97B35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CA1616" w:rsidRPr="005E64FC" w:rsidRDefault="009A3AA3" w:rsidP="009A3AA3">
      <w:pPr>
        <w:jc w:val="both"/>
        <w:rPr>
          <w:rFonts w:eastAsia="Calibri"/>
          <w:i/>
          <w:sz w:val="22"/>
          <w:lang w:eastAsia="en-US"/>
        </w:rPr>
      </w:pPr>
      <w:r w:rsidRPr="005E64FC">
        <w:rPr>
          <w:rFonts w:eastAsia="Calibri"/>
          <w:i/>
          <w:sz w:val="22"/>
          <w:lang w:eastAsia="en-US"/>
        </w:rPr>
        <w:t xml:space="preserve">Щодо </w:t>
      </w:r>
      <w:proofErr w:type="spellStart"/>
      <w:r w:rsidRPr="005E64FC">
        <w:rPr>
          <w:rFonts w:eastAsia="Calibri"/>
          <w:i/>
          <w:sz w:val="22"/>
          <w:lang w:eastAsia="en-US"/>
        </w:rPr>
        <w:t>проблених</w:t>
      </w:r>
      <w:proofErr w:type="spellEnd"/>
      <w:r w:rsidRPr="005E64FC">
        <w:rPr>
          <w:rFonts w:eastAsia="Calibri"/>
          <w:i/>
          <w:sz w:val="22"/>
          <w:lang w:eastAsia="en-US"/>
        </w:rPr>
        <w:t xml:space="preserve"> питань з</w:t>
      </w:r>
      <w:r w:rsidR="005A6A22" w:rsidRPr="005E64FC">
        <w:rPr>
          <w:rFonts w:eastAsia="Calibri"/>
          <w:i/>
          <w:sz w:val="22"/>
          <w:lang w:eastAsia="en-US"/>
        </w:rPr>
        <w:t xml:space="preserve"> відшкодування ПДВ</w:t>
      </w:r>
      <w:r w:rsidR="008B4252" w:rsidRPr="005E64FC">
        <w:rPr>
          <w:rFonts w:eastAsia="Calibri"/>
          <w:i/>
          <w:sz w:val="22"/>
          <w:lang w:eastAsia="en-US"/>
        </w:rPr>
        <w:t xml:space="preserve"> </w:t>
      </w:r>
    </w:p>
    <w:p w:rsidR="000F30BD" w:rsidRPr="005E64FC" w:rsidRDefault="000F30BD">
      <w:pPr>
        <w:jc w:val="both"/>
        <w:rPr>
          <w:rFonts w:eastAsia="Calibri"/>
          <w:i/>
          <w:sz w:val="22"/>
          <w:lang w:eastAsia="en-US"/>
        </w:rPr>
      </w:pPr>
    </w:p>
    <w:p w:rsidR="00877CFB" w:rsidRPr="005E64FC" w:rsidRDefault="00877CFB">
      <w:pPr>
        <w:jc w:val="both"/>
        <w:rPr>
          <w:rFonts w:eastAsia="Calibri"/>
          <w:i/>
          <w:sz w:val="22"/>
          <w:lang w:eastAsia="en-US"/>
        </w:rPr>
      </w:pPr>
    </w:p>
    <w:p w:rsidR="000F30BD" w:rsidRPr="005E64FC" w:rsidRDefault="0018481A" w:rsidP="00A97B35">
      <w:pPr>
        <w:jc w:val="center"/>
        <w:rPr>
          <w:b/>
        </w:rPr>
      </w:pPr>
      <w:r w:rsidRPr="005E64FC">
        <w:rPr>
          <w:b/>
        </w:rPr>
        <w:t xml:space="preserve">Шановний </w:t>
      </w:r>
      <w:r w:rsidR="00D37CEF">
        <w:rPr>
          <w:b/>
        </w:rPr>
        <w:t>Олександре Олександровичу</w:t>
      </w:r>
      <w:r w:rsidR="000F30BD" w:rsidRPr="005E64FC">
        <w:rPr>
          <w:b/>
        </w:rPr>
        <w:t>!</w:t>
      </w:r>
    </w:p>
    <w:p w:rsidR="000F30BD" w:rsidRPr="005E64FC" w:rsidRDefault="000F30BD">
      <w:pPr>
        <w:rPr>
          <w:lang w:eastAsia="en-US"/>
        </w:rPr>
      </w:pPr>
    </w:p>
    <w:p w:rsidR="00BD4DF2" w:rsidRPr="005E64FC" w:rsidRDefault="00BD4DF2">
      <w:pPr>
        <w:rPr>
          <w:lang w:eastAsia="en-US"/>
        </w:rPr>
      </w:pPr>
    </w:p>
    <w:p w:rsidR="00A67A7A" w:rsidRPr="005E64FC" w:rsidRDefault="0078776B" w:rsidP="002129E8">
      <w:pPr>
        <w:spacing w:before="120" w:after="120"/>
        <w:ind w:firstLine="709"/>
        <w:jc w:val="both"/>
        <w:rPr>
          <w:bCs/>
        </w:rPr>
      </w:pPr>
      <w:r w:rsidRPr="005E64FC">
        <w:rPr>
          <w:bCs/>
        </w:rPr>
        <w:t>Від імені Ради директорів Американської торгівельної палати в Україні</w:t>
      </w:r>
      <w:r w:rsidR="00F068AF" w:rsidRPr="005E64FC">
        <w:rPr>
          <w:bCs/>
        </w:rPr>
        <w:t xml:space="preserve"> (надалі - Палата)</w:t>
      </w:r>
      <w:r w:rsidRPr="005E64FC">
        <w:rPr>
          <w:bCs/>
        </w:rPr>
        <w:t xml:space="preserve"> та компаній-членів </w:t>
      </w:r>
      <w:r w:rsidR="00404E0F" w:rsidRPr="005E64FC">
        <w:rPr>
          <w:bCs/>
        </w:rPr>
        <w:t xml:space="preserve">Палати </w:t>
      </w:r>
      <w:r w:rsidRPr="005E64FC">
        <w:rPr>
          <w:bCs/>
        </w:rPr>
        <w:t>засвідчуємо Вам свою</w:t>
      </w:r>
      <w:r w:rsidR="00866DC7" w:rsidRPr="005E64FC">
        <w:rPr>
          <w:bCs/>
        </w:rPr>
        <w:t xml:space="preserve"> високу повагу та звертаємось</w:t>
      </w:r>
      <w:r w:rsidR="00A67A7A" w:rsidRPr="005E64FC">
        <w:rPr>
          <w:bCs/>
        </w:rPr>
        <w:t xml:space="preserve"> </w:t>
      </w:r>
      <w:r w:rsidR="00F068AF" w:rsidRPr="005E64FC">
        <w:rPr>
          <w:bCs/>
        </w:rPr>
        <w:t xml:space="preserve">з питанням </w:t>
      </w:r>
      <w:r w:rsidR="00A67A7A" w:rsidRPr="005E64FC">
        <w:rPr>
          <w:bCs/>
        </w:rPr>
        <w:t>щодо відшкодування ПДВ</w:t>
      </w:r>
      <w:r w:rsidR="00F068AF" w:rsidRPr="005E64FC">
        <w:rPr>
          <w:bCs/>
        </w:rPr>
        <w:t xml:space="preserve"> компаніям-членам Палати</w:t>
      </w:r>
      <w:r w:rsidR="00A67A7A" w:rsidRPr="005E64FC">
        <w:rPr>
          <w:bCs/>
        </w:rPr>
        <w:t>.</w:t>
      </w:r>
    </w:p>
    <w:p w:rsidR="00BD4DF2" w:rsidRPr="005E64FC" w:rsidRDefault="00BD4DF2" w:rsidP="002129E8">
      <w:pPr>
        <w:spacing w:before="120" w:after="120"/>
        <w:ind w:firstLine="709"/>
        <w:jc w:val="both"/>
        <w:rPr>
          <w:bCs/>
        </w:rPr>
      </w:pPr>
      <w:r w:rsidRPr="005E64FC">
        <w:rPr>
          <w:bCs/>
        </w:rPr>
        <w:t xml:space="preserve">Останнім часом </w:t>
      </w:r>
      <w:r w:rsidR="002129E8" w:rsidRPr="005E64FC">
        <w:rPr>
          <w:bCs/>
        </w:rPr>
        <w:t xml:space="preserve">компанії-члени </w:t>
      </w:r>
      <w:r w:rsidRPr="005E64FC">
        <w:rPr>
          <w:bCs/>
        </w:rPr>
        <w:t xml:space="preserve">почали отримувати рекомендації від </w:t>
      </w:r>
      <w:r w:rsidR="007A465A">
        <w:rPr>
          <w:bCs/>
        </w:rPr>
        <w:t>Державної фіскальної служби України (надалі - ДФС)</w:t>
      </w:r>
      <w:r w:rsidR="002129E8" w:rsidRPr="005E64FC">
        <w:rPr>
          <w:bCs/>
        </w:rPr>
        <w:t xml:space="preserve"> </w:t>
      </w:r>
      <w:r w:rsidRPr="005E64FC">
        <w:rPr>
          <w:bCs/>
        </w:rPr>
        <w:t>щодо декларування суми бюджетного ві</w:t>
      </w:r>
      <w:r w:rsidR="002129E8" w:rsidRPr="005E64FC">
        <w:rPr>
          <w:bCs/>
        </w:rPr>
        <w:t xml:space="preserve">дшкодування на рахунок платника, </w:t>
      </w:r>
      <w:r w:rsidR="008F264B">
        <w:rPr>
          <w:bCs/>
        </w:rPr>
        <w:t>які</w:t>
      </w:r>
      <w:r w:rsidRPr="005E64FC">
        <w:rPr>
          <w:bCs/>
        </w:rPr>
        <w:t xml:space="preserve"> платник податків не має права заявляти бюджетне відшкодування  на свій банківський рахунок у сумі, що перевищує суму податкового кредиту заявленого в поточній декларації.  </w:t>
      </w:r>
    </w:p>
    <w:p w:rsidR="00BD4DF2" w:rsidRPr="005E64FC" w:rsidRDefault="00BD4DF2" w:rsidP="002129E8">
      <w:pPr>
        <w:spacing w:before="120" w:after="120"/>
        <w:ind w:firstLine="709"/>
        <w:jc w:val="both"/>
        <w:rPr>
          <w:bCs/>
        </w:rPr>
      </w:pPr>
      <w:r w:rsidRPr="005E64FC">
        <w:rPr>
          <w:bCs/>
        </w:rPr>
        <w:t> Це  призводить до того, що для платників, які переходять від операцій звільнених від</w:t>
      </w:r>
      <w:r w:rsidR="002129E8" w:rsidRPr="005E64FC">
        <w:rPr>
          <w:bCs/>
        </w:rPr>
        <w:t xml:space="preserve"> ПДВ на оподатковувані операції, </w:t>
      </w:r>
      <w:r w:rsidRPr="005E64FC">
        <w:rPr>
          <w:bCs/>
        </w:rPr>
        <w:t>зокре</w:t>
      </w:r>
      <w:r w:rsidR="002129E8" w:rsidRPr="005E64FC">
        <w:rPr>
          <w:bCs/>
        </w:rPr>
        <w:t>ма це стосується зернотрейдерів,</w:t>
      </w:r>
      <w:r w:rsidRPr="005E64FC">
        <w:rPr>
          <w:bCs/>
        </w:rPr>
        <w:t xml:space="preserve"> неможливо відшкодувати ПДВ </w:t>
      </w:r>
      <w:r w:rsidR="002129E8" w:rsidRPr="005E64FC">
        <w:rPr>
          <w:bCs/>
        </w:rPr>
        <w:t>у</w:t>
      </w:r>
      <w:r w:rsidRPr="005E64FC">
        <w:rPr>
          <w:bCs/>
        </w:rPr>
        <w:t xml:space="preserve"> періоді реалізації товару, який був придбаний у 2015</w:t>
      </w:r>
      <w:r w:rsidR="002129E8" w:rsidRPr="005E64FC">
        <w:rPr>
          <w:bCs/>
        </w:rPr>
        <w:t xml:space="preserve"> </w:t>
      </w:r>
      <w:r w:rsidRPr="005E64FC">
        <w:rPr>
          <w:bCs/>
        </w:rPr>
        <w:t>р</w:t>
      </w:r>
      <w:r w:rsidR="002129E8" w:rsidRPr="005E64FC">
        <w:rPr>
          <w:bCs/>
        </w:rPr>
        <w:t>оці</w:t>
      </w:r>
      <w:r w:rsidRPr="005E64FC">
        <w:rPr>
          <w:bCs/>
        </w:rPr>
        <w:t xml:space="preserve">. </w:t>
      </w:r>
    </w:p>
    <w:p w:rsidR="00BD4DF2" w:rsidRPr="005E64FC" w:rsidRDefault="00BD4DF2" w:rsidP="002129E8">
      <w:pPr>
        <w:spacing w:before="120" w:after="120"/>
        <w:ind w:firstLine="709"/>
        <w:jc w:val="both"/>
        <w:rPr>
          <w:bCs/>
        </w:rPr>
      </w:pPr>
      <w:r w:rsidRPr="005E64FC">
        <w:rPr>
          <w:bCs/>
        </w:rPr>
        <w:t xml:space="preserve"> Тобто, корегування податкових зобов’язань задекларованих у період звільнення від ПДВ, повинні бути заявлені платником податків до бюджетного відшкодування в поточному періоді. Проблемою є те, що </w:t>
      </w:r>
      <w:r w:rsidR="00556F08" w:rsidRPr="005E64FC">
        <w:rPr>
          <w:bCs/>
        </w:rPr>
        <w:t>ДФС</w:t>
      </w:r>
      <w:r w:rsidRPr="005E64FC">
        <w:rPr>
          <w:bCs/>
        </w:rPr>
        <w:t xml:space="preserve"> погоджується проводити таке відшкодування саме цих заявлених корегувань лише у тому періоді</w:t>
      </w:r>
      <w:r w:rsidR="00556F08" w:rsidRPr="005E64FC">
        <w:rPr>
          <w:bCs/>
        </w:rPr>
        <w:t>,</w:t>
      </w:r>
      <w:r w:rsidRPr="005E64FC">
        <w:rPr>
          <w:bCs/>
        </w:rPr>
        <w:t xml:space="preserve"> коли його сума не перевищуватиме суму податкового кредиту заявлену у поточному періоді у відповідності до рядка 17 податкової декларації з ПДВ.</w:t>
      </w:r>
    </w:p>
    <w:p w:rsidR="00BD4DF2" w:rsidRPr="005E64FC" w:rsidRDefault="00BD4DF2" w:rsidP="002129E8">
      <w:pPr>
        <w:spacing w:before="120" w:after="120"/>
        <w:ind w:firstLine="709"/>
        <w:jc w:val="both"/>
        <w:rPr>
          <w:bCs/>
        </w:rPr>
      </w:pPr>
      <w:r w:rsidRPr="005E64FC">
        <w:rPr>
          <w:bCs/>
        </w:rPr>
        <w:t> Відповідно до Податко</w:t>
      </w:r>
      <w:r w:rsidR="00556F08" w:rsidRPr="005E64FC">
        <w:rPr>
          <w:bCs/>
        </w:rPr>
        <w:t>вого кодексу України (надалі - ПКУ</w:t>
      </w:r>
      <w:r w:rsidRPr="005E64FC">
        <w:rPr>
          <w:bCs/>
        </w:rPr>
        <w:t>), якщо платник відповідає критеріям п. 200.19 ПКУ та має від’ємне значення декларації згідно п. 200.4. б), то платник має право заявляти суму бюджетного відшкодування.  </w:t>
      </w:r>
    </w:p>
    <w:p w:rsidR="00BD4DF2" w:rsidRPr="005E64FC" w:rsidRDefault="00BD4DF2" w:rsidP="002129E8">
      <w:pPr>
        <w:spacing w:before="120" w:after="120"/>
        <w:ind w:firstLine="709"/>
        <w:jc w:val="both"/>
        <w:rPr>
          <w:bCs/>
        </w:rPr>
      </w:pPr>
      <w:r w:rsidRPr="005E64FC">
        <w:rPr>
          <w:bCs/>
        </w:rPr>
        <w:t> </w:t>
      </w:r>
      <w:r w:rsidR="00556F08" w:rsidRPr="005E64FC">
        <w:rPr>
          <w:b/>
          <w:bCs/>
        </w:rPr>
        <w:t>ДФС</w:t>
      </w:r>
      <w:r w:rsidRPr="005E64FC">
        <w:rPr>
          <w:b/>
          <w:bCs/>
        </w:rPr>
        <w:t xml:space="preserve"> трактує виконання пункту 200.4</w:t>
      </w:r>
      <w:r w:rsidRPr="005E64FC">
        <w:rPr>
          <w:bCs/>
        </w:rPr>
        <w:t xml:space="preserve">  (</w:t>
      </w:r>
      <w:r w:rsidRPr="005E64FC">
        <w:rPr>
          <w:bCs/>
          <w:i/>
          <w:iCs/>
        </w:rPr>
        <w:t>200.4. При від'ємному значенні суми, розрахованої згідно з пунктом 200.1 цієї статті, така сума:</w:t>
      </w:r>
    </w:p>
    <w:p w:rsidR="00BD4DF2" w:rsidRPr="005E64FC" w:rsidRDefault="00BD4DF2" w:rsidP="002129E8">
      <w:pPr>
        <w:spacing w:before="120" w:after="120"/>
        <w:ind w:firstLine="709"/>
        <w:jc w:val="both"/>
        <w:rPr>
          <w:bCs/>
        </w:rPr>
      </w:pPr>
      <w:r w:rsidRPr="005E64FC">
        <w:rPr>
          <w:bCs/>
          <w:i/>
          <w:iCs/>
        </w:rPr>
        <w:t>а) враховується у зменшення суми податкового боргу з податку, що виник за попередні звітні (податкові) періоди (у тому числі розстроченого або відстроченого відповідно до цього Кодексу) в частині, що не перевищує суму, обчислену відповідно до пункту 2001.3 статті 2001 цього Кодексу на момент отримання контролюючим органом податкової декларації, а в разі відсутності податкового боргу -</w:t>
      </w:r>
    </w:p>
    <w:p w:rsidR="00BD4DF2" w:rsidRPr="005E64FC" w:rsidRDefault="00BD4DF2" w:rsidP="002129E8">
      <w:pPr>
        <w:spacing w:before="120" w:after="120"/>
        <w:ind w:firstLine="709"/>
        <w:jc w:val="both"/>
        <w:rPr>
          <w:bCs/>
        </w:rPr>
      </w:pPr>
      <w:r w:rsidRPr="005E64FC">
        <w:rPr>
          <w:bCs/>
          <w:i/>
          <w:iCs/>
        </w:rPr>
        <w:lastRenderedPageBreak/>
        <w:t xml:space="preserve">б) або підлягає бюджетному відшкодуванню за заявою платника у сумі податку, фактично сплаченій отримувачем товарів/послуг </w:t>
      </w:r>
      <w:r w:rsidRPr="005E64FC">
        <w:rPr>
          <w:b/>
          <w:bCs/>
          <w:i/>
          <w:iCs/>
          <w:u w:val="single"/>
        </w:rPr>
        <w:t>у попередніх та звітному податкових періодах</w:t>
      </w:r>
      <w:r w:rsidRPr="005E64FC">
        <w:rPr>
          <w:bCs/>
          <w:i/>
          <w:iCs/>
        </w:rPr>
        <w:t xml:space="preserve"> постачальникам таких товарів/послуг або до Державного бюджету України, в частині, що не перевищує суму, обчислену відповідно до пункту 2001.3 статті 2001 цього Кодексу на момент отримання контролюючим органом податкової декларації на поточний рахунок платника податку та/або у рахунок сплати грошових зобов'язань або погашення податкового боргу такого платника податку з інших платежів, що сплачуються до державного бюджету,</w:t>
      </w:r>
    </w:p>
    <w:p w:rsidR="00BD4DF2" w:rsidRPr="005E64FC" w:rsidRDefault="00BD4DF2" w:rsidP="002129E8">
      <w:pPr>
        <w:spacing w:before="120" w:after="120"/>
        <w:ind w:firstLine="709"/>
        <w:jc w:val="both"/>
        <w:rPr>
          <w:bCs/>
        </w:rPr>
      </w:pPr>
      <w:r w:rsidRPr="005E64FC">
        <w:rPr>
          <w:bCs/>
          <w:i/>
          <w:iCs/>
        </w:rPr>
        <w:t>в) та/або зараховується до складу податкового кредиту наступного</w:t>
      </w:r>
      <w:r w:rsidR="00556F08" w:rsidRPr="005E64FC">
        <w:rPr>
          <w:bCs/>
          <w:i/>
          <w:iCs/>
        </w:rPr>
        <w:t xml:space="preserve"> звітного (податкового) періоду</w:t>
      </w:r>
      <w:r w:rsidRPr="005E64FC">
        <w:rPr>
          <w:bCs/>
          <w:i/>
          <w:iCs/>
        </w:rPr>
        <w:t xml:space="preserve">) </w:t>
      </w:r>
      <w:r w:rsidRPr="005E64FC">
        <w:rPr>
          <w:bCs/>
        </w:rPr>
        <w:t>наступним чином:</w:t>
      </w:r>
      <w:r w:rsidRPr="005E64FC">
        <w:rPr>
          <w:b/>
          <w:bCs/>
        </w:rPr>
        <w:t xml:space="preserve"> сума яка може бути заявлена до відшкодування на рахунок платника в банку  (рядок 20.2.1. податкової декларації з ПДВ) не може перевищувати значення рядка 17 податкової декларації з ПДВ.</w:t>
      </w:r>
    </w:p>
    <w:p w:rsidR="00BD4DF2" w:rsidRPr="005E64FC" w:rsidRDefault="00BD4DF2" w:rsidP="002129E8">
      <w:pPr>
        <w:spacing w:before="120" w:after="120"/>
        <w:ind w:firstLine="709"/>
        <w:jc w:val="both"/>
        <w:rPr>
          <w:bCs/>
        </w:rPr>
      </w:pPr>
      <w:r w:rsidRPr="005E64FC">
        <w:rPr>
          <w:bCs/>
        </w:rPr>
        <w:t xml:space="preserve"> Іншими словами, </w:t>
      </w:r>
      <w:r w:rsidR="00556F08" w:rsidRPr="005E64FC">
        <w:rPr>
          <w:bCs/>
        </w:rPr>
        <w:t>ДФС</w:t>
      </w:r>
      <w:r w:rsidRPr="005E64FC">
        <w:rPr>
          <w:bCs/>
        </w:rPr>
        <w:t xml:space="preserve"> обра</w:t>
      </w:r>
      <w:r w:rsidR="00556F08" w:rsidRPr="005E64FC">
        <w:rPr>
          <w:bCs/>
        </w:rPr>
        <w:t>но</w:t>
      </w:r>
      <w:r w:rsidRPr="005E64FC">
        <w:rPr>
          <w:bCs/>
        </w:rPr>
        <w:t xml:space="preserve"> підхід</w:t>
      </w:r>
      <w:r w:rsidR="00556F08" w:rsidRPr="005E64FC">
        <w:rPr>
          <w:bCs/>
        </w:rPr>
        <w:t>,</w:t>
      </w:r>
      <w:r w:rsidRPr="005E64FC">
        <w:rPr>
          <w:bCs/>
        </w:rPr>
        <w:t xml:space="preserve"> який фактично означає відтермінування повернення </w:t>
      </w:r>
      <w:proofErr w:type="spellStart"/>
      <w:r w:rsidRPr="005E64FC">
        <w:rPr>
          <w:bCs/>
        </w:rPr>
        <w:t>бюждетного</w:t>
      </w:r>
      <w:proofErr w:type="spellEnd"/>
      <w:r w:rsidRPr="005E64FC">
        <w:rPr>
          <w:bCs/>
        </w:rPr>
        <w:t xml:space="preserve"> відшкодування платнику, </w:t>
      </w:r>
      <w:r w:rsidR="00556F08" w:rsidRPr="005E64FC">
        <w:rPr>
          <w:bCs/>
        </w:rPr>
        <w:t>що</w:t>
      </w:r>
      <w:r w:rsidRPr="005E64FC">
        <w:rPr>
          <w:bCs/>
        </w:rPr>
        <w:t xml:space="preserve"> було заявлене ним за період звільнення операцій від ПДВ. Хочемо зауважити, що такий механізм відтермінування не передбачений положеннями ПКУ та/або іншими нормативними актами.</w:t>
      </w:r>
    </w:p>
    <w:p w:rsidR="005E64FC" w:rsidRPr="005E64FC" w:rsidRDefault="005E64FC" w:rsidP="002129E8">
      <w:pPr>
        <w:pStyle w:val="ad"/>
        <w:spacing w:before="120" w:after="120"/>
        <w:ind w:left="0" w:firstLine="709"/>
        <w:contextualSpacing w:val="0"/>
        <w:jc w:val="both"/>
      </w:pPr>
      <w:r w:rsidRPr="005E64FC">
        <w:t>У цьому зв</w:t>
      </w:r>
      <w:r w:rsidRPr="005E64FC">
        <w:rPr>
          <w:lang w:val="ru-RU"/>
        </w:rPr>
        <w:t>’</w:t>
      </w:r>
      <w:proofErr w:type="spellStart"/>
      <w:r w:rsidRPr="005E64FC">
        <w:t>язку</w:t>
      </w:r>
      <w:proofErr w:type="spellEnd"/>
      <w:r w:rsidRPr="005E64FC">
        <w:t>, просимо надати роз</w:t>
      </w:r>
      <w:r w:rsidR="003119DD" w:rsidRPr="003119DD">
        <w:rPr>
          <w:lang w:val="ru-RU"/>
        </w:rPr>
        <w:t>’</w:t>
      </w:r>
      <w:proofErr w:type="spellStart"/>
      <w:r w:rsidRPr="005E64FC">
        <w:t>яснення</w:t>
      </w:r>
      <w:proofErr w:type="spellEnd"/>
      <w:r w:rsidRPr="005E64FC">
        <w:t xml:space="preserve"> щодо вищезазначен</w:t>
      </w:r>
      <w:bookmarkStart w:id="0" w:name="_GoBack"/>
      <w:bookmarkEnd w:id="0"/>
      <w:r w:rsidRPr="005E64FC">
        <w:t xml:space="preserve">ого </w:t>
      </w:r>
      <w:proofErr w:type="spellStart"/>
      <w:r w:rsidRPr="005E64FC">
        <w:t>пиатння</w:t>
      </w:r>
      <w:proofErr w:type="spellEnd"/>
      <w:r w:rsidRPr="005E64FC">
        <w:t>.</w:t>
      </w:r>
    </w:p>
    <w:p w:rsidR="004C15D3" w:rsidRPr="005E64FC" w:rsidRDefault="004C15D3" w:rsidP="002129E8">
      <w:pPr>
        <w:pStyle w:val="ad"/>
        <w:spacing w:before="120" w:after="120"/>
        <w:ind w:left="0" w:firstLine="709"/>
        <w:contextualSpacing w:val="0"/>
        <w:jc w:val="both"/>
      </w:pPr>
      <w:r w:rsidRPr="005E64FC">
        <w:t xml:space="preserve">Заздалегідь вдячні за розгляд та </w:t>
      </w:r>
      <w:r w:rsidR="00BD4DF2" w:rsidRPr="005E64FC">
        <w:t>оперативну відповідь</w:t>
      </w:r>
      <w:r w:rsidRPr="005E64FC">
        <w:t>.</w:t>
      </w:r>
    </w:p>
    <w:p w:rsidR="00E96BEC" w:rsidRPr="005E64FC" w:rsidRDefault="00E96BEC" w:rsidP="002129E8">
      <w:pPr>
        <w:pStyle w:val="ad"/>
        <w:spacing w:before="120" w:after="120"/>
        <w:ind w:left="0" w:firstLine="709"/>
        <w:contextualSpacing w:val="0"/>
        <w:jc w:val="both"/>
      </w:pPr>
      <w:r w:rsidRPr="005E64FC">
        <w:t>У разі виникнення додаткових запитань з приводу положень листа, просимо уповноважити відповідальну особу, яка б могла зв’язатися з нами за телефоном 490-58-00 або електронною поштою oprokhorovych@chamber.ua, контактна особа – Олександр Прохорович, менеджер Палати з питань стратегічного розвитку (оподаткування та митна політика).</w:t>
      </w:r>
    </w:p>
    <w:p w:rsidR="00877CFB" w:rsidRPr="005E64FC" w:rsidRDefault="00877CFB">
      <w:pPr>
        <w:jc w:val="both"/>
      </w:pPr>
    </w:p>
    <w:p w:rsidR="00167C1D" w:rsidRPr="005E64FC" w:rsidRDefault="00167C1D">
      <w:pPr>
        <w:jc w:val="both"/>
      </w:pPr>
    </w:p>
    <w:p w:rsidR="00E96BEC" w:rsidRPr="005E64FC" w:rsidRDefault="00E96BEC">
      <w:pPr>
        <w:jc w:val="both"/>
        <w:rPr>
          <w:b/>
        </w:rPr>
      </w:pPr>
      <w:r w:rsidRPr="005E64FC">
        <w:rPr>
          <w:b/>
        </w:rPr>
        <w:t>З глибокою повагою та найкращими побажаннями,</w:t>
      </w:r>
    </w:p>
    <w:p w:rsidR="00E96BEC" w:rsidRPr="005E64FC" w:rsidRDefault="00E96BEC">
      <w:pPr>
        <w:jc w:val="both"/>
      </w:pPr>
    </w:p>
    <w:p w:rsidR="00E96BEC" w:rsidRPr="005E64FC" w:rsidRDefault="00E96BEC">
      <w:pPr>
        <w:jc w:val="both"/>
        <w:rPr>
          <w:b/>
        </w:rPr>
      </w:pPr>
      <w:r w:rsidRPr="005E64FC">
        <w:rPr>
          <w:rStyle w:val="ab"/>
          <w:color w:val="000000"/>
        </w:rPr>
        <w:t>Президент</w:t>
      </w:r>
      <w:r w:rsidRPr="005E64FC">
        <w:rPr>
          <w:rStyle w:val="ab"/>
          <w:color w:val="000000"/>
        </w:rPr>
        <w:tab/>
      </w:r>
      <w:r w:rsidRPr="005E64FC">
        <w:rPr>
          <w:rStyle w:val="ab"/>
          <w:color w:val="000000"/>
        </w:rPr>
        <w:tab/>
      </w:r>
      <w:r w:rsidRPr="005E64FC">
        <w:rPr>
          <w:rStyle w:val="ab"/>
          <w:color w:val="000000"/>
        </w:rPr>
        <w:tab/>
      </w:r>
      <w:r w:rsidRPr="005E64FC">
        <w:rPr>
          <w:rStyle w:val="ab"/>
          <w:color w:val="000000"/>
        </w:rPr>
        <w:tab/>
      </w:r>
      <w:r w:rsidRPr="005E64FC">
        <w:rPr>
          <w:b/>
        </w:rPr>
        <w:tab/>
      </w:r>
      <w:r w:rsidRPr="005E64FC">
        <w:rPr>
          <w:b/>
        </w:rPr>
        <w:tab/>
      </w:r>
      <w:r w:rsidRPr="005E64FC">
        <w:rPr>
          <w:b/>
        </w:rPr>
        <w:tab/>
      </w:r>
      <w:r w:rsidRPr="005E64FC">
        <w:rPr>
          <w:b/>
        </w:rPr>
        <w:tab/>
      </w:r>
      <w:r w:rsidRPr="005E64FC">
        <w:rPr>
          <w:b/>
        </w:rPr>
        <w:tab/>
      </w:r>
      <w:r w:rsidRPr="005E64FC">
        <w:rPr>
          <w:b/>
        </w:rPr>
        <w:tab/>
        <w:t xml:space="preserve">      </w:t>
      </w:r>
      <w:r w:rsidR="00C80404" w:rsidRPr="005E64FC">
        <w:rPr>
          <w:b/>
        </w:rPr>
        <w:t xml:space="preserve">     </w:t>
      </w:r>
      <w:r w:rsidRPr="005E64FC">
        <w:rPr>
          <w:b/>
        </w:rPr>
        <w:t xml:space="preserve">Андрій </w:t>
      </w:r>
      <w:proofErr w:type="spellStart"/>
      <w:r w:rsidRPr="005E64FC">
        <w:rPr>
          <w:b/>
        </w:rPr>
        <w:t>Гундер</w:t>
      </w:r>
      <w:proofErr w:type="spellEnd"/>
      <w:r w:rsidRPr="005E64FC">
        <w:rPr>
          <w:b/>
        </w:rPr>
        <w:t xml:space="preserve"> </w:t>
      </w:r>
    </w:p>
    <w:sectPr w:rsidR="00E96BEC" w:rsidRPr="005E64FC" w:rsidSect="00A97B3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A6" w:rsidRDefault="006007A6" w:rsidP="00742BAD">
      <w:r>
        <w:separator/>
      </w:r>
    </w:p>
  </w:endnote>
  <w:endnote w:type="continuationSeparator" w:id="0">
    <w:p w:rsidR="006007A6" w:rsidRDefault="006007A6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7C" w:rsidRPr="00EA068F" w:rsidRDefault="00D54B7C" w:rsidP="00D54B7C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D54B7C" w:rsidRPr="00FD004B" w:rsidRDefault="00D54B7C" w:rsidP="00D54B7C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D54B7C" w:rsidRPr="00C35D47" w:rsidRDefault="00D54B7C" w:rsidP="00D54B7C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A6" w:rsidRDefault="006007A6" w:rsidP="00742BAD">
      <w:r>
        <w:separator/>
      </w:r>
    </w:p>
  </w:footnote>
  <w:footnote w:type="continuationSeparator" w:id="0">
    <w:p w:rsidR="006007A6" w:rsidRDefault="006007A6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6007A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6007A6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F30BD">
      <w:rPr>
        <w:noProof/>
      </w:rPr>
      <w:drawing>
        <wp:inline distT="0" distB="0" distL="0" distR="0" wp14:anchorId="1C2A51A6" wp14:editId="1E8B09B3">
          <wp:extent cx="6829425" cy="704850"/>
          <wp:effectExtent l="0" t="0" r="9525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6007A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2094A"/>
    <w:rsid w:val="000209B7"/>
    <w:rsid w:val="0004037E"/>
    <w:rsid w:val="000426AB"/>
    <w:rsid w:val="000429DF"/>
    <w:rsid w:val="00047D13"/>
    <w:rsid w:val="000563D0"/>
    <w:rsid w:val="00065140"/>
    <w:rsid w:val="00067386"/>
    <w:rsid w:val="000712AD"/>
    <w:rsid w:val="000713D1"/>
    <w:rsid w:val="00072CB3"/>
    <w:rsid w:val="000764D8"/>
    <w:rsid w:val="0008718A"/>
    <w:rsid w:val="00090086"/>
    <w:rsid w:val="000A5203"/>
    <w:rsid w:val="000B0DBE"/>
    <w:rsid w:val="000D18EA"/>
    <w:rsid w:val="000E1D29"/>
    <w:rsid w:val="000E3826"/>
    <w:rsid w:val="000E63EE"/>
    <w:rsid w:val="000F0214"/>
    <w:rsid w:val="000F30BD"/>
    <w:rsid w:val="001121F8"/>
    <w:rsid w:val="001129C6"/>
    <w:rsid w:val="001144A8"/>
    <w:rsid w:val="001368E3"/>
    <w:rsid w:val="0014059B"/>
    <w:rsid w:val="00165464"/>
    <w:rsid w:val="00167C1D"/>
    <w:rsid w:val="00173309"/>
    <w:rsid w:val="00176FC0"/>
    <w:rsid w:val="00182929"/>
    <w:rsid w:val="0018462B"/>
    <w:rsid w:val="0018481A"/>
    <w:rsid w:val="001A49ED"/>
    <w:rsid w:val="001A7A1C"/>
    <w:rsid w:val="001B1E0E"/>
    <w:rsid w:val="001C5DFB"/>
    <w:rsid w:val="001F2EDF"/>
    <w:rsid w:val="00201D61"/>
    <w:rsid w:val="00204B14"/>
    <w:rsid w:val="00206E58"/>
    <w:rsid w:val="002129E8"/>
    <w:rsid w:val="00230124"/>
    <w:rsid w:val="002424FC"/>
    <w:rsid w:val="002722B6"/>
    <w:rsid w:val="002819F1"/>
    <w:rsid w:val="00286295"/>
    <w:rsid w:val="00293BCD"/>
    <w:rsid w:val="002A1E61"/>
    <w:rsid w:val="002B416F"/>
    <w:rsid w:val="002B41E3"/>
    <w:rsid w:val="002B60F0"/>
    <w:rsid w:val="002D1292"/>
    <w:rsid w:val="002E1592"/>
    <w:rsid w:val="002F10D6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50E18"/>
    <w:rsid w:val="0036110F"/>
    <w:rsid w:val="0036249D"/>
    <w:rsid w:val="00377540"/>
    <w:rsid w:val="00385169"/>
    <w:rsid w:val="00386D3A"/>
    <w:rsid w:val="003979A2"/>
    <w:rsid w:val="003A1F50"/>
    <w:rsid w:val="003B5ED9"/>
    <w:rsid w:val="003C1500"/>
    <w:rsid w:val="003D520D"/>
    <w:rsid w:val="003E256D"/>
    <w:rsid w:val="003E4E18"/>
    <w:rsid w:val="003F0939"/>
    <w:rsid w:val="003F7D10"/>
    <w:rsid w:val="00404E0F"/>
    <w:rsid w:val="00410837"/>
    <w:rsid w:val="00413B48"/>
    <w:rsid w:val="00420ED4"/>
    <w:rsid w:val="004329B3"/>
    <w:rsid w:val="00440422"/>
    <w:rsid w:val="0045328F"/>
    <w:rsid w:val="00465F45"/>
    <w:rsid w:val="00472201"/>
    <w:rsid w:val="00487357"/>
    <w:rsid w:val="004A043D"/>
    <w:rsid w:val="004B4344"/>
    <w:rsid w:val="004B4D55"/>
    <w:rsid w:val="004B64F6"/>
    <w:rsid w:val="004C0963"/>
    <w:rsid w:val="004C15D3"/>
    <w:rsid w:val="004C3FCF"/>
    <w:rsid w:val="00531003"/>
    <w:rsid w:val="00545DBA"/>
    <w:rsid w:val="00547C35"/>
    <w:rsid w:val="00555217"/>
    <w:rsid w:val="00556F08"/>
    <w:rsid w:val="0056346F"/>
    <w:rsid w:val="00567698"/>
    <w:rsid w:val="00570FD0"/>
    <w:rsid w:val="00581BFA"/>
    <w:rsid w:val="00590E60"/>
    <w:rsid w:val="005A27B1"/>
    <w:rsid w:val="005A6A22"/>
    <w:rsid w:val="005C0201"/>
    <w:rsid w:val="005D0C5B"/>
    <w:rsid w:val="005D7303"/>
    <w:rsid w:val="005E64FC"/>
    <w:rsid w:val="005F1110"/>
    <w:rsid w:val="006007A6"/>
    <w:rsid w:val="00612DEE"/>
    <w:rsid w:val="00612EE6"/>
    <w:rsid w:val="00642A4C"/>
    <w:rsid w:val="0064737E"/>
    <w:rsid w:val="00682652"/>
    <w:rsid w:val="00682C77"/>
    <w:rsid w:val="0068417E"/>
    <w:rsid w:val="006A0F1F"/>
    <w:rsid w:val="006A48BA"/>
    <w:rsid w:val="006A63D0"/>
    <w:rsid w:val="006D63E3"/>
    <w:rsid w:val="006D6942"/>
    <w:rsid w:val="00712510"/>
    <w:rsid w:val="00722997"/>
    <w:rsid w:val="00742BAD"/>
    <w:rsid w:val="0076187F"/>
    <w:rsid w:val="00765CFE"/>
    <w:rsid w:val="00784D33"/>
    <w:rsid w:val="0078776B"/>
    <w:rsid w:val="007939AA"/>
    <w:rsid w:val="007A2437"/>
    <w:rsid w:val="007A465A"/>
    <w:rsid w:val="007C2209"/>
    <w:rsid w:val="007C4A88"/>
    <w:rsid w:val="007C500B"/>
    <w:rsid w:val="007C508D"/>
    <w:rsid w:val="007E6323"/>
    <w:rsid w:val="007E7B79"/>
    <w:rsid w:val="007F3122"/>
    <w:rsid w:val="007F381B"/>
    <w:rsid w:val="007F691E"/>
    <w:rsid w:val="00803852"/>
    <w:rsid w:val="00807AD4"/>
    <w:rsid w:val="008135B8"/>
    <w:rsid w:val="00822E86"/>
    <w:rsid w:val="008253F3"/>
    <w:rsid w:val="00826CC3"/>
    <w:rsid w:val="00837CAC"/>
    <w:rsid w:val="008406CF"/>
    <w:rsid w:val="008509D2"/>
    <w:rsid w:val="00851029"/>
    <w:rsid w:val="0085755E"/>
    <w:rsid w:val="00866DC7"/>
    <w:rsid w:val="00876D67"/>
    <w:rsid w:val="00877CFB"/>
    <w:rsid w:val="0089440A"/>
    <w:rsid w:val="008A6C42"/>
    <w:rsid w:val="008B4252"/>
    <w:rsid w:val="008C32A0"/>
    <w:rsid w:val="008C457F"/>
    <w:rsid w:val="008D7BE7"/>
    <w:rsid w:val="008E18A2"/>
    <w:rsid w:val="008F264B"/>
    <w:rsid w:val="009029FE"/>
    <w:rsid w:val="00912808"/>
    <w:rsid w:val="00913EF0"/>
    <w:rsid w:val="00920E9D"/>
    <w:rsid w:val="0093791A"/>
    <w:rsid w:val="009553F2"/>
    <w:rsid w:val="00973BDE"/>
    <w:rsid w:val="00980DE8"/>
    <w:rsid w:val="009A0B4F"/>
    <w:rsid w:val="009A3AA3"/>
    <w:rsid w:val="009A4C99"/>
    <w:rsid w:val="009D064C"/>
    <w:rsid w:val="009D1CA0"/>
    <w:rsid w:val="009D325B"/>
    <w:rsid w:val="00A01FE2"/>
    <w:rsid w:val="00A11672"/>
    <w:rsid w:val="00A14BCE"/>
    <w:rsid w:val="00A30D0B"/>
    <w:rsid w:val="00A439A3"/>
    <w:rsid w:val="00A43A89"/>
    <w:rsid w:val="00A4627F"/>
    <w:rsid w:val="00A6453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F3B32"/>
    <w:rsid w:val="00B05663"/>
    <w:rsid w:val="00B32412"/>
    <w:rsid w:val="00B33EF2"/>
    <w:rsid w:val="00B35E9D"/>
    <w:rsid w:val="00B37528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D2FF7"/>
    <w:rsid w:val="00BD4DF2"/>
    <w:rsid w:val="00BE65B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80404"/>
    <w:rsid w:val="00C879B8"/>
    <w:rsid w:val="00C976E7"/>
    <w:rsid w:val="00CA1616"/>
    <w:rsid w:val="00CA713B"/>
    <w:rsid w:val="00CB32DD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37CEF"/>
    <w:rsid w:val="00D54B7C"/>
    <w:rsid w:val="00D631F6"/>
    <w:rsid w:val="00D67749"/>
    <w:rsid w:val="00D71F0F"/>
    <w:rsid w:val="00D801F9"/>
    <w:rsid w:val="00D865DE"/>
    <w:rsid w:val="00D942BF"/>
    <w:rsid w:val="00DB5AB3"/>
    <w:rsid w:val="00E10551"/>
    <w:rsid w:val="00E114C1"/>
    <w:rsid w:val="00E1793E"/>
    <w:rsid w:val="00E25243"/>
    <w:rsid w:val="00E3630A"/>
    <w:rsid w:val="00E441CD"/>
    <w:rsid w:val="00E54F78"/>
    <w:rsid w:val="00E616CC"/>
    <w:rsid w:val="00E83BB7"/>
    <w:rsid w:val="00E9331F"/>
    <w:rsid w:val="00E96BEC"/>
    <w:rsid w:val="00EA068F"/>
    <w:rsid w:val="00EA2D5C"/>
    <w:rsid w:val="00EB3263"/>
    <w:rsid w:val="00EC0D5E"/>
    <w:rsid w:val="00EC2270"/>
    <w:rsid w:val="00ED2E7E"/>
    <w:rsid w:val="00ED4439"/>
    <w:rsid w:val="00EE0ADE"/>
    <w:rsid w:val="00F0296B"/>
    <w:rsid w:val="00F02E8D"/>
    <w:rsid w:val="00F068AF"/>
    <w:rsid w:val="00F12354"/>
    <w:rsid w:val="00F255F1"/>
    <w:rsid w:val="00F35C5A"/>
    <w:rsid w:val="00F36506"/>
    <w:rsid w:val="00F36AD4"/>
    <w:rsid w:val="00F3741E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C68EC17-B365-49B6-970E-733C8741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13</cp:revision>
  <cp:lastPrinted>2014-11-11T14:45:00Z</cp:lastPrinted>
  <dcterms:created xsi:type="dcterms:W3CDTF">2016-05-16T12:51:00Z</dcterms:created>
  <dcterms:modified xsi:type="dcterms:W3CDTF">2016-05-16T13:01:00Z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