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4" w:rsidRDefault="000B0964" w:rsidP="000B0964">
      <w:pPr>
        <w:ind w:left="142" w:right="141"/>
      </w:pPr>
      <w:bookmarkStart w:id="0" w:name="_GoBack"/>
      <w:bookmarkEnd w:id="0"/>
    </w:p>
    <w:p w:rsidR="000B0964" w:rsidRPr="00DF0420" w:rsidRDefault="000B0964" w:rsidP="0082006C">
      <w:pPr>
        <w:tabs>
          <w:tab w:val="left" w:pos="142"/>
        </w:tabs>
        <w:ind w:right="141"/>
      </w:pPr>
      <w:r w:rsidRPr="009B7F8A">
        <w:t>№</w:t>
      </w:r>
      <w:r w:rsidRPr="00DF0420">
        <w:t>16</w:t>
      </w:r>
      <w:r w:rsidR="00DD4CE2">
        <w:t>-</w:t>
      </w:r>
    </w:p>
    <w:p w:rsidR="00DD4CE2" w:rsidRDefault="000B0964" w:rsidP="000B0964">
      <w:pPr>
        <w:ind w:left="6379" w:right="141" w:hanging="6946"/>
        <w:rPr>
          <w:b/>
        </w:rPr>
      </w:pPr>
      <w:r w:rsidRPr="009B7F8A">
        <w:t xml:space="preserve">   </w:t>
      </w:r>
      <w:r w:rsidRPr="000B0964">
        <w:rPr>
          <w:lang w:val="ru-RU"/>
        </w:rPr>
        <w:t xml:space="preserve">          </w:t>
      </w:r>
      <w:r w:rsidRPr="009B7F8A">
        <w:t xml:space="preserve"> </w:t>
      </w:r>
      <w:r w:rsidR="00DD4CE2">
        <w:t xml:space="preserve">     </w:t>
      </w:r>
      <w:r>
        <w:t xml:space="preserve">квітня </w:t>
      </w:r>
      <w:r w:rsidRPr="009B7F8A">
        <w:t xml:space="preserve"> </w:t>
      </w:r>
      <w:r>
        <w:t>2016</w:t>
      </w:r>
      <w:r w:rsidRPr="009B7F8A">
        <w:t xml:space="preserve"> року</w:t>
      </w:r>
      <w:r w:rsidRPr="009B7F8A">
        <w:rPr>
          <w:b/>
        </w:rPr>
        <w:t xml:space="preserve"> </w:t>
      </w:r>
      <w:r w:rsidRPr="00DF0420">
        <w:rPr>
          <w:b/>
        </w:rPr>
        <w:t xml:space="preserve">                                                                 </w:t>
      </w:r>
      <w:r w:rsidR="00DD4CE2">
        <w:rPr>
          <w:b/>
        </w:rPr>
        <w:t xml:space="preserve"> </w:t>
      </w:r>
    </w:p>
    <w:p w:rsidR="00DD4CE2" w:rsidRDefault="00DD4CE2" w:rsidP="000B0964">
      <w:pPr>
        <w:ind w:left="6379" w:right="141" w:hanging="6946"/>
        <w:rPr>
          <w:b/>
        </w:rPr>
      </w:pPr>
    </w:p>
    <w:p w:rsidR="00DD4CE2" w:rsidRDefault="000B0964" w:rsidP="0082006C">
      <w:pPr>
        <w:ind w:left="6379" w:right="141"/>
        <w:rPr>
          <w:b/>
        </w:rPr>
      </w:pPr>
      <w:r w:rsidRPr="00DF0420">
        <w:rPr>
          <w:b/>
        </w:rPr>
        <w:t>Голов</w:t>
      </w:r>
      <w:r>
        <w:rPr>
          <w:b/>
        </w:rPr>
        <w:t xml:space="preserve">і </w:t>
      </w:r>
      <w:r w:rsidR="00DD4CE2">
        <w:rPr>
          <w:b/>
        </w:rPr>
        <w:t>Д</w:t>
      </w:r>
      <w:r>
        <w:rPr>
          <w:b/>
        </w:rPr>
        <w:t xml:space="preserve">ержавної фіскальної </w:t>
      </w:r>
    </w:p>
    <w:p w:rsidR="000B0964" w:rsidRDefault="000B0964" w:rsidP="0082006C">
      <w:pPr>
        <w:ind w:left="6379" w:right="141"/>
        <w:rPr>
          <w:b/>
        </w:rPr>
      </w:pPr>
      <w:r>
        <w:rPr>
          <w:b/>
        </w:rPr>
        <w:t>служби України</w:t>
      </w:r>
    </w:p>
    <w:p w:rsidR="000B0964" w:rsidRPr="00156E12" w:rsidRDefault="000B0964" w:rsidP="0082006C">
      <w:pPr>
        <w:ind w:left="6379" w:right="141"/>
        <w:rPr>
          <w:b/>
        </w:rPr>
      </w:pPr>
      <w:r>
        <w:rPr>
          <w:b/>
        </w:rPr>
        <w:t xml:space="preserve">Р.М. </w:t>
      </w:r>
      <w:proofErr w:type="spellStart"/>
      <w:r>
        <w:rPr>
          <w:b/>
        </w:rPr>
        <w:t>Насірову</w:t>
      </w:r>
      <w:proofErr w:type="spellEnd"/>
      <w:r>
        <w:rPr>
          <w:b/>
        </w:rPr>
        <w:t xml:space="preserve"> </w:t>
      </w:r>
    </w:p>
    <w:p w:rsidR="000B0964" w:rsidRPr="00DF0420" w:rsidRDefault="000B0964" w:rsidP="000B0964">
      <w:pPr>
        <w:ind w:right="141"/>
        <w:rPr>
          <w:b/>
        </w:rPr>
      </w:pPr>
    </w:p>
    <w:p w:rsidR="000B0964" w:rsidRPr="00DF0420" w:rsidRDefault="000B0964" w:rsidP="000B0964">
      <w:pPr>
        <w:ind w:right="141"/>
        <w:rPr>
          <w:b/>
          <w:i/>
        </w:rPr>
      </w:pPr>
    </w:p>
    <w:p w:rsidR="000B0964" w:rsidRPr="00DF0420" w:rsidRDefault="000B0964" w:rsidP="000B0964">
      <w:pPr>
        <w:ind w:left="142" w:right="141"/>
        <w:rPr>
          <w:i/>
          <w:lang w:val="ru-RU"/>
        </w:rPr>
      </w:pPr>
      <w:proofErr w:type="spellStart"/>
      <w:r>
        <w:rPr>
          <w:i/>
          <w:lang w:val="ru-RU"/>
        </w:rPr>
        <w:t>Щ</w:t>
      </w:r>
      <w:r w:rsidRPr="00DF0420">
        <w:rPr>
          <w:i/>
          <w:lang w:val="ru-RU"/>
        </w:rPr>
        <w:t>одо</w:t>
      </w:r>
      <w:proofErr w:type="spellEnd"/>
      <w:r w:rsidRPr="00DF0420">
        <w:rPr>
          <w:i/>
          <w:lang w:val="ru-RU"/>
        </w:rPr>
        <w:t xml:space="preserve"> </w:t>
      </w:r>
      <w:proofErr w:type="spellStart"/>
      <w:r w:rsidRPr="00DF0420">
        <w:rPr>
          <w:i/>
          <w:lang w:val="ru-RU"/>
        </w:rPr>
        <w:t>незастосування</w:t>
      </w:r>
      <w:proofErr w:type="spellEnd"/>
      <w:r w:rsidRPr="00DF0420">
        <w:rPr>
          <w:i/>
          <w:lang w:val="ru-RU"/>
        </w:rPr>
        <w:t xml:space="preserve"> </w:t>
      </w:r>
      <w:proofErr w:type="spellStart"/>
      <w:r w:rsidRPr="00DF0420">
        <w:rPr>
          <w:i/>
          <w:lang w:val="ru-RU"/>
        </w:rPr>
        <w:t>податку</w:t>
      </w:r>
      <w:proofErr w:type="spellEnd"/>
      <w:r w:rsidRPr="00DF0420">
        <w:rPr>
          <w:i/>
          <w:lang w:val="ru-RU"/>
        </w:rPr>
        <w:t xml:space="preserve"> на </w:t>
      </w:r>
      <w:proofErr w:type="spellStart"/>
      <w:r w:rsidRPr="00DF0420">
        <w:rPr>
          <w:i/>
          <w:lang w:val="ru-RU"/>
        </w:rPr>
        <w:t>нерухомість</w:t>
      </w:r>
      <w:proofErr w:type="spellEnd"/>
      <w:r w:rsidRPr="00DF0420">
        <w:rPr>
          <w:i/>
          <w:lang w:val="ru-RU"/>
        </w:rPr>
        <w:t xml:space="preserve"> </w:t>
      </w:r>
    </w:p>
    <w:p w:rsidR="000B0964" w:rsidRPr="00DF0420" w:rsidRDefault="000B0964" w:rsidP="000B0964">
      <w:pPr>
        <w:ind w:left="142" w:right="142"/>
        <w:rPr>
          <w:b/>
          <w:i/>
        </w:rPr>
      </w:pPr>
      <w:r w:rsidRPr="00DF0420">
        <w:rPr>
          <w:i/>
          <w:lang w:val="ru-RU"/>
        </w:rPr>
        <w:t>д</w:t>
      </w:r>
      <w:r>
        <w:rPr>
          <w:i/>
          <w:lang w:val="ru-RU"/>
        </w:rPr>
        <w:t xml:space="preserve">о </w:t>
      </w:r>
      <w:proofErr w:type="spellStart"/>
      <w:r>
        <w:rPr>
          <w:i/>
          <w:lang w:val="ru-RU"/>
        </w:rPr>
        <w:t>зе</w:t>
      </w:r>
      <w:r w:rsidRPr="00DF0420">
        <w:rPr>
          <w:i/>
          <w:lang w:val="ru-RU"/>
        </w:rPr>
        <w:t>р</w:t>
      </w:r>
      <w:r>
        <w:rPr>
          <w:i/>
          <w:lang w:val="ru-RU"/>
        </w:rPr>
        <w:t>н</w:t>
      </w:r>
      <w:r w:rsidRPr="00DF0420">
        <w:rPr>
          <w:i/>
          <w:lang w:val="ru-RU"/>
        </w:rPr>
        <w:t>ових</w:t>
      </w:r>
      <w:proofErr w:type="spellEnd"/>
      <w:r w:rsidRPr="00DF0420">
        <w:rPr>
          <w:i/>
          <w:lang w:val="ru-RU"/>
        </w:rPr>
        <w:t xml:space="preserve"> </w:t>
      </w:r>
      <w:proofErr w:type="spellStart"/>
      <w:r w:rsidRPr="00DF0420">
        <w:rPr>
          <w:i/>
          <w:lang w:val="ru-RU"/>
        </w:rPr>
        <w:t>елеваторів</w:t>
      </w:r>
      <w:proofErr w:type="spellEnd"/>
      <w:r w:rsidRPr="00DF0420">
        <w:rPr>
          <w:i/>
          <w:lang w:val="ru-RU"/>
        </w:rPr>
        <w:t xml:space="preserve"> та </w:t>
      </w:r>
      <w:proofErr w:type="spellStart"/>
      <w:r w:rsidRPr="00DF0420">
        <w:rPr>
          <w:i/>
          <w:lang w:val="ru-RU"/>
        </w:rPr>
        <w:t>зернозберігаючих</w:t>
      </w:r>
      <w:proofErr w:type="spellEnd"/>
      <w:r w:rsidRPr="00DF0420">
        <w:rPr>
          <w:i/>
          <w:lang w:val="ru-RU"/>
        </w:rPr>
        <w:t xml:space="preserve"> </w:t>
      </w:r>
      <w:proofErr w:type="spellStart"/>
      <w:proofErr w:type="gramStart"/>
      <w:r w:rsidRPr="00DF0420">
        <w:rPr>
          <w:i/>
          <w:lang w:val="ru-RU"/>
        </w:rPr>
        <w:t>п</w:t>
      </w:r>
      <w:proofErr w:type="gramEnd"/>
      <w:r w:rsidRPr="00DF0420">
        <w:rPr>
          <w:i/>
          <w:lang w:val="ru-RU"/>
        </w:rPr>
        <w:t>ідприємств</w:t>
      </w:r>
      <w:proofErr w:type="spellEnd"/>
      <w:r w:rsidRPr="00DF0420">
        <w:rPr>
          <w:i/>
          <w:lang w:val="ru-RU"/>
        </w:rPr>
        <w:t xml:space="preserve"> </w:t>
      </w:r>
    </w:p>
    <w:p w:rsidR="000B0964" w:rsidRDefault="000B0964" w:rsidP="000B0964">
      <w:pPr>
        <w:ind w:firstLine="720"/>
        <w:jc w:val="both"/>
        <w:rPr>
          <w:lang w:val="ru-RU"/>
        </w:rPr>
      </w:pPr>
    </w:p>
    <w:p w:rsidR="00DD4CE2" w:rsidRPr="000B0964" w:rsidRDefault="00DD4CE2" w:rsidP="000B0964">
      <w:pPr>
        <w:ind w:firstLine="720"/>
        <w:jc w:val="both"/>
        <w:rPr>
          <w:lang w:val="ru-RU"/>
        </w:rPr>
      </w:pPr>
    </w:p>
    <w:p w:rsidR="000B0964" w:rsidRPr="0082006C" w:rsidRDefault="000B0964" w:rsidP="000B0964">
      <w:pPr>
        <w:ind w:firstLine="720"/>
        <w:jc w:val="center"/>
        <w:rPr>
          <w:b/>
        </w:rPr>
      </w:pPr>
      <w:r w:rsidRPr="0082006C">
        <w:rPr>
          <w:b/>
        </w:rPr>
        <w:t>Шановний Романе Михайловичу!</w:t>
      </w:r>
    </w:p>
    <w:p w:rsidR="000B0964" w:rsidRDefault="000B0964" w:rsidP="000B0964">
      <w:pPr>
        <w:ind w:firstLine="720"/>
        <w:jc w:val="center"/>
      </w:pPr>
    </w:p>
    <w:p w:rsidR="00DD4CE2" w:rsidRPr="00B2796C" w:rsidRDefault="00DD4CE2" w:rsidP="000B0964">
      <w:pPr>
        <w:ind w:firstLine="720"/>
        <w:jc w:val="center"/>
      </w:pPr>
    </w:p>
    <w:p w:rsidR="000B0964" w:rsidRDefault="000B0964">
      <w:pPr>
        <w:ind w:left="142" w:firstLine="709"/>
        <w:jc w:val="both"/>
      </w:pPr>
      <w:r w:rsidRPr="009B7F8A">
        <w:t xml:space="preserve">Від імені Ради директорів Американської торгівельної палати в Україні (надалі – "Палата") та компаній-членів Палати засвідчуємо Вам свою глибоку повагу та звертаємося з </w:t>
      </w:r>
      <w:r>
        <w:t xml:space="preserve"> приводу змін у податковому законодавстві, що, за прогнозами компаній-членів можуть мати значний негативний вплив на діяльність елеваторів та </w:t>
      </w:r>
      <w:proofErr w:type="spellStart"/>
      <w:r>
        <w:t>зернозберігаючих</w:t>
      </w:r>
      <w:proofErr w:type="spellEnd"/>
      <w:r>
        <w:t xml:space="preserve"> підприємств.</w:t>
      </w:r>
    </w:p>
    <w:p w:rsidR="000B0964" w:rsidRDefault="000B0964" w:rsidP="0082006C">
      <w:pPr>
        <w:ind w:left="142" w:firstLine="709"/>
        <w:jc w:val="both"/>
      </w:pPr>
    </w:p>
    <w:p w:rsidR="000B0964" w:rsidRDefault="000B0964" w:rsidP="0082006C">
      <w:pPr>
        <w:ind w:left="142" w:firstLine="709"/>
        <w:jc w:val="both"/>
      </w:pPr>
      <w:r>
        <w:t xml:space="preserve">Потрібно зазначити, що основним видом господарської діяльності елеваторів, як й інших подібних їм підприємств, є надання послуг зі зберігання зернових та олійних культур. Елеваторам належать складські приміщення, які використовуються для ведення основної  діяльність -  надання послуг складського зберігання. </w:t>
      </w:r>
    </w:p>
    <w:p w:rsidR="000B0964" w:rsidRDefault="000B0964" w:rsidP="0082006C">
      <w:pPr>
        <w:ind w:left="142" w:firstLine="709"/>
        <w:jc w:val="both"/>
        <w:rPr>
          <w:b/>
          <w:u w:val="single"/>
        </w:rPr>
      </w:pPr>
    </w:p>
    <w:p w:rsidR="000B0964" w:rsidRDefault="000B0964" w:rsidP="0082006C">
      <w:pPr>
        <w:ind w:left="142" w:firstLine="709"/>
        <w:jc w:val="both"/>
      </w:pPr>
      <w:r>
        <w:t xml:space="preserve">Згідно </w:t>
      </w:r>
      <w:proofErr w:type="spellStart"/>
      <w:r>
        <w:t>пп</w:t>
      </w:r>
      <w:proofErr w:type="spellEnd"/>
      <w:r>
        <w:t>. 266.1.1. п. 266.1. ст. 266 Податкового кодексу України від 02.12.2010 року №2755-VI (надалі – ПКУ) платниками податку на нерухоме майно, відмінне від земельної ділянки  є фізичні та</w:t>
      </w:r>
      <w:r>
        <w:rPr>
          <w:rStyle w:val="apple-converted-space"/>
        </w:rPr>
        <w:t> </w:t>
      </w:r>
      <w:r>
        <w:rPr>
          <w:u w:val="single"/>
        </w:rPr>
        <w:t>юридичні особи</w:t>
      </w:r>
      <w:r>
        <w:t>, в тому числі нерезиденти, які</w:t>
      </w:r>
      <w:r>
        <w:rPr>
          <w:rStyle w:val="apple-converted-space"/>
        </w:rPr>
        <w:t> </w:t>
      </w:r>
      <w:r>
        <w:rPr>
          <w:b/>
          <w:bCs/>
        </w:rPr>
        <w:t>є власниками</w:t>
      </w:r>
      <w:r>
        <w:rPr>
          <w:rStyle w:val="apple-converted-space"/>
        </w:rPr>
        <w:t> </w:t>
      </w:r>
      <w:r>
        <w:t>об'єктів</w:t>
      </w:r>
      <w:r>
        <w:rPr>
          <w:rStyle w:val="apple-converted-space"/>
        </w:rPr>
        <w:t> </w:t>
      </w:r>
      <w:r>
        <w:rPr>
          <w:b/>
          <w:bCs/>
          <w:u w:val="single"/>
        </w:rPr>
        <w:t>житлової та/або нежитлової нерухомості.</w:t>
      </w:r>
      <w:r>
        <w:t xml:space="preserve"> </w:t>
      </w:r>
      <w:r w:rsidR="00B674A8" w:rsidRPr="0082006C">
        <w:t xml:space="preserve"> </w:t>
      </w:r>
      <w:r>
        <w:t>Базою оподаткування</w:t>
      </w:r>
      <w:r>
        <w:rPr>
          <w:rStyle w:val="apple-converted-space"/>
        </w:rPr>
        <w:t> </w:t>
      </w:r>
      <w:r>
        <w:rPr>
          <w:b/>
          <w:bCs/>
        </w:rPr>
        <w:t>є загальна площа об'єкта житлової та нежитлової нерухомості</w:t>
      </w:r>
      <w:r>
        <w:t>, в тому числі його часток (</w:t>
      </w:r>
      <w:proofErr w:type="spellStart"/>
      <w:r>
        <w:t>пп</w:t>
      </w:r>
      <w:proofErr w:type="spellEnd"/>
      <w:r>
        <w:t xml:space="preserve">. 266.3.1. п. 266.3. ст. 266 ПКУ). Відповідно до </w:t>
      </w:r>
      <w:proofErr w:type="spellStart"/>
      <w:r>
        <w:t>пп</w:t>
      </w:r>
      <w:proofErr w:type="spellEnd"/>
      <w:r>
        <w:t>. 266.2.2 п. 266.2 ст. 266 ПКУ</w:t>
      </w:r>
      <w:r>
        <w:rPr>
          <w:rStyle w:val="apple-converted-space"/>
        </w:rPr>
        <w:t> </w:t>
      </w:r>
      <w:r>
        <w:rPr>
          <w:b/>
          <w:bCs/>
          <w:u w:val="single"/>
        </w:rPr>
        <w:t>не є об'єктом оподаткування податком на нерухоме майно, відмінне від земельної ділянки, зокрема</w:t>
      </w:r>
      <w:r>
        <w:t>:</w:t>
      </w:r>
    </w:p>
    <w:p w:rsidR="000B0964" w:rsidRDefault="000B0964" w:rsidP="0082006C">
      <w:pPr>
        <w:tabs>
          <w:tab w:val="left" w:pos="142"/>
        </w:tabs>
        <w:ind w:left="142" w:firstLine="709"/>
        <w:jc w:val="both"/>
      </w:pPr>
      <w:r>
        <w:t>«…є)</w:t>
      </w:r>
      <w:r>
        <w:rPr>
          <w:rStyle w:val="apple-converted-space"/>
        </w:rPr>
        <w:t> </w:t>
      </w:r>
      <w:r>
        <w:rPr>
          <w:b/>
          <w:bCs/>
          <w:u w:val="single"/>
        </w:rPr>
        <w:t>будівлі промисловості, зокрема виробничі корпуси, цехи, складські приміщення промислових підприємств</w:t>
      </w:r>
      <w:r>
        <w:t>…</w:t>
      </w:r>
    </w:p>
    <w:p w:rsidR="000B0964" w:rsidRDefault="000B0964" w:rsidP="0082006C">
      <w:pPr>
        <w:ind w:left="142" w:firstLine="709"/>
        <w:jc w:val="both"/>
        <w:rPr>
          <w:b/>
          <w:u w:val="single"/>
        </w:rPr>
      </w:pPr>
      <w:r>
        <w:t xml:space="preserve">ж) </w:t>
      </w:r>
      <w:r>
        <w:rPr>
          <w:b/>
          <w:u w:val="single"/>
        </w:rPr>
        <w:t>будівлі, споруди сільськогосподарських товаровиробників, призначені для використання безпосередньо у сільськогосподарській діяльності…».</w:t>
      </w:r>
    </w:p>
    <w:p w:rsidR="000B0964" w:rsidRDefault="000B0964" w:rsidP="0082006C">
      <w:pPr>
        <w:ind w:left="142" w:firstLine="709"/>
        <w:jc w:val="both"/>
        <w:rPr>
          <w:b/>
          <w:u w:val="single"/>
        </w:rPr>
      </w:pPr>
    </w:p>
    <w:p w:rsidR="002C695A" w:rsidRPr="00F5440D" w:rsidRDefault="002C695A" w:rsidP="0082006C">
      <w:pPr>
        <w:ind w:left="142" w:firstLine="709"/>
        <w:jc w:val="both"/>
        <w:rPr>
          <w:color w:val="000000"/>
        </w:rPr>
      </w:pPr>
      <w:r>
        <w:rPr>
          <w:color w:val="000000"/>
        </w:rPr>
        <w:tab/>
      </w:r>
      <w:r w:rsidRPr="00F5440D">
        <w:rPr>
          <w:color w:val="000000"/>
        </w:rPr>
        <w:t xml:space="preserve">Згідно </w:t>
      </w:r>
      <w:r w:rsidRPr="00F5440D">
        <w:t>роз’яснень «Застосування норм Податкового кодексу України» ДПІ у Деснянському районі ГУ ДФС у м. Києві вказано, що з метою застосування норм підпункту 266.2.2 пункту 266.2 статті 266 Кодексу до будівель, споруд сільськогосподарських товаровиробників, призначених для використання безпосередньо у сільськогосподарській діяльності відносяться об’єкти нерухомості, які відповідно до ДК 018-2000 належать до класу 1271 «Будівлі сільськогосподарського призначення, лісівництва та рибного господарства» (підкласи 1271.1-1271.9) (</w:t>
      </w:r>
      <w:hyperlink r:id="rId13" w:history="1">
        <w:r w:rsidRPr="00F5440D">
          <w:rPr>
            <w:rStyle w:val="a9"/>
          </w:rPr>
          <w:t>http://kyiv.sfs.gov.ua/media-ark/local-news/224161.html</w:t>
        </w:r>
      </w:hyperlink>
      <w:r w:rsidRPr="00F5440D">
        <w:t>).</w:t>
      </w:r>
    </w:p>
    <w:p w:rsidR="00C51F42" w:rsidRDefault="002C695A" w:rsidP="0082006C">
      <w:pPr>
        <w:ind w:left="142" w:firstLine="709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Основними будівлями зернових складів є </w:t>
      </w:r>
      <w:r w:rsidRPr="00BC3857">
        <w:rPr>
          <w:color w:val="000000"/>
        </w:rPr>
        <w:t>зе</w:t>
      </w:r>
      <w:r>
        <w:rPr>
          <w:color w:val="000000"/>
        </w:rPr>
        <w:t>р</w:t>
      </w:r>
      <w:r w:rsidRPr="00BC3857">
        <w:rPr>
          <w:color w:val="000000"/>
        </w:rPr>
        <w:t>носховища</w:t>
      </w:r>
      <w:r>
        <w:rPr>
          <w:color w:val="000000"/>
        </w:rPr>
        <w:t xml:space="preserve"> - "с</w:t>
      </w:r>
      <w:r w:rsidRPr="00BC3857">
        <w:rPr>
          <w:color w:val="000000"/>
        </w:rPr>
        <w:t>пеціально</w:t>
      </w:r>
      <w:r>
        <w:rPr>
          <w:color w:val="000000"/>
        </w:rPr>
        <w:t xml:space="preserve"> обладнане місце для </w:t>
      </w:r>
      <w:r w:rsidRPr="00EF4171">
        <w:rPr>
          <w:color w:val="000000"/>
        </w:rPr>
        <w:t>зберігання з</w:t>
      </w:r>
      <w:r>
        <w:rPr>
          <w:color w:val="000000"/>
        </w:rPr>
        <w:t xml:space="preserve">ерна (приміщення, будівля тощо)" (визначення термінів згідно статті 1 розділу 1 Закону України про зерно та ринок зерна в Україні), </w:t>
      </w:r>
      <w:r w:rsidRPr="00F5440D">
        <w:rPr>
          <w:color w:val="000000"/>
        </w:rPr>
        <w:t xml:space="preserve">які </w:t>
      </w:r>
      <w:r w:rsidRPr="00F5440D">
        <w:t>відповідно до ДК 018-2000 належать до класу 1271 «Будівлі сільськогосподарського призначення, лісівництва та рибного господарства»</w:t>
      </w:r>
      <w:r>
        <w:t xml:space="preserve"> і використовуються безпосередньо у сільськогосподарській діяльності.</w:t>
      </w:r>
      <w:r w:rsidRPr="00F5440D">
        <w:rPr>
          <w:color w:val="000000"/>
        </w:rPr>
        <w:t xml:space="preserve">   </w:t>
      </w:r>
    </w:p>
    <w:p w:rsidR="00C51F42" w:rsidRDefault="00C51F42" w:rsidP="0082006C">
      <w:pPr>
        <w:ind w:left="142" w:firstLine="709"/>
        <w:jc w:val="both"/>
      </w:pPr>
    </w:p>
    <w:p w:rsidR="00C51F42" w:rsidRDefault="002C695A" w:rsidP="0082006C">
      <w:pPr>
        <w:ind w:left="142" w:firstLine="709"/>
        <w:jc w:val="both"/>
      </w:pPr>
      <w:r>
        <w:t xml:space="preserve">Елеватор – це суб’єкт зберігання зерна, який надає послуги із зберігання  зерна - комплекс  заходів,  що   включають приймання, </w:t>
      </w:r>
      <w:r>
        <w:rPr>
          <w:u w:val="single"/>
        </w:rPr>
        <w:t>доробку</w:t>
      </w:r>
      <w:r>
        <w:t>, зберігання та відвантаження зерна (Закон України про ринок зерна, ст.1, 7).</w:t>
      </w:r>
    </w:p>
    <w:p w:rsidR="00C51F42" w:rsidRDefault="002C695A" w:rsidP="0082006C">
      <w:pPr>
        <w:spacing w:before="100" w:beforeAutospacing="1"/>
        <w:ind w:left="142" w:firstLine="709"/>
        <w:jc w:val="both"/>
      </w:pPr>
      <w:r>
        <w:t xml:space="preserve">Для доведення зерна до заданих кондицій елеватор містить: робочу вежу, в якій розташовані машини для попередньої, первинної і, при необхідності, вторинної очищення зерна, система аспірації та пиловловлювання для очищення від легких домішок  (пост. КМУ); сушильне відділення, що маж ємності для накопичення вологого і сухого матеріалів, а також необхідну кількість сушарок різного виконання з пальниками під потрібний вид палива і </w:t>
      </w:r>
      <w:proofErr w:type="spellStart"/>
      <w:r>
        <w:t>т.д</w:t>
      </w:r>
      <w:proofErr w:type="spellEnd"/>
      <w:r>
        <w:t xml:space="preserve">.; тепломережі, збудовані за індивідуальним проектом, та ін. системи (Наказ </w:t>
      </w:r>
      <w:proofErr w:type="spellStart"/>
      <w:r>
        <w:t>Мінагропроду</w:t>
      </w:r>
      <w:proofErr w:type="spellEnd"/>
      <w:r>
        <w:t xml:space="preserve"> України від 11.02.2013  № 83). До основних будівель і споруд відносяться робочі будівлі елеваторів, корпуси для зберігання зерна, сировини і готової продукції з транспортерними галереями, включаючи окремо розташовані </w:t>
      </w:r>
      <w:proofErr w:type="spellStart"/>
      <w:r>
        <w:t>силоси</w:t>
      </w:r>
      <w:proofErr w:type="spellEnd"/>
      <w:r>
        <w:t xml:space="preserve"> і силосні корпуси (ДБН В.2.2-8-98 «Підприємства, будівлі і споруди по зберіганню і переробці зерна»).</w:t>
      </w:r>
    </w:p>
    <w:p w:rsidR="00C51F42" w:rsidRDefault="002C695A" w:rsidP="0082006C">
      <w:pPr>
        <w:spacing w:before="100" w:beforeAutospacing="1"/>
        <w:ind w:left="142" w:firstLine="709"/>
        <w:jc w:val="both"/>
      </w:pPr>
      <w:r>
        <w:t xml:space="preserve">Зерно з приймальних бункерів піднімають на верх робочої будівлі, зважують, </w:t>
      </w:r>
      <w:r>
        <w:rPr>
          <w:u w:val="single"/>
        </w:rPr>
        <w:t>очищають від домішок, сушать в зерносушарках</w:t>
      </w:r>
      <w:r>
        <w:t xml:space="preserve"> і скидають його в </w:t>
      </w:r>
      <w:proofErr w:type="spellStart"/>
      <w:r>
        <w:t>силоси</w:t>
      </w:r>
      <w:proofErr w:type="spellEnd"/>
      <w:r>
        <w:t xml:space="preserve"> (частина </w:t>
      </w:r>
      <w:proofErr w:type="spellStart"/>
      <w:r>
        <w:t>силосів</w:t>
      </w:r>
      <w:proofErr w:type="spellEnd"/>
      <w:r>
        <w:t xml:space="preserve"> обладнана установками для дезінфекції зерна, активного вентилювання, системами вимірювання температури зерна тощо) – тобто, це виробничий процес за усталеною технологією з доведення сільськогосподарської продукції до кондицій, визначених вимогами до якості зерна.</w:t>
      </w:r>
    </w:p>
    <w:p w:rsidR="00C51F42" w:rsidRDefault="002C695A" w:rsidP="0082006C">
      <w:pPr>
        <w:spacing w:before="100" w:beforeAutospacing="1"/>
        <w:ind w:left="142" w:firstLine="709"/>
        <w:jc w:val="both"/>
      </w:pPr>
      <w:r>
        <w:t xml:space="preserve">Будівля елеватора за своїм функціональним призначенням </w:t>
      </w:r>
      <w:r w:rsidRPr="0082006C">
        <w:rPr>
          <w:strike/>
        </w:rPr>
        <w:t>повинна бути</w:t>
      </w:r>
      <w:r>
        <w:t xml:space="preserve"> віднесена до угрупування 1271.3  (Будівлі для зберігання зерна) Державного класифікатора будівель та споруд (ДК 018), зокрема:</w:t>
      </w:r>
    </w:p>
    <w:p w:rsidR="00C51F42" w:rsidRDefault="002C695A" w:rsidP="0082006C">
      <w:pPr>
        <w:ind w:left="142" w:firstLine="709"/>
        <w:jc w:val="both"/>
      </w:pPr>
      <w:r>
        <w:t>1271.3                Будівлі для зберігання зерна</w:t>
      </w:r>
    </w:p>
    <w:p w:rsidR="002C695A" w:rsidRDefault="002C695A" w:rsidP="0082006C">
      <w:pPr>
        <w:ind w:left="142" w:firstLine="709"/>
      </w:pPr>
      <w:r>
        <w:t>1271.3.01           1271.3.01.71.1           Зернофуражні сховища</w:t>
      </w:r>
    </w:p>
    <w:p w:rsidR="002C695A" w:rsidRDefault="002C695A" w:rsidP="0082006C">
      <w:pPr>
        <w:ind w:left="142" w:firstLine="709"/>
      </w:pPr>
      <w:r>
        <w:t>1271.3.02           1271.3.02.71.1           Елеватори</w:t>
      </w:r>
    </w:p>
    <w:p w:rsidR="002C695A" w:rsidRDefault="002C695A" w:rsidP="0082006C">
      <w:pPr>
        <w:ind w:left="142" w:firstLine="709"/>
      </w:pPr>
      <w:r>
        <w:t>1271.3.03           1271.3.03.71.1           Зерносклади механізовані</w:t>
      </w:r>
    </w:p>
    <w:p w:rsidR="002C695A" w:rsidRDefault="002C695A" w:rsidP="0082006C">
      <w:pPr>
        <w:ind w:left="142" w:firstLine="709"/>
      </w:pPr>
      <w:r>
        <w:t>1271.3.04           1271.3.04.34.1           Зерноочисні та зерноочисно-сушильні пункти</w:t>
      </w:r>
    </w:p>
    <w:p w:rsidR="002C695A" w:rsidRDefault="002C695A" w:rsidP="0082006C">
      <w:pPr>
        <w:ind w:left="142" w:firstLine="709"/>
      </w:pPr>
      <w:r>
        <w:t xml:space="preserve">1271.3.90           1271.3.90.00.0           Будівлі для зберігання зерна, </w:t>
      </w:r>
      <w:proofErr w:type="spellStart"/>
      <w:r>
        <w:t>н.в.і.у</w:t>
      </w:r>
      <w:proofErr w:type="spellEnd"/>
      <w:r>
        <w:t>.</w:t>
      </w:r>
    </w:p>
    <w:p w:rsidR="000B0964" w:rsidRDefault="000B0964" w:rsidP="0082006C">
      <w:pPr>
        <w:ind w:left="142" w:firstLine="709"/>
        <w:jc w:val="both"/>
      </w:pPr>
    </w:p>
    <w:p w:rsidR="000B0964" w:rsidRDefault="000B0964" w:rsidP="0082006C">
      <w:pPr>
        <w:ind w:left="142" w:firstLine="709"/>
        <w:jc w:val="both"/>
      </w:pPr>
      <w:r w:rsidRPr="00072063">
        <w:t>На звернення однієї з компаній-членів ДФС було надано узагальнюючу консультацію з приводу податку на нерухоме майно, згідно якої підприємства, що займаються складським господарством є промисловими відповідно до положень ст.1 Женевської Конвенції.</w:t>
      </w:r>
      <w:r>
        <w:t xml:space="preserve"> Однак, якщо враховувати положення  ДК 018-2000,  склади не відносяться до промислових, оскільки надають послуги, а не випускають продукцію.</w:t>
      </w:r>
    </w:p>
    <w:p w:rsidR="000B0964" w:rsidRDefault="000B0964" w:rsidP="0082006C">
      <w:pPr>
        <w:ind w:left="142" w:firstLine="709"/>
        <w:jc w:val="both"/>
      </w:pPr>
    </w:p>
    <w:p w:rsidR="000B0964" w:rsidRDefault="000B0964" w:rsidP="0082006C">
      <w:pPr>
        <w:ind w:left="142" w:firstLine="709"/>
        <w:jc w:val="both"/>
      </w:pPr>
      <w:r>
        <w:t>На думку експертів компаній-членів</w:t>
      </w:r>
      <w:r w:rsidR="0082006C">
        <w:t xml:space="preserve"> Палати</w:t>
      </w:r>
      <w:r>
        <w:t xml:space="preserve">, застосування даного податку на нерухомість до елеваторів та подібних їм суб’єктів підприємницької діяльності матиме своїм наслідком значне погіршення економічного становища таких суб’єктів господарювання. </w:t>
      </w:r>
      <w:r w:rsidRPr="002E5EDB">
        <w:t xml:space="preserve">Попередні розрахунки компаній-членів лише по даному виду податку демонструють, що він стане обтяжливим для </w:t>
      </w:r>
      <w:r w:rsidRPr="002E5EDB">
        <w:lastRenderedPageBreak/>
        <w:t>елеваторів,</w:t>
      </w:r>
      <w:r>
        <w:t xml:space="preserve"> які за специфікою своєї діяльності відносяться до сезонного бізнесу, який в свою чергу залежить від  врожайності, місця розташування, інфраструктури тощо. За розрахунками компаній-членів, річна сума податку на нерухомість для деяких елеваторів буде перевищувати 260 -  285 тисяч гривень. </w:t>
      </w:r>
    </w:p>
    <w:p w:rsidR="000B0964" w:rsidRDefault="000B0964" w:rsidP="0082006C">
      <w:pPr>
        <w:ind w:left="142" w:firstLine="709"/>
        <w:jc w:val="both"/>
      </w:pPr>
    </w:p>
    <w:p w:rsidR="000B0964" w:rsidRDefault="000B0964" w:rsidP="0082006C">
      <w:pPr>
        <w:ind w:left="142" w:firstLine="709"/>
        <w:jc w:val="both"/>
      </w:pPr>
      <w:r>
        <w:t xml:space="preserve">Наслідком </w:t>
      </w:r>
      <w:proofErr w:type="spellStart"/>
      <w:r>
        <w:t>неврегулювання</w:t>
      </w:r>
      <w:proofErr w:type="spellEnd"/>
      <w:r>
        <w:t xml:space="preserve"> даного питання, може бути стрімке підвищення  тарифів  на послуги елеваторів, що в свою чергу, негативно впливатиме на с/г товаровиробників та інших суб’єктів господарювання, які користуються послугами елеваторів. Зрозуміло, що за будь-яке додаткове фіскальне навантаження в кінцевому випадку платить споживач.</w:t>
      </w:r>
    </w:p>
    <w:p w:rsidR="000B0964" w:rsidRDefault="000B0964" w:rsidP="0082006C">
      <w:pPr>
        <w:ind w:left="142" w:firstLine="709"/>
        <w:jc w:val="both"/>
      </w:pPr>
    </w:p>
    <w:p w:rsidR="00B674A8" w:rsidRDefault="000B0964" w:rsidP="0082006C">
      <w:pPr>
        <w:ind w:left="142" w:firstLine="709"/>
        <w:jc w:val="both"/>
      </w:pPr>
      <w:r>
        <w:t>Відтак, звертаємося</w:t>
      </w:r>
      <w:r w:rsidRPr="009B7F8A">
        <w:t xml:space="preserve"> </w:t>
      </w:r>
      <w:r>
        <w:t xml:space="preserve">з наступними пропозиціями </w:t>
      </w:r>
      <w:r w:rsidRPr="00292511">
        <w:t xml:space="preserve">щодо врегулювання </w:t>
      </w:r>
      <w:r>
        <w:t xml:space="preserve">цього </w:t>
      </w:r>
      <w:r w:rsidRPr="00292511">
        <w:t>питання:</w:t>
      </w:r>
    </w:p>
    <w:p w:rsidR="00E93F57" w:rsidRDefault="00E93F57" w:rsidP="0082006C">
      <w:pPr>
        <w:ind w:left="142" w:firstLine="709"/>
        <w:jc w:val="both"/>
      </w:pPr>
    </w:p>
    <w:p w:rsidR="000B0964" w:rsidRPr="00E93F57" w:rsidRDefault="00B674A8" w:rsidP="0082006C">
      <w:pPr>
        <w:ind w:left="142" w:firstLine="709"/>
        <w:jc w:val="both"/>
      </w:pPr>
      <w:r>
        <w:t xml:space="preserve">- </w:t>
      </w:r>
      <w:r w:rsidR="000B0964" w:rsidRPr="00292511">
        <w:t xml:space="preserve"> </w:t>
      </w:r>
      <w:r w:rsidR="00E93F57">
        <w:tab/>
      </w:r>
      <w:r w:rsidR="00E93F57" w:rsidRPr="00E93F57">
        <w:t xml:space="preserve">просимо надати роз’яснення </w:t>
      </w:r>
      <w:r w:rsidR="00E93F57" w:rsidRPr="0082006C">
        <w:rPr>
          <w:color w:val="000000"/>
        </w:rPr>
        <w:t xml:space="preserve">чи підпадають будівлі для зберігання зерна (класу 1271.3 ДК 018-2000)  Зернових складів, які є виробниками сільськогосподарських послуг по зберіганню та доробці зерна під дію </w:t>
      </w:r>
      <w:r w:rsidR="00E93F57" w:rsidRPr="0082006C">
        <w:t>підпункту «ж» підпункту 266.2.2 пункту 266.2 статті 266 Податкового кодексу України.</w:t>
      </w:r>
    </w:p>
    <w:p w:rsidR="000B0964" w:rsidRDefault="000B0964" w:rsidP="0082006C">
      <w:pPr>
        <w:ind w:left="142" w:firstLine="709"/>
        <w:jc w:val="both"/>
      </w:pPr>
    </w:p>
    <w:p w:rsidR="000B0964" w:rsidRPr="00292511" w:rsidRDefault="000B0964" w:rsidP="0082006C">
      <w:pPr>
        <w:numPr>
          <w:ilvl w:val="0"/>
          <w:numId w:val="7"/>
        </w:numPr>
        <w:ind w:left="142" w:firstLine="709"/>
        <w:jc w:val="both"/>
        <w:rPr>
          <w:b/>
          <w:u w:val="single"/>
        </w:rPr>
      </w:pPr>
      <w:r>
        <w:t>усунути неоднозначність підходу шляхом внесення змін до Податкового кодексу України, а саме, до п. п. 266.2.2 в частині уточнення  формулювання: «…є) будівлі промисловості та склади»</w:t>
      </w:r>
      <w:r w:rsidR="00B674A8" w:rsidRPr="0082006C">
        <w:t xml:space="preserve"> та "...</w:t>
      </w:r>
      <w:r w:rsidR="00B674A8" w:rsidRPr="00B674A8">
        <w:t xml:space="preserve"> </w:t>
      </w:r>
      <w:r w:rsidR="00B674A8" w:rsidRPr="00E93F57">
        <w:t xml:space="preserve">ж) </w:t>
      </w:r>
      <w:r w:rsidR="00B674A8" w:rsidRPr="0082006C">
        <w:t xml:space="preserve">будівлі, споруди сільськогосподарських </w:t>
      </w:r>
      <w:proofErr w:type="spellStart"/>
      <w:r w:rsidR="00B674A8" w:rsidRPr="0082006C">
        <w:t>підриємств</w:t>
      </w:r>
      <w:proofErr w:type="spellEnd"/>
      <w:r w:rsidR="00B674A8" w:rsidRPr="0082006C">
        <w:t>, призначені для використання безпосередньо у сільськогосподарській діяльності…».</w:t>
      </w:r>
      <w:r>
        <w:t xml:space="preserve"> </w:t>
      </w:r>
    </w:p>
    <w:p w:rsidR="000B0964" w:rsidRDefault="000B0964" w:rsidP="0082006C">
      <w:pPr>
        <w:pStyle w:val="ae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0964" w:rsidRDefault="000B0964" w:rsidP="0082006C">
      <w:pPr>
        <w:pStyle w:val="10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Заздалегідь дякуємо за розгляд нашого звернення та врахування позицій бізнесу.</w:t>
      </w:r>
    </w:p>
    <w:p w:rsidR="000B0964" w:rsidRPr="00602C42" w:rsidRDefault="000B0964" w:rsidP="0082006C">
      <w:pPr>
        <w:pStyle w:val="10"/>
        <w:shd w:val="clear" w:color="auto" w:fill="FFFFFF"/>
        <w:spacing w:before="0" w:beforeAutospacing="0" w:after="0" w:afterAutospacing="0"/>
        <w:ind w:left="142" w:firstLine="709"/>
        <w:jc w:val="both"/>
      </w:pPr>
    </w:p>
    <w:p w:rsidR="000B0964" w:rsidRPr="002714F6" w:rsidRDefault="000B0964" w:rsidP="0082006C">
      <w:pPr>
        <w:ind w:left="142" w:firstLine="709"/>
        <w:jc w:val="both"/>
        <w:rPr>
          <w:color w:val="000000"/>
          <w:bdr w:val="none" w:sz="0" w:space="0" w:color="auto" w:frame="1"/>
        </w:rPr>
      </w:pPr>
      <w:r w:rsidRPr="002714F6">
        <w:rPr>
          <w:color w:val="000000"/>
          <w:bdr w:val="none" w:sz="0" w:space="0" w:color="auto" w:frame="1"/>
        </w:rPr>
        <w:t>У разі виникнення будь-яких запитань щодо цього звернення просимо Вас визначити відповідальну особу, яка зможе</w:t>
      </w:r>
      <w:r>
        <w:rPr>
          <w:color w:val="000000"/>
          <w:bdr w:val="none" w:sz="0" w:space="0" w:color="auto" w:frame="1"/>
        </w:rPr>
        <w:t xml:space="preserve"> звернутися за телефоном 490-58</w:t>
      </w:r>
      <w:r w:rsidRPr="002714F6">
        <w:rPr>
          <w:color w:val="000000"/>
          <w:bdr w:val="none" w:sz="0" w:space="0" w:color="auto" w:frame="1"/>
        </w:rPr>
        <w:t xml:space="preserve">00 та за електронною </w:t>
      </w:r>
      <w:proofErr w:type="spellStart"/>
      <w:r w:rsidRPr="002714F6">
        <w:rPr>
          <w:color w:val="000000"/>
          <w:bdr w:val="none" w:sz="0" w:space="0" w:color="auto" w:frame="1"/>
        </w:rPr>
        <w:t>адресою</w:t>
      </w:r>
      <w:proofErr w:type="spellEnd"/>
      <w:r w:rsidRPr="002714F6">
        <w:rPr>
          <w:color w:val="000000"/>
          <w:bdr w:val="none" w:sz="0" w:space="0" w:color="auto" w:frame="1"/>
        </w:rPr>
        <w:t xml:space="preserve">: </w:t>
      </w:r>
      <w:hyperlink r:id="rId14" w:history="1">
        <w:r w:rsidRPr="002714F6">
          <w:rPr>
            <w:color w:val="000000"/>
            <w:bdr w:val="none" w:sz="0" w:space="0" w:color="auto" w:frame="1"/>
          </w:rPr>
          <w:t>asankina@chamber.ua</w:t>
        </w:r>
      </w:hyperlink>
      <w:r w:rsidRPr="002714F6">
        <w:rPr>
          <w:color w:val="000000"/>
          <w:bdr w:val="none" w:sz="0" w:space="0" w:color="auto" w:frame="1"/>
        </w:rPr>
        <w:t xml:space="preserve"> до Анни </w:t>
      </w:r>
      <w:proofErr w:type="spellStart"/>
      <w:r w:rsidRPr="002714F6">
        <w:rPr>
          <w:color w:val="000000"/>
          <w:bdr w:val="none" w:sz="0" w:space="0" w:color="auto" w:frame="1"/>
        </w:rPr>
        <w:t>Санкіної</w:t>
      </w:r>
      <w:proofErr w:type="spellEnd"/>
      <w:r w:rsidRPr="002714F6">
        <w:rPr>
          <w:color w:val="000000"/>
          <w:bdr w:val="none" w:sz="0" w:space="0" w:color="auto" w:frame="1"/>
        </w:rPr>
        <w:t>, менеджера Палати з питань стратегічного розвитку</w:t>
      </w:r>
      <w:r>
        <w:rPr>
          <w:color w:val="000000"/>
          <w:bdr w:val="none" w:sz="0" w:space="0" w:color="auto" w:frame="1"/>
        </w:rPr>
        <w:t xml:space="preserve"> (агропромисловий комплекс)</w:t>
      </w:r>
      <w:r w:rsidRPr="002714F6">
        <w:rPr>
          <w:color w:val="000000"/>
          <w:bdr w:val="none" w:sz="0" w:space="0" w:color="auto" w:frame="1"/>
        </w:rPr>
        <w:t xml:space="preserve">. </w:t>
      </w:r>
    </w:p>
    <w:p w:rsidR="000B0964" w:rsidRDefault="000B0964" w:rsidP="000B0964">
      <w:pPr>
        <w:jc w:val="both"/>
        <w:rPr>
          <w:b/>
          <w:color w:val="000000"/>
          <w:bdr w:val="none" w:sz="0" w:space="0" w:color="auto" w:frame="1"/>
          <w:lang w:val="ru-RU"/>
        </w:rPr>
      </w:pPr>
    </w:p>
    <w:p w:rsidR="000B0964" w:rsidRPr="00F33117" w:rsidRDefault="000B0964" w:rsidP="000B0964">
      <w:pPr>
        <w:jc w:val="both"/>
        <w:rPr>
          <w:b/>
          <w:color w:val="000000"/>
          <w:bdr w:val="none" w:sz="0" w:space="0" w:color="auto" w:frame="1"/>
          <w:lang w:val="ru-RU"/>
        </w:rPr>
      </w:pPr>
    </w:p>
    <w:p w:rsidR="000B0964" w:rsidRPr="00E43D5E" w:rsidRDefault="000B0964" w:rsidP="000B0964">
      <w:pPr>
        <w:ind w:left="142"/>
        <w:jc w:val="both"/>
        <w:rPr>
          <w:b/>
        </w:rPr>
      </w:pPr>
      <w:r w:rsidRPr="00E43D5E">
        <w:rPr>
          <w:b/>
        </w:rPr>
        <w:t xml:space="preserve">З глибокою повагою, </w:t>
      </w:r>
    </w:p>
    <w:p w:rsidR="000B0964" w:rsidRPr="00E43D5E" w:rsidRDefault="000B0964" w:rsidP="000B0964">
      <w:pPr>
        <w:jc w:val="both"/>
        <w:rPr>
          <w:b/>
        </w:rPr>
      </w:pPr>
    </w:p>
    <w:p w:rsidR="000B0964" w:rsidRPr="00E43D5E" w:rsidRDefault="000B0964" w:rsidP="000B0964">
      <w:pPr>
        <w:ind w:left="142"/>
        <w:jc w:val="both"/>
        <w:rPr>
          <w:b/>
        </w:rPr>
      </w:pPr>
      <w:r>
        <w:rPr>
          <w:b/>
        </w:rPr>
        <w:t>Президент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</w:t>
      </w:r>
      <w:r w:rsidR="00DD4CE2">
        <w:rPr>
          <w:b/>
        </w:rPr>
        <w:t xml:space="preserve">            </w:t>
      </w:r>
      <w:r w:rsidRPr="00E43D5E">
        <w:rPr>
          <w:b/>
        </w:rPr>
        <w:t xml:space="preserve">Андрій </w:t>
      </w:r>
      <w:proofErr w:type="spellStart"/>
      <w:r w:rsidRPr="00E43D5E">
        <w:rPr>
          <w:b/>
        </w:rPr>
        <w:t>Гундер</w:t>
      </w:r>
      <w:proofErr w:type="spellEnd"/>
    </w:p>
    <w:p w:rsidR="000B0964" w:rsidRPr="008F7494" w:rsidRDefault="000B0964" w:rsidP="000B0964"/>
    <w:p w:rsidR="002D1292" w:rsidRPr="00C1019E" w:rsidRDefault="002D1292" w:rsidP="00C1019E"/>
    <w:sectPr w:rsidR="002D1292" w:rsidRPr="00C1019E" w:rsidSect="00B71FE4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64" w:rsidRDefault="00243B64" w:rsidP="00742BAD">
      <w:r>
        <w:separator/>
      </w:r>
    </w:p>
  </w:endnote>
  <w:endnote w:type="continuationSeparator" w:id="0">
    <w:p w:rsidR="00243B64" w:rsidRDefault="00243B64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2" w:rsidRPr="00EA068F" w:rsidRDefault="00B57472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D33472" w:rsidRPr="00FD004B" w:rsidRDefault="00B57472" w:rsidP="00D33472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="008B5F6E"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="008B5F6E" w:rsidRPr="00F80688">
      <w:rPr>
        <w:rFonts w:ascii="Arial" w:hAnsi="Arial" w:cs="Arial"/>
        <w:i/>
        <w:color w:val="0F243E"/>
        <w:sz w:val="16"/>
        <w:szCs w:val="16"/>
      </w:rPr>
      <w:t>"</w:t>
    </w:r>
    <w:r w:rsidR="009B1FB4">
      <w:rPr>
        <w:rFonts w:ascii="Arial" w:hAnsi="Arial" w:cs="Arial"/>
        <w:i/>
        <w:color w:val="0F243E"/>
        <w:sz w:val="16"/>
        <w:szCs w:val="16"/>
      </w:rPr>
      <w:t>СІТІ</w:t>
    </w:r>
    <w:r w:rsidR="008B5F6E" w:rsidRPr="00F80688">
      <w:rPr>
        <w:rFonts w:ascii="Arial" w:hAnsi="Arial" w:cs="Arial"/>
        <w:i/>
        <w:color w:val="0F243E"/>
        <w:sz w:val="16"/>
        <w:szCs w:val="16"/>
      </w:rPr>
      <w:t>"</w:t>
    </w:r>
    <w:r w:rsidR="008B5F6E"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>–</w:t>
    </w:r>
    <w:r w:rsidR="009B1FB4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="00F80688"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 w:rsidR="008B5F6E"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="005F4AD6" w:rsidRPr="00F80688">
      <w:rPr>
        <w:rFonts w:ascii="Arial" w:hAnsi="Arial" w:cs="Arial"/>
        <w:b/>
        <w:i/>
        <w:color w:val="0F243E"/>
        <w:sz w:val="16"/>
        <w:szCs w:val="16"/>
      </w:rPr>
      <w:t xml:space="preserve">Мартін </w:t>
    </w:r>
    <w:proofErr w:type="spellStart"/>
    <w:r w:rsidR="005F4AD6"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="005F4AD6"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="005F4AD6"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="005F4AD6"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="005F4AD6" w:rsidRPr="00F80688">
      <w:rPr>
        <w:rFonts w:ascii="Arial" w:hAnsi="Arial" w:cs="Arial"/>
        <w:i/>
        <w:color w:val="0F243E"/>
        <w:sz w:val="16"/>
        <w:szCs w:val="16"/>
      </w:rPr>
      <w:t xml:space="preserve"> Кері Україна"</w:t>
    </w:r>
    <w:r w:rsidR="005F4AD6">
      <w:rPr>
        <w:rFonts w:ascii="Arial" w:hAnsi="Arial" w:cs="Arial"/>
        <w:i/>
        <w:color w:val="0F243E"/>
        <w:sz w:val="16"/>
        <w:szCs w:val="16"/>
      </w:rPr>
      <w:t xml:space="preserve"> </w:t>
    </w:r>
    <w:r w:rsidR="005F4AD6" w:rsidRPr="00F80688">
      <w:rPr>
        <w:rFonts w:ascii="Arial" w:hAnsi="Arial" w:cs="Arial"/>
        <w:b/>
        <w:i/>
        <w:color w:val="0F243E"/>
        <w:sz w:val="16"/>
        <w:szCs w:val="16"/>
      </w:rPr>
      <w:t>– Заступник голови</w:t>
    </w:r>
    <w:r w:rsidR="005F4AD6">
      <w:rPr>
        <w:rFonts w:ascii="Arial" w:hAnsi="Arial" w:cs="Arial"/>
        <w:b/>
        <w:i/>
        <w:color w:val="0F243E"/>
        <w:sz w:val="16"/>
        <w:szCs w:val="16"/>
      </w:rPr>
      <w:t>;</w:t>
    </w:r>
    <w:r w:rsidR="005F4AD6"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="008B5F6E"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 w:rsidR="008B5F6E"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="00F80688" w:rsidRPr="00F80688">
      <w:rPr>
        <w:rFonts w:ascii="Arial" w:hAnsi="Arial" w:cs="Arial"/>
        <w:i/>
        <w:color w:val="0F243E"/>
        <w:sz w:val="16"/>
        <w:szCs w:val="16"/>
      </w:rPr>
      <w:t>”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="00F80688"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="00F80688"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="00F80688"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="00F80688"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="00F80688"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="006B382E"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="005F4AD6" w:rsidRPr="005F4AD6">
      <w:rPr>
        <w:rFonts w:ascii="Arial" w:hAnsi="Arial" w:cs="Arial"/>
        <w:b/>
        <w:i/>
        <w:color w:val="0F243E"/>
        <w:sz w:val="16"/>
        <w:szCs w:val="16"/>
      </w:rPr>
      <w:t>Луіджи</w:t>
    </w:r>
    <w:proofErr w:type="spellEnd"/>
    <w:r w:rsidR="005F4AD6"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="005F4AD6" w:rsidRPr="005F4AD6">
      <w:rPr>
        <w:rFonts w:ascii="Arial" w:hAnsi="Arial" w:cs="Arial"/>
        <w:b/>
        <w:i/>
        <w:color w:val="0F243E"/>
        <w:sz w:val="16"/>
        <w:szCs w:val="16"/>
      </w:rPr>
      <w:t>Барберіс</w:t>
    </w:r>
    <w:proofErr w:type="spellEnd"/>
    <w:r w:rsidR="005F4AD6">
      <w:rPr>
        <w:rFonts w:ascii="Arial" w:hAnsi="Arial" w:cs="Arial"/>
        <w:b/>
        <w:i/>
        <w:color w:val="0F243E"/>
        <w:sz w:val="16"/>
        <w:szCs w:val="16"/>
      </w:rPr>
      <w:t>,</w:t>
    </w:r>
    <w:r w:rsidR="005F4AD6"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="005F4AD6" w:rsidRPr="005F4AD6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="005F4AD6" w:rsidRPr="005F4AD6">
      <w:rPr>
        <w:rFonts w:ascii="Arial" w:hAnsi="Arial" w:cs="Arial"/>
        <w:i/>
        <w:color w:val="0F243E"/>
        <w:sz w:val="16"/>
        <w:szCs w:val="16"/>
      </w:rPr>
      <w:t>Ені</w:t>
    </w:r>
    <w:proofErr w:type="spellEnd"/>
    <w:r w:rsidR="005F4AD6" w:rsidRPr="005F4AD6">
      <w:rPr>
        <w:rFonts w:ascii="Arial" w:hAnsi="Arial" w:cs="Arial"/>
        <w:i/>
        <w:color w:val="0F243E"/>
        <w:sz w:val="16"/>
        <w:szCs w:val="16"/>
      </w:rPr>
      <w:t xml:space="preserve"> Україна"</w:t>
    </w:r>
    <w:r w:rsidR="005F4AD6">
      <w:rPr>
        <w:rFonts w:ascii="Arial" w:hAnsi="Arial" w:cs="Arial"/>
        <w:i/>
        <w:color w:val="0F243E"/>
        <w:sz w:val="16"/>
        <w:szCs w:val="16"/>
      </w:rPr>
      <w:t>;</w:t>
    </w:r>
    <w:r w:rsidR="005F4AD6"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="00F80688"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="00F80688"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="00F80688" w:rsidRPr="00F80688">
      <w:rPr>
        <w:rFonts w:ascii="Arial" w:hAnsi="Arial" w:cs="Arial"/>
        <w:i/>
        <w:color w:val="0F243E"/>
        <w:sz w:val="16"/>
        <w:szCs w:val="16"/>
      </w:rPr>
      <w:t>”;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="00F80688"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="00F80688"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="00F80688"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="00F80688" w:rsidRPr="00F80688">
      <w:rPr>
        <w:rFonts w:ascii="Arial" w:hAnsi="Arial" w:cs="Arial"/>
        <w:i/>
        <w:color w:val="0F243E"/>
        <w:sz w:val="16"/>
        <w:szCs w:val="16"/>
      </w:rPr>
      <w:t>;</w:t>
    </w:r>
    <w:r w:rsidR="005F4AD6">
      <w:rPr>
        <w:rFonts w:ascii="Arial" w:hAnsi="Arial" w:cs="Arial"/>
        <w:i/>
        <w:color w:val="0F243E"/>
        <w:sz w:val="16"/>
        <w:szCs w:val="16"/>
      </w:rPr>
      <w:t xml:space="preserve"> </w:t>
    </w:r>
    <w:r w:rsidR="0056346F"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="0056346F"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="0056346F" w:rsidRPr="0056346F">
      <w:rPr>
        <w:rFonts w:ascii="Arial" w:hAnsi="Arial" w:cs="Arial"/>
        <w:b/>
        <w:i/>
        <w:color w:val="0F243E"/>
        <w:sz w:val="16"/>
        <w:szCs w:val="16"/>
      </w:rPr>
      <w:t>,</w:t>
    </w:r>
    <w:r w:rsidR="009B1FB4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="0056346F"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="0056346F" w:rsidRPr="0056346F">
      <w:rPr>
        <w:rFonts w:ascii="Arial" w:hAnsi="Arial" w:cs="Arial"/>
        <w:i/>
        <w:color w:val="0F243E"/>
        <w:sz w:val="16"/>
        <w:szCs w:val="16"/>
      </w:rPr>
      <w:t>;</w:t>
    </w:r>
    <w:r w:rsidR="0056346F"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="008B5F6E"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="00F80688"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="00F80688"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="00F80688"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="00F80688"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="008B5F6E" w:rsidRPr="00F80688">
      <w:rPr>
        <w:rFonts w:ascii="Arial" w:hAnsi="Arial" w:cs="Arial"/>
        <w:i/>
        <w:color w:val="0F243E"/>
        <w:sz w:val="16"/>
        <w:szCs w:val="16"/>
      </w:rPr>
      <w:t>“</w:t>
    </w:r>
    <w:r w:rsidR="00F80688" w:rsidRPr="00F80688">
      <w:rPr>
        <w:rFonts w:ascii="Arial" w:hAnsi="Arial" w:cs="Arial"/>
        <w:i/>
        <w:color w:val="0F243E"/>
        <w:sz w:val="16"/>
        <w:szCs w:val="16"/>
      </w:rPr>
      <w:t>Київстар</w:t>
    </w:r>
    <w:r w:rsidR="008B5F6E" w:rsidRPr="00F80688">
      <w:rPr>
        <w:rFonts w:ascii="Arial" w:hAnsi="Arial" w:cs="Arial"/>
        <w:i/>
        <w:color w:val="0F243E"/>
        <w:sz w:val="16"/>
        <w:szCs w:val="16"/>
      </w:rPr>
      <w:t>”</w:t>
    </w:r>
    <w:r w:rsidR="00F80688" w:rsidRPr="00F80688">
      <w:rPr>
        <w:rFonts w:ascii="Arial" w:hAnsi="Arial" w:cs="Arial"/>
        <w:i/>
        <w:color w:val="0F243E"/>
        <w:sz w:val="16"/>
        <w:szCs w:val="16"/>
      </w:rPr>
      <w:t>;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="00F80688"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="00F80688"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="00F80688" w:rsidRPr="00F80688">
      <w:rPr>
        <w:rFonts w:ascii="Arial" w:hAnsi="Arial" w:cs="Arial"/>
        <w:i/>
        <w:color w:val="0F243E"/>
        <w:sz w:val="16"/>
        <w:szCs w:val="16"/>
      </w:rPr>
      <w:t>;</w:t>
    </w:r>
    <w:r w:rsidR="00F80688"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="00F80688"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="00F80688"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="00F80688" w:rsidRPr="00F80688">
      <w:rPr>
        <w:rFonts w:ascii="Arial" w:hAnsi="Arial" w:cs="Arial"/>
        <w:i/>
        <w:color w:val="0F243E"/>
        <w:sz w:val="16"/>
        <w:szCs w:val="16"/>
      </w:rPr>
      <w:t>Каргілл"</w:t>
    </w:r>
    <w:r w:rsidR="005F4AD6">
      <w:rPr>
        <w:rFonts w:ascii="Arial" w:hAnsi="Arial" w:cs="Arial"/>
        <w:i/>
        <w:color w:val="0F243E"/>
        <w:sz w:val="16"/>
        <w:szCs w:val="16"/>
      </w:rPr>
      <w:t>.</w:t>
    </w:r>
  </w:p>
  <w:p w:rsidR="004C3FCF" w:rsidRPr="00C35D47" w:rsidRDefault="00CB32DD" w:rsidP="004C3FCF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>резидент</w:t>
    </w:r>
    <w:r w:rsidR="004C3FCF">
      <w:rPr>
        <w:rFonts w:ascii="Arial" w:hAnsi="Arial" w:cs="Arial"/>
        <w:b/>
        <w:i/>
        <w:color w:val="0F243E"/>
        <w:sz w:val="16"/>
        <w:szCs w:val="16"/>
      </w:rPr>
      <w:t xml:space="preserve">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 w:rsidR="004C3FCF">
      <w:rPr>
        <w:rFonts w:ascii="Arial" w:hAnsi="Arial" w:cs="Arial"/>
        <w:b/>
        <w:i/>
        <w:color w:val="0F243E"/>
        <w:sz w:val="16"/>
        <w:szCs w:val="16"/>
      </w:rPr>
      <w:t xml:space="preserve"> </w:t>
    </w:r>
    <w:r>
      <w:rPr>
        <w:rFonts w:ascii="Arial" w:hAnsi="Arial" w:cs="Arial"/>
        <w:b/>
        <w:i/>
        <w:color w:val="0F243E"/>
        <w:sz w:val="16"/>
        <w:szCs w:val="16"/>
      </w:rPr>
      <w:t xml:space="preserve">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5F4AD6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64" w:rsidRDefault="00243B64" w:rsidP="00742BAD">
      <w:r>
        <w:separator/>
      </w:r>
    </w:p>
  </w:footnote>
  <w:footnote w:type="continuationSeparator" w:id="0">
    <w:p w:rsidR="00243B64" w:rsidRDefault="00243B64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62" w:rsidRDefault="00243B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1136" o:spid="_x0000_s2050" type="#_x0000_t136" style="position:absolute;margin-left:0;margin-top:0;width:542.4pt;height:216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243B64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1137" o:spid="_x0000_s2051" type="#_x0000_t136" style="position:absolute;margin-left:0;margin-top:0;width:542.4pt;height:216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C695A">
      <w:rPr>
        <w:noProof/>
      </w:rPr>
      <w:drawing>
        <wp:inline distT="0" distB="0" distL="0" distR="0">
          <wp:extent cx="6829425" cy="704850"/>
          <wp:effectExtent l="19050" t="0" r="9525" b="0"/>
          <wp:docPr id="1" name="Picture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62" w:rsidRDefault="00243B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1135" o:spid="_x0000_s2049" type="#_x0000_t136" style="position:absolute;margin-left:0;margin-top:0;width:542.4pt;height:216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7E0A"/>
    <w:multiLevelType w:val="hybridMultilevel"/>
    <w:tmpl w:val="5606AFCE"/>
    <w:lvl w:ilvl="0" w:tplc="BC92DD4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F30"/>
    <w:rsid w:val="000049AA"/>
    <w:rsid w:val="0002094A"/>
    <w:rsid w:val="000209B7"/>
    <w:rsid w:val="000426AB"/>
    <w:rsid w:val="000429DF"/>
    <w:rsid w:val="00043F4F"/>
    <w:rsid w:val="000563D0"/>
    <w:rsid w:val="00065140"/>
    <w:rsid w:val="000712AD"/>
    <w:rsid w:val="000713D1"/>
    <w:rsid w:val="00072CB3"/>
    <w:rsid w:val="00090086"/>
    <w:rsid w:val="000A5203"/>
    <w:rsid w:val="000B0964"/>
    <w:rsid w:val="000B0DBE"/>
    <w:rsid w:val="000D18EA"/>
    <w:rsid w:val="000E3826"/>
    <w:rsid w:val="000E63EE"/>
    <w:rsid w:val="001121F8"/>
    <w:rsid w:val="001144A8"/>
    <w:rsid w:val="001368E3"/>
    <w:rsid w:val="0014059B"/>
    <w:rsid w:val="00165464"/>
    <w:rsid w:val="00173309"/>
    <w:rsid w:val="00182929"/>
    <w:rsid w:val="001A49ED"/>
    <w:rsid w:val="001B1E0E"/>
    <w:rsid w:val="001C5DFB"/>
    <w:rsid w:val="001F2EDF"/>
    <w:rsid w:val="00201D61"/>
    <w:rsid w:val="00204B14"/>
    <w:rsid w:val="0020552A"/>
    <w:rsid w:val="002424FC"/>
    <w:rsid w:val="00243B64"/>
    <w:rsid w:val="002722B6"/>
    <w:rsid w:val="00293BCD"/>
    <w:rsid w:val="002A1E61"/>
    <w:rsid w:val="002B416F"/>
    <w:rsid w:val="002B41E3"/>
    <w:rsid w:val="002B60F0"/>
    <w:rsid w:val="002C695A"/>
    <w:rsid w:val="002D1292"/>
    <w:rsid w:val="002E1592"/>
    <w:rsid w:val="002F10D6"/>
    <w:rsid w:val="00310407"/>
    <w:rsid w:val="00311B6E"/>
    <w:rsid w:val="0031780C"/>
    <w:rsid w:val="00326293"/>
    <w:rsid w:val="003323AC"/>
    <w:rsid w:val="003335FB"/>
    <w:rsid w:val="00336BB2"/>
    <w:rsid w:val="0034289B"/>
    <w:rsid w:val="0036110F"/>
    <w:rsid w:val="00377540"/>
    <w:rsid w:val="00385169"/>
    <w:rsid w:val="00386D3A"/>
    <w:rsid w:val="003979A2"/>
    <w:rsid w:val="003A1F50"/>
    <w:rsid w:val="003C1500"/>
    <w:rsid w:val="003D0637"/>
    <w:rsid w:val="003E256D"/>
    <w:rsid w:val="003E4E18"/>
    <w:rsid w:val="003F0939"/>
    <w:rsid w:val="003F7D10"/>
    <w:rsid w:val="00410837"/>
    <w:rsid w:val="00420ED4"/>
    <w:rsid w:val="0045328F"/>
    <w:rsid w:val="00465F45"/>
    <w:rsid w:val="00472201"/>
    <w:rsid w:val="00487357"/>
    <w:rsid w:val="00494E27"/>
    <w:rsid w:val="004A043D"/>
    <w:rsid w:val="004B4D55"/>
    <w:rsid w:val="004B64F6"/>
    <w:rsid w:val="004C3FCF"/>
    <w:rsid w:val="00545DBA"/>
    <w:rsid w:val="00547C35"/>
    <w:rsid w:val="00555217"/>
    <w:rsid w:val="0056346F"/>
    <w:rsid w:val="00567698"/>
    <w:rsid w:val="00581BFA"/>
    <w:rsid w:val="00590E60"/>
    <w:rsid w:val="005A27B1"/>
    <w:rsid w:val="005C0201"/>
    <w:rsid w:val="005D0C5B"/>
    <w:rsid w:val="005D7303"/>
    <w:rsid w:val="005F1110"/>
    <w:rsid w:val="005F4AD6"/>
    <w:rsid w:val="00612DEE"/>
    <w:rsid w:val="00642A4C"/>
    <w:rsid w:val="0064737E"/>
    <w:rsid w:val="00655A2D"/>
    <w:rsid w:val="00682652"/>
    <w:rsid w:val="00682C77"/>
    <w:rsid w:val="0068417E"/>
    <w:rsid w:val="006A0F1F"/>
    <w:rsid w:val="006A48BA"/>
    <w:rsid w:val="006A63D0"/>
    <w:rsid w:val="006B382E"/>
    <w:rsid w:val="006D63E3"/>
    <w:rsid w:val="00712510"/>
    <w:rsid w:val="00742BAD"/>
    <w:rsid w:val="00765CFE"/>
    <w:rsid w:val="007816B3"/>
    <w:rsid w:val="007939AA"/>
    <w:rsid w:val="007C2209"/>
    <w:rsid w:val="007C4A88"/>
    <w:rsid w:val="007C508D"/>
    <w:rsid w:val="007F3122"/>
    <w:rsid w:val="007F381B"/>
    <w:rsid w:val="00803852"/>
    <w:rsid w:val="008135B8"/>
    <w:rsid w:val="0082006C"/>
    <w:rsid w:val="00822E86"/>
    <w:rsid w:val="00826CC3"/>
    <w:rsid w:val="00837CAC"/>
    <w:rsid w:val="008406CF"/>
    <w:rsid w:val="008509D2"/>
    <w:rsid w:val="00851029"/>
    <w:rsid w:val="0085755E"/>
    <w:rsid w:val="00876D67"/>
    <w:rsid w:val="008A6C42"/>
    <w:rsid w:val="008B5F6E"/>
    <w:rsid w:val="008C32A0"/>
    <w:rsid w:val="008C457F"/>
    <w:rsid w:val="008D7BE7"/>
    <w:rsid w:val="008E18A2"/>
    <w:rsid w:val="00912808"/>
    <w:rsid w:val="00980DE8"/>
    <w:rsid w:val="009A0B4F"/>
    <w:rsid w:val="009B1FB4"/>
    <w:rsid w:val="009D064C"/>
    <w:rsid w:val="009D1CA0"/>
    <w:rsid w:val="009D325B"/>
    <w:rsid w:val="00A01FE2"/>
    <w:rsid w:val="00A11672"/>
    <w:rsid w:val="00A14BCE"/>
    <w:rsid w:val="00A30D0B"/>
    <w:rsid w:val="00A43A89"/>
    <w:rsid w:val="00A6453B"/>
    <w:rsid w:val="00A70CC1"/>
    <w:rsid w:val="00A752C8"/>
    <w:rsid w:val="00A93288"/>
    <w:rsid w:val="00AA5274"/>
    <w:rsid w:val="00AA754D"/>
    <w:rsid w:val="00AB64F3"/>
    <w:rsid w:val="00AD0C4E"/>
    <w:rsid w:val="00AD4AC3"/>
    <w:rsid w:val="00AF3B32"/>
    <w:rsid w:val="00B33EF2"/>
    <w:rsid w:val="00B35E9D"/>
    <w:rsid w:val="00B37528"/>
    <w:rsid w:val="00B37C3F"/>
    <w:rsid w:val="00B5115E"/>
    <w:rsid w:val="00B52F2E"/>
    <w:rsid w:val="00B57472"/>
    <w:rsid w:val="00B65B5F"/>
    <w:rsid w:val="00B674A8"/>
    <w:rsid w:val="00B71FE4"/>
    <w:rsid w:val="00B73268"/>
    <w:rsid w:val="00B7499D"/>
    <w:rsid w:val="00B8254B"/>
    <w:rsid w:val="00BA16F8"/>
    <w:rsid w:val="00BA7398"/>
    <w:rsid w:val="00BB48EA"/>
    <w:rsid w:val="00BD2FF7"/>
    <w:rsid w:val="00BE65BC"/>
    <w:rsid w:val="00BF4A2A"/>
    <w:rsid w:val="00C1019E"/>
    <w:rsid w:val="00C129D5"/>
    <w:rsid w:val="00C13862"/>
    <w:rsid w:val="00C13893"/>
    <w:rsid w:val="00C34541"/>
    <w:rsid w:val="00C35D47"/>
    <w:rsid w:val="00C40FA3"/>
    <w:rsid w:val="00C51F42"/>
    <w:rsid w:val="00C534D2"/>
    <w:rsid w:val="00C976E7"/>
    <w:rsid w:val="00CB32DD"/>
    <w:rsid w:val="00CB68E2"/>
    <w:rsid w:val="00CC666B"/>
    <w:rsid w:val="00CD7CB4"/>
    <w:rsid w:val="00D001ED"/>
    <w:rsid w:val="00D02B42"/>
    <w:rsid w:val="00D040F5"/>
    <w:rsid w:val="00D049FA"/>
    <w:rsid w:val="00D304C3"/>
    <w:rsid w:val="00D33472"/>
    <w:rsid w:val="00D67749"/>
    <w:rsid w:val="00D865DE"/>
    <w:rsid w:val="00D942BF"/>
    <w:rsid w:val="00DD4CE2"/>
    <w:rsid w:val="00E05FC7"/>
    <w:rsid w:val="00E10551"/>
    <w:rsid w:val="00E114C1"/>
    <w:rsid w:val="00E1793E"/>
    <w:rsid w:val="00E25243"/>
    <w:rsid w:val="00E441CD"/>
    <w:rsid w:val="00E54F78"/>
    <w:rsid w:val="00E616CC"/>
    <w:rsid w:val="00E83BB7"/>
    <w:rsid w:val="00E9331F"/>
    <w:rsid w:val="00E93F57"/>
    <w:rsid w:val="00E948F0"/>
    <w:rsid w:val="00EA068F"/>
    <w:rsid w:val="00EA2D5C"/>
    <w:rsid w:val="00EC0D5E"/>
    <w:rsid w:val="00EC2270"/>
    <w:rsid w:val="00ED2E7E"/>
    <w:rsid w:val="00ED4439"/>
    <w:rsid w:val="00EE0ADE"/>
    <w:rsid w:val="00F0296B"/>
    <w:rsid w:val="00F02E8D"/>
    <w:rsid w:val="00F12354"/>
    <w:rsid w:val="00F35C5A"/>
    <w:rsid w:val="00F3741E"/>
    <w:rsid w:val="00F6789E"/>
    <w:rsid w:val="00F71D56"/>
    <w:rsid w:val="00F73E5F"/>
    <w:rsid w:val="00F80688"/>
    <w:rsid w:val="00F8309D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Subtitle"/>
    <w:basedOn w:val="a"/>
    <w:next w:val="a"/>
    <w:link w:val="ad"/>
    <w:qFormat/>
    <w:rsid w:val="000B0964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0B0964"/>
    <w:rPr>
      <w:rFonts w:ascii="Cambria" w:hAnsi="Cambria"/>
      <w:sz w:val="24"/>
      <w:szCs w:val="24"/>
    </w:rPr>
  </w:style>
  <w:style w:type="paragraph" w:styleId="ae">
    <w:name w:val="List Paragraph"/>
    <w:basedOn w:val="a"/>
    <w:uiPriority w:val="34"/>
    <w:qFormat/>
    <w:rsid w:val="000B096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0B0964"/>
  </w:style>
  <w:style w:type="paragraph" w:customStyle="1" w:styleId="10">
    <w:name w:val="1"/>
    <w:basedOn w:val="a"/>
    <w:rsid w:val="000B09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kyiv.sfs.gov.ua/media-ark/local-news/224161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sankina@chamber.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0e4d5d105662f22cf4173d465dcb9922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16004eed644150d1362f9b62bd8e8c02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CA3C-287F-419F-9943-8F5E03D00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0244B-53B6-493B-92CF-7EE4664CA9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BEA5CD-D1AA-4699-8EBC-CA450842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222C6-6BA3-47DA-AB63-68DBF971002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FB67C6E-EBAA-4F33-9E4D-8680CDAA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4820</Words>
  <Characters>2748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7553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mailto:asankina@chamber.ua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7</cp:revision>
  <cp:lastPrinted>2014-11-11T13:45:00Z</cp:lastPrinted>
  <dcterms:created xsi:type="dcterms:W3CDTF">2016-05-04T13:51:00Z</dcterms:created>
  <dcterms:modified xsi:type="dcterms:W3CDTF">2016-05-16T13:02:00Z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