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F5AC" w14:textId="77777777" w:rsidR="00880737" w:rsidRPr="00B063A6" w:rsidRDefault="00880737" w:rsidP="00D230E1">
      <w:pPr>
        <w:jc w:val="both"/>
        <w:rPr>
          <w:rFonts w:eastAsia="Calibri"/>
          <w:lang w:eastAsia="en-US"/>
        </w:rPr>
      </w:pPr>
      <w:r w:rsidRPr="00B063A6">
        <w:rPr>
          <w:rFonts w:eastAsia="Calibri"/>
          <w:lang w:eastAsia="en-US"/>
        </w:rPr>
        <w:t>№16-</w:t>
      </w:r>
    </w:p>
    <w:p w14:paraId="0B358514" w14:textId="3C236C46" w:rsidR="00880737" w:rsidRPr="00B063A6" w:rsidRDefault="00880737" w:rsidP="00D230E1">
      <w:pPr>
        <w:jc w:val="both"/>
        <w:rPr>
          <w:rFonts w:eastAsia="Calibri"/>
          <w:lang w:eastAsia="en-US"/>
        </w:rPr>
      </w:pPr>
      <w:r w:rsidRPr="00B063A6">
        <w:rPr>
          <w:rFonts w:eastAsia="Calibri"/>
          <w:lang w:eastAsia="en-US"/>
        </w:rPr>
        <w:t xml:space="preserve">           </w:t>
      </w:r>
      <w:r w:rsidR="008078CA">
        <w:rPr>
          <w:rFonts w:eastAsia="Calibri"/>
          <w:lang w:eastAsia="en-US"/>
        </w:rPr>
        <w:t>квітня</w:t>
      </w:r>
      <w:bookmarkStart w:id="0" w:name="_GoBack"/>
      <w:bookmarkEnd w:id="0"/>
      <w:r w:rsidR="008078CA" w:rsidRPr="00B063A6">
        <w:rPr>
          <w:rFonts w:eastAsia="Calibri"/>
          <w:lang w:eastAsia="en-US"/>
        </w:rPr>
        <w:t xml:space="preserve"> </w:t>
      </w:r>
      <w:r w:rsidRPr="00B063A6">
        <w:rPr>
          <w:rFonts w:eastAsia="Calibri"/>
          <w:lang w:eastAsia="en-US"/>
        </w:rPr>
        <w:t xml:space="preserve">2016 року </w:t>
      </w:r>
    </w:p>
    <w:tbl>
      <w:tblPr>
        <w:tblW w:w="10314" w:type="dxa"/>
        <w:tblInd w:w="284" w:type="dxa"/>
        <w:tblLook w:val="04A0" w:firstRow="1" w:lastRow="0" w:firstColumn="1" w:lastColumn="0" w:noHBand="0" w:noVBand="1"/>
      </w:tblPr>
      <w:tblGrid>
        <w:gridCol w:w="5636"/>
        <w:gridCol w:w="4678"/>
      </w:tblGrid>
      <w:tr w:rsidR="00880737" w:rsidRPr="00B063A6" w14:paraId="09B8FEDE" w14:textId="77777777" w:rsidTr="00880737">
        <w:tc>
          <w:tcPr>
            <w:tcW w:w="5636" w:type="dxa"/>
            <w:shd w:val="clear" w:color="auto" w:fill="auto"/>
          </w:tcPr>
          <w:p w14:paraId="1F3F0F95" w14:textId="77777777" w:rsidR="00880737" w:rsidRPr="00B063A6" w:rsidRDefault="00880737" w:rsidP="000F0258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51458D43" w14:textId="77777777" w:rsidR="00880737" w:rsidRPr="00B063A6" w:rsidRDefault="00880737" w:rsidP="000F0258">
            <w:pPr>
              <w:rPr>
                <w:b/>
              </w:rPr>
            </w:pPr>
            <w:r w:rsidRPr="00B063A6">
              <w:rPr>
                <w:b/>
              </w:rPr>
              <w:t>Голові Державної фіскальної служби України</w:t>
            </w:r>
          </w:p>
          <w:p w14:paraId="74491DC7" w14:textId="77777777" w:rsidR="00880737" w:rsidRPr="00B063A6" w:rsidRDefault="00880737" w:rsidP="000F0258">
            <w:pPr>
              <w:rPr>
                <w:b/>
              </w:rPr>
            </w:pPr>
            <w:r w:rsidRPr="00B063A6">
              <w:rPr>
                <w:b/>
              </w:rPr>
              <w:t xml:space="preserve">Р.М. </w:t>
            </w:r>
            <w:proofErr w:type="spellStart"/>
            <w:r w:rsidRPr="00B063A6">
              <w:rPr>
                <w:b/>
              </w:rPr>
              <w:t>Насірову</w:t>
            </w:r>
            <w:proofErr w:type="spellEnd"/>
            <w:r w:rsidRPr="00B063A6">
              <w:rPr>
                <w:b/>
              </w:rPr>
              <w:t xml:space="preserve"> </w:t>
            </w:r>
          </w:p>
          <w:p w14:paraId="34083E59" w14:textId="77777777" w:rsidR="00880737" w:rsidRPr="00B063A6" w:rsidRDefault="00880737" w:rsidP="000F0258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  <w:p w14:paraId="3B4CBB44" w14:textId="77777777" w:rsidR="00880737" w:rsidRPr="00B063A6" w:rsidRDefault="00880737" w:rsidP="000F0258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</w:tc>
      </w:tr>
    </w:tbl>
    <w:p w14:paraId="191631FD" w14:textId="77777777" w:rsidR="001137C8" w:rsidRPr="00B063A6" w:rsidRDefault="00880737" w:rsidP="001137C8">
      <w:pPr>
        <w:jc w:val="both"/>
        <w:rPr>
          <w:rFonts w:eastAsia="Calibri"/>
          <w:i/>
          <w:sz w:val="22"/>
          <w:lang w:eastAsia="en-US"/>
        </w:rPr>
      </w:pPr>
      <w:r w:rsidRPr="00B063A6">
        <w:rPr>
          <w:rFonts w:eastAsia="Calibri"/>
          <w:i/>
          <w:sz w:val="22"/>
          <w:lang w:eastAsia="en-US"/>
        </w:rPr>
        <w:t xml:space="preserve">Щодо </w:t>
      </w:r>
      <w:r w:rsidR="001137C8" w:rsidRPr="00B063A6">
        <w:rPr>
          <w:rFonts w:eastAsia="Calibri"/>
          <w:i/>
          <w:sz w:val="22"/>
          <w:lang w:eastAsia="en-US"/>
        </w:rPr>
        <w:t xml:space="preserve">необхідності коригування </w:t>
      </w:r>
    </w:p>
    <w:p w14:paraId="03887840" w14:textId="77777777" w:rsidR="001137C8" w:rsidRPr="00B063A6" w:rsidRDefault="001137C8" w:rsidP="001137C8">
      <w:pPr>
        <w:jc w:val="both"/>
        <w:rPr>
          <w:rFonts w:eastAsia="Calibri"/>
          <w:i/>
          <w:sz w:val="22"/>
          <w:lang w:eastAsia="en-US"/>
        </w:rPr>
      </w:pPr>
      <w:r w:rsidRPr="00B063A6">
        <w:rPr>
          <w:rFonts w:eastAsia="Calibri"/>
          <w:i/>
          <w:sz w:val="22"/>
          <w:lang w:eastAsia="en-US"/>
        </w:rPr>
        <w:t xml:space="preserve">фінансового результату для цілей розрахунку </w:t>
      </w:r>
    </w:p>
    <w:p w14:paraId="2579F1B7" w14:textId="77777777" w:rsidR="00880737" w:rsidRPr="00B063A6" w:rsidRDefault="001137C8" w:rsidP="001137C8">
      <w:pPr>
        <w:jc w:val="both"/>
        <w:rPr>
          <w:rFonts w:eastAsia="Calibri"/>
          <w:i/>
          <w:sz w:val="22"/>
          <w:lang w:eastAsia="en-US"/>
        </w:rPr>
      </w:pPr>
      <w:r w:rsidRPr="00B063A6">
        <w:rPr>
          <w:rFonts w:eastAsia="Calibri"/>
          <w:i/>
          <w:sz w:val="22"/>
          <w:lang w:eastAsia="en-US"/>
        </w:rPr>
        <w:t>податку на прибуток за 2015 по ряду операцій</w:t>
      </w:r>
    </w:p>
    <w:p w14:paraId="523AB160" w14:textId="77777777" w:rsidR="00880737" w:rsidRDefault="00880737" w:rsidP="00880737">
      <w:pPr>
        <w:jc w:val="both"/>
        <w:rPr>
          <w:rFonts w:eastAsia="Calibri"/>
          <w:lang w:eastAsia="en-US"/>
        </w:rPr>
      </w:pPr>
    </w:p>
    <w:p w14:paraId="30B39D0C" w14:textId="77777777" w:rsidR="007516FB" w:rsidRPr="00B063A6" w:rsidRDefault="007516FB" w:rsidP="00880737">
      <w:pPr>
        <w:jc w:val="both"/>
        <w:rPr>
          <w:rFonts w:eastAsia="Calibri"/>
          <w:lang w:eastAsia="en-US"/>
        </w:rPr>
      </w:pPr>
    </w:p>
    <w:p w14:paraId="759CA1C9" w14:textId="77777777" w:rsidR="00880737" w:rsidRPr="00B063A6" w:rsidRDefault="00880737" w:rsidP="00880737">
      <w:pPr>
        <w:ind w:left="284" w:firstLine="567"/>
        <w:jc w:val="center"/>
        <w:rPr>
          <w:rFonts w:eastAsia="Calibri"/>
          <w:b/>
          <w:lang w:eastAsia="en-US"/>
        </w:rPr>
      </w:pPr>
      <w:r w:rsidRPr="00B063A6">
        <w:rPr>
          <w:rFonts w:eastAsia="Calibri"/>
          <w:b/>
          <w:lang w:eastAsia="en-US"/>
        </w:rPr>
        <w:t>Шановний Романе Михайловичу!</w:t>
      </w:r>
    </w:p>
    <w:p w14:paraId="14F7805A" w14:textId="77777777" w:rsidR="00880737" w:rsidRDefault="00880737" w:rsidP="00880737">
      <w:pPr>
        <w:rPr>
          <w:lang w:eastAsia="en-US"/>
        </w:rPr>
      </w:pPr>
    </w:p>
    <w:p w14:paraId="7603B88F" w14:textId="77777777" w:rsidR="007516FB" w:rsidRPr="00B063A6" w:rsidRDefault="007516FB" w:rsidP="00880737">
      <w:pPr>
        <w:rPr>
          <w:lang w:eastAsia="en-US"/>
        </w:rPr>
      </w:pPr>
    </w:p>
    <w:p w14:paraId="07CC4B2D" w14:textId="77777777" w:rsidR="008A7BC5" w:rsidRPr="00B063A6" w:rsidRDefault="00880737" w:rsidP="004057A6">
      <w:pPr>
        <w:spacing w:after="120"/>
        <w:ind w:firstLine="720"/>
        <w:jc w:val="both"/>
      </w:pPr>
      <w:r w:rsidRPr="00B063A6">
        <w:t xml:space="preserve">Від імені Ради </w:t>
      </w:r>
      <w:r w:rsidR="00EE7F66" w:rsidRPr="00B063A6">
        <w:t>Д</w:t>
      </w:r>
      <w:r w:rsidRPr="00B063A6">
        <w:t>иректорів Американської торгівельної палати в Україні (надалі – Палата) та компаній-членів засвідчуємо Вам свою глибоку повагу та звертаємось із проханням щодо надання письмової консультації стосовно</w:t>
      </w:r>
      <w:r w:rsidR="00B063A6" w:rsidRPr="00B063A6">
        <w:t xml:space="preserve"> необхідності коригування фінансового результату для цілей розрахунку податку на прибуток </w:t>
      </w:r>
      <w:r w:rsidR="009750FC">
        <w:t xml:space="preserve">підприємств </w:t>
      </w:r>
      <w:r w:rsidR="00B063A6" w:rsidRPr="00B063A6">
        <w:t xml:space="preserve">за 2015 </w:t>
      </w:r>
      <w:r w:rsidR="009750FC">
        <w:t xml:space="preserve">рік </w:t>
      </w:r>
      <w:r w:rsidR="00B063A6" w:rsidRPr="00B063A6">
        <w:t>по ряду операцій, зокрема:</w:t>
      </w:r>
      <w:r w:rsidR="008A7BC5" w:rsidRPr="00B063A6">
        <w:t xml:space="preserve"> </w:t>
      </w:r>
    </w:p>
    <w:p w14:paraId="436CAF53" w14:textId="12027FE8" w:rsidR="00214716" w:rsidRPr="00B063A6" w:rsidRDefault="00B063A6" w:rsidP="004057A6">
      <w:pPr>
        <w:pStyle w:val="af6"/>
        <w:numPr>
          <w:ilvl w:val="0"/>
          <w:numId w:val="15"/>
        </w:numPr>
        <w:spacing w:after="120"/>
        <w:ind w:left="0" w:firstLine="709"/>
        <w:jc w:val="both"/>
        <w:rPr>
          <w:b/>
          <w:u w:val="single"/>
        </w:rPr>
      </w:pPr>
      <w:r w:rsidRPr="00B063A6">
        <w:rPr>
          <w:b/>
          <w:u w:val="single"/>
        </w:rPr>
        <w:t xml:space="preserve">Оподаткування </w:t>
      </w:r>
      <w:r w:rsidR="00DD3530">
        <w:rPr>
          <w:b/>
          <w:u w:val="single"/>
        </w:rPr>
        <w:t xml:space="preserve">похідного валютного інструменту, який утворився до 01.01.2015р </w:t>
      </w:r>
      <w:r w:rsidRPr="00B063A6">
        <w:rPr>
          <w:b/>
          <w:u w:val="single"/>
        </w:rPr>
        <w:t>внаслідок прив'язки договірних цін до курсу іноземної валюти</w:t>
      </w:r>
      <w:r w:rsidR="00214716" w:rsidRPr="00B063A6">
        <w:rPr>
          <w:b/>
          <w:u w:val="single"/>
        </w:rPr>
        <w:t>.</w:t>
      </w:r>
    </w:p>
    <w:p w14:paraId="3B8EE2E9" w14:textId="77777777" w:rsidR="00CB48FB" w:rsidRDefault="00114266" w:rsidP="004057A6">
      <w:pPr>
        <w:spacing w:after="120"/>
        <w:ind w:firstLine="709"/>
        <w:jc w:val="both"/>
      </w:pPr>
      <w:r>
        <w:t>Відповідно до умов контракт</w:t>
      </w:r>
      <w:r w:rsidR="00CB48FB">
        <w:t>у</w:t>
      </w:r>
      <w:r>
        <w:t xml:space="preserve"> між резидентами-платниками податку на прибуток, ціна поставленого товару прив’язується до курсу іноземної валюти і підлягає уточненню (коригуванню) на момент погашення заборгованості</w:t>
      </w:r>
      <w:r w:rsidR="00CB48FB">
        <w:t>.</w:t>
      </w:r>
    </w:p>
    <w:p w14:paraId="73A3E3BA" w14:textId="77777777" w:rsidR="00CB48FB" w:rsidRPr="00B063A6" w:rsidRDefault="00CB48FB" w:rsidP="00CB48FB">
      <w:pPr>
        <w:spacing w:after="120"/>
        <w:ind w:firstLine="709"/>
        <w:jc w:val="both"/>
      </w:pPr>
      <w:r w:rsidRPr="00B063A6">
        <w:t>Згідно МСФЗ №39 передбачається, що умови контракту, які коригують фінансові потоки на курс обміну валют, є похідним валютним інструментом.</w:t>
      </w:r>
    </w:p>
    <w:p w14:paraId="716443AA" w14:textId="77777777" w:rsidR="00CB48FB" w:rsidRDefault="00CB48FB" w:rsidP="004057A6">
      <w:pPr>
        <w:spacing w:after="120"/>
        <w:ind w:firstLine="709"/>
        <w:jc w:val="both"/>
      </w:pPr>
      <w:r>
        <w:t>Я</w:t>
      </w:r>
      <w:r w:rsidR="00114266">
        <w:t xml:space="preserve">кщо заборгованість за таким контрактом не погашається на </w:t>
      </w:r>
      <w:r>
        <w:t xml:space="preserve">дату балансу, при цьому курс іноземної валюти відрізняється від курсу, який діяв на дату постачання товару, в бухгалтерському обліку відбувається переоцінка похідного валютного </w:t>
      </w:r>
      <w:r w:rsidR="009913F1">
        <w:t>інструменту</w:t>
      </w:r>
      <w:r>
        <w:t>.</w:t>
      </w:r>
    </w:p>
    <w:p w14:paraId="3543624B" w14:textId="4E47C10C" w:rsidR="00B063A6" w:rsidRPr="00B063A6" w:rsidRDefault="00053FEE" w:rsidP="004057A6">
      <w:pPr>
        <w:spacing w:after="120"/>
        <w:ind w:firstLine="709"/>
        <w:jc w:val="both"/>
      </w:pPr>
      <w:proofErr w:type="gramStart"/>
      <w:r>
        <w:rPr>
          <w:lang w:val="ru-RU"/>
        </w:rPr>
        <w:t>Н</w:t>
      </w:r>
      <w:r w:rsidR="00207FB1">
        <w:t>а</w:t>
      </w:r>
      <w:proofErr w:type="gramEnd"/>
      <w:r w:rsidR="00207FB1">
        <w:t xml:space="preserve"> кінець 2014 року </w:t>
      </w:r>
      <w:r>
        <w:t xml:space="preserve">така переоцінка відображена </w:t>
      </w:r>
      <w:r w:rsidR="00B063A6" w:rsidRPr="00B063A6">
        <w:t>як:</w:t>
      </w:r>
    </w:p>
    <w:p w14:paraId="751E99A1" w14:textId="31C5CCF1" w:rsidR="00B063A6" w:rsidRPr="00B063A6" w:rsidRDefault="00B063A6" w:rsidP="004057A6">
      <w:pPr>
        <w:spacing w:after="120"/>
        <w:ind w:firstLine="709"/>
        <w:jc w:val="both"/>
      </w:pPr>
      <w:r>
        <w:t>- Інші доходи/</w:t>
      </w:r>
      <w:r w:rsidRPr="00B063A6">
        <w:t>витрати операційної діяльності від переоцінки вбудованого деривативу до справедливої вартості - не оплачені рахунки;</w:t>
      </w:r>
    </w:p>
    <w:p w14:paraId="31F8B325" w14:textId="77777777" w:rsidR="00B063A6" w:rsidRPr="00B063A6" w:rsidRDefault="00B063A6" w:rsidP="004057A6">
      <w:pPr>
        <w:spacing w:after="120"/>
        <w:ind w:firstLine="709"/>
        <w:jc w:val="both"/>
      </w:pPr>
      <w:r w:rsidRPr="00B063A6">
        <w:t>- Інші доходи</w:t>
      </w:r>
      <w:r>
        <w:t>/</w:t>
      </w:r>
      <w:r w:rsidRPr="00B063A6">
        <w:t>витрати операційно</w:t>
      </w:r>
      <w:r>
        <w:t>ї діяльності при перерахунку ДЗ/</w:t>
      </w:r>
      <w:r w:rsidRPr="00B063A6">
        <w:t>КЗ (відкладені кори</w:t>
      </w:r>
      <w:r>
        <w:t>гування) - частково</w:t>
      </w:r>
      <w:r w:rsidRPr="00B063A6">
        <w:t xml:space="preserve"> оплачені рахунки.</w:t>
      </w:r>
    </w:p>
    <w:p w14:paraId="460A90DC" w14:textId="4264F68E" w:rsidR="009913F1" w:rsidRDefault="009913F1" w:rsidP="004057A6">
      <w:pPr>
        <w:spacing w:after="120"/>
        <w:ind w:firstLine="709"/>
        <w:jc w:val="both"/>
      </w:pPr>
      <w:r>
        <w:t>При цьому</w:t>
      </w:r>
      <w:r w:rsidR="00CB48FB">
        <w:t xml:space="preserve"> визнання похідного інструменту</w:t>
      </w:r>
      <w:r>
        <w:t xml:space="preserve">, так само як і </w:t>
      </w:r>
      <w:r w:rsidR="00CB48FB">
        <w:t>його переоцінка на дату балансу</w:t>
      </w:r>
      <w:r>
        <w:t>, не впли</w:t>
      </w:r>
      <w:r w:rsidR="00207FB1">
        <w:t xml:space="preserve">нуло </w:t>
      </w:r>
      <w:r>
        <w:t xml:space="preserve">на податковий облік з податку на прибуток підприємств. </w:t>
      </w:r>
    </w:p>
    <w:p w14:paraId="01565431" w14:textId="3A833534" w:rsidR="00F51FD2" w:rsidRDefault="00F51FD2" w:rsidP="004057A6">
      <w:pPr>
        <w:spacing w:after="120"/>
        <w:ind w:firstLine="709"/>
        <w:jc w:val="both"/>
      </w:pPr>
      <w:r>
        <w:t xml:space="preserve">Починаючи з 01.01.2015р. </w:t>
      </w:r>
      <w:r w:rsidR="00B063A6" w:rsidRPr="00B063A6">
        <w:t xml:space="preserve">доходи (витрати) від оцінки </w:t>
      </w:r>
      <w:r w:rsidR="009913F1">
        <w:t>похідного інструменту</w:t>
      </w:r>
      <w:r w:rsidR="009913F1" w:rsidRPr="00B063A6">
        <w:t xml:space="preserve"> </w:t>
      </w:r>
      <w:r w:rsidR="00B063A6" w:rsidRPr="00B063A6">
        <w:t>визнаються як в бухгалтерському</w:t>
      </w:r>
      <w:r w:rsidR="009913F1">
        <w:t>,</w:t>
      </w:r>
      <w:r w:rsidR="00B063A6" w:rsidRPr="00B063A6">
        <w:t xml:space="preserve"> так і в податковому обліку.</w:t>
      </w:r>
      <w:r>
        <w:t xml:space="preserve"> Однак, чинна редакція ПКУ не містить спеціальних правил щодо перехідного періоду. </w:t>
      </w:r>
    </w:p>
    <w:p w14:paraId="67E87CB1" w14:textId="1F548454" w:rsidR="00B063A6" w:rsidRPr="00B063A6" w:rsidRDefault="00F51FD2" w:rsidP="004057A6">
      <w:pPr>
        <w:spacing w:after="120"/>
        <w:ind w:firstLine="709"/>
        <w:jc w:val="both"/>
      </w:pPr>
      <w:r>
        <w:lastRenderedPageBreak/>
        <w:t xml:space="preserve">Так, за даними бухгалтерського </w:t>
      </w:r>
      <w:r w:rsidR="00B063A6" w:rsidRPr="00B063A6">
        <w:t xml:space="preserve">обліку </w:t>
      </w:r>
      <w:r>
        <w:t xml:space="preserve">станом на 01.01.2015р. у підприємства </w:t>
      </w:r>
      <w:r w:rsidR="00B063A6" w:rsidRPr="00B063A6">
        <w:t xml:space="preserve">існує сальдо </w:t>
      </w:r>
      <w:r>
        <w:t xml:space="preserve">від переоцінки похідного інструмента </w:t>
      </w:r>
      <w:r w:rsidR="00207FB1">
        <w:t xml:space="preserve">(заборгованості) </w:t>
      </w:r>
      <w:r>
        <w:t>в попередньому році</w:t>
      </w:r>
      <w:r w:rsidR="00207FB1">
        <w:t xml:space="preserve">. </w:t>
      </w:r>
      <w:r w:rsidR="004165ED">
        <w:t>П</w:t>
      </w:r>
      <w:r w:rsidR="00207FB1">
        <w:t>огашення такої заборгованості в</w:t>
      </w:r>
      <w:r w:rsidR="00B063A6" w:rsidRPr="00B063A6">
        <w:t xml:space="preserve"> 2015</w:t>
      </w:r>
      <w:r w:rsidR="003A50CB">
        <w:t xml:space="preserve"> </w:t>
      </w:r>
      <w:r w:rsidR="00B063A6" w:rsidRPr="00B063A6">
        <w:t>р</w:t>
      </w:r>
      <w:r w:rsidR="003A50CB">
        <w:t>оці</w:t>
      </w:r>
      <w:r w:rsidR="004165ED">
        <w:t xml:space="preserve"> та, відповідно, коригування ціни, </w:t>
      </w:r>
      <w:r w:rsidR="00207FB1">
        <w:t xml:space="preserve">не призвело до </w:t>
      </w:r>
      <w:r w:rsidR="00B063A6" w:rsidRPr="00B063A6">
        <w:t>виникнення доходів/витрат</w:t>
      </w:r>
      <w:r w:rsidR="00207FB1">
        <w:t xml:space="preserve"> в бухгалтерському обліку</w:t>
      </w:r>
      <w:r w:rsidR="00B063A6" w:rsidRPr="00B063A6">
        <w:t>.</w:t>
      </w:r>
    </w:p>
    <w:p w14:paraId="11F6ED34" w14:textId="19BF61DD" w:rsidR="00214716" w:rsidRDefault="003A50CB" w:rsidP="004057A6">
      <w:pPr>
        <w:spacing w:after="120"/>
        <w:ind w:firstLine="709"/>
        <w:jc w:val="both"/>
        <w:rPr>
          <w:b/>
        </w:rPr>
      </w:pPr>
      <w:r w:rsidRPr="003A50CB">
        <w:rPr>
          <w:b/>
        </w:rPr>
        <w:t xml:space="preserve">Питання: Чи </w:t>
      </w:r>
      <w:r w:rsidR="00F477A9">
        <w:rPr>
          <w:b/>
        </w:rPr>
        <w:t>впливає на податковий облік з податку на прибуток підприємств погашення заборгованості, яка виникла у зв’язку з переоцінкою похідного валютного інструменту до 2015 року</w:t>
      </w:r>
      <w:r w:rsidR="00214716" w:rsidRPr="00B063A6">
        <w:rPr>
          <w:b/>
        </w:rPr>
        <w:t>?</w:t>
      </w:r>
    </w:p>
    <w:p w14:paraId="48F699EA" w14:textId="77777777" w:rsidR="00207FB1" w:rsidRPr="00B063A6" w:rsidRDefault="00207FB1" w:rsidP="004057A6">
      <w:pPr>
        <w:spacing w:after="120"/>
        <w:ind w:firstLine="709"/>
        <w:jc w:val="both"/>
        <w:rPr>
          <w:b/>
        </w:rPr>
      </w:pPr>
    </w:p>
    <w:p w14:paraId="377B7E6D" w14:textId="77777777" w:rsidR="00214716" w:rsidRPr="006563C5" w:rsidRDefault="00860BC6" w:rsidP="00860BC6">
      <w:pPr>
        <w:pStyle w:val="af6"/>
        <w:numPr>
          <w:ilvl w:val="0"/>
          <w:numId w:val="15"/>
        </w:numPr>
        <w:ind w:left="0" w:firstLine="709"/>
        <w:jc w:val="both"/>
        <w:rPr>
          <w:b/>
          <w:u w:val="single"/>
        </w:rPr>
      </w:pPr>
      <w:r w:rsidRPr="006563C5">
        <w:rPr>
          <w:b/>
          <w:u w:val="single"/>
        </w:rPr>
        <w:t>Визначення механізму формування балансової вартості основних засобів для цілей податкового обліку</w:t>
      </w:r>
      <w:r w:rsidR="00214716" w:rsidRPr="006563C5">
        <w:rPr>
          <w:b/>
          <w:u w:val="single"/>
        </w:rPr>
        <w:t>.</w:t>
      </w:r>
    </w:p>
    <w:p w14:paraId="17ADDBF7" w14:textId="77777777" w:rsidR="00214716" w:rsidRPr="006563C5" w:rsidRDefault="00214716" w:rsidP="00214716">
      <w:pPr>
        <w:pStyle w:val="af6"/>
        <w:jc w:val="both"/>
        <w:rPr>
          <w:b/>
          <w:u w:val="single"/>
        </w:rPr>
      </w:pPr>
    </w:p>
    <w:p w14:paraId="03DC4756" w14:textId="77777777" w:rsidR="00030A01" w:rsidRPr="006563C5" w:rsidRDefault="00030A01" w:rsidP="00030A01">
      <w:pPr>
        <w:spacing w:after="120"/>
        <w:ind w:firstLine="709"/>
        <w:jc w:val="both"/>
      </w:pPr>
      <w:r w:rsidRPr="006563C5">
        <w:t>Відповідно до пп. 138.3 ПКУ розрахунок амортизації основних засобів і нематеріальних активів здійснюється відповідно до стандартів бухгалтерського обліку.</w:t>
      </w:r>
    </w:p>
    <w:p w14:paraId="34A94EFD" w14:textId="77777777" w:rsidR="00826599" w:rsidRPr="006563C5" w:rsidRDefault="00826599" w:rsidP="004057A6">
      <w:pPr>
        <w:spacing w:after="120"/>
        <w:ind w:firstLine="709"/>
        <w:jc w:val="both"/>
      </w:pPr>
      <w:r w:rsidRPr="006563C5">
        <w:t xml:space="preserve">В обліку підприємства станом на 31.12.2014 значаться відмінні один від одного вартості капітальних інвестицій (не введені в експлуатацію основні засоби та їх додаткові вартості) в бухгалтерському і податковому обліку. </w:t>
      </w:r>
      <w:r w:rsidR="00DA5615" w:rsidRPr="006563C5">
        <w:t xml:space="preserve"> </w:t>
      </w:r>
    </w:p>
    <w:p w14:paraId="5E4801D8" w14:textId="77777777" w:rsidR="00DA5615" w:rsidRPr="006563C5" w:rsidRDefault="00DA5615" w:rsidP="004057A6">
      <w:pPr>
        <w:spacing w:after="120"/>
        <w:ind w:firstLine="709"/>
        <w:jc w:val="both"/>
      </w:pPr>
      <w:r w:rsidRPr="006563C5">
        <w:t>Основний засіб введений в експлуатацію в 2015 році, отже його вартість повинна формуватися  відповідно до національних положень (стандартів) бухгалтерського обліку або міжнародних стандартів фінансової звітності без урахування вимог п. 11 підрозділу 4 розділу ХХ Перехідних положень ПКУ.</w:t>
      </w:r>
    </w:p>
    <w:p w14:paraId="0B7BB5AE" w14:textId="77777777" w:rsidR="00030A01" w:rsidRPr="00DA5615" w:rsidRDefault="00DA1E21" w:rsidP="00DA1E21">
      <w:pPr>
        <w:spacing w:after="120"/>
        <w:ind w:firstLine="709"/>
        <w:jc w:val="both"/>
      </w:pPr>
      <w:r w:rsidRPr="006563C5">
        <w:t>Вимоги пункту</w:t>
      </w:r>
      <w:r w:rsidR="00030A01" w:rsidRPr="006563C5">
        <w:t xml:space="preserve"> 11 підрозділу 4 розділу ХХ Перехідних положень ПКУ </w:t>
      </w:r>
      <w:r w:rsidRPr="006563C5">
        <w:t xml:space="preserve">щодо порядку визначення розміру балансової вартості </w:t>
      </w:r>
      <w:r w:rsidR="00030A01" w:rsidRPr="006563C5">
        <w:t xml:space="preserve">для цілей розрахунку амортизації </w:t>
      </w:r>
      <w:r w:rsidRPr="006563C5">
        <w:t>застосовуються до основних засобів та матеріальних активів, які введені в експлуатацію до 01.01.2015.</w:t>
      </w:r>
      <w:r>
        <w:t xml:space="preserve">  </w:t>
      </w:r>
      <w:r w:rsidR="00030A01">
        <w:t xml:space="preserve"> </w:t>
      </w:r>
    </w:p>
    <w:p w14:paraId="23F59181" w14:textId="7CF27725" w:rsidR="00214716" w:rsidRPr="001C0571" w:rsidRDefault="00DA1E21" w:rsidP="001C0571">
      <w:pPr>
        <w:spacing w:after="120"/>
        <w:ind w:firstLine="709"/>
        <w:jc w:val="both"/>
      </w:pPr>
      <w:r w:rsidRPr="001C0571">
        <w:rPr>
          <w:b/>
        </w:rPr>
        <w:t xml:space="preserve"> Просимо підтвердити правомірність нашої позиції</w:t>
      </w:r>
      <w:r>
        <w:t xml:space="preserve">.  </w:t>
      </w:r>
    </w:p>
    <w:p w14:paraId="1EDBCBAC" w14:textId="77777777" w:rsidR="00214716" w:rsidRPr="00B063A6" w:rsidRDefault="007516FB" w:rsidP="004057A6">
      <w:pPr>
        <w:pStyle w:val="af6"/>
        <w:numPr>
          <w:ilvl w:val="0"/>
          <w:numId w:val="15"/>
        </w:numPr>
        <w:spacing w:after="120"/>
        <w:ind w:left="0" w:firstLine="709"/>
        <w:jc w:val="both"/>
        <w:rPr>
          <w:b/>
          <w:u w:val="single"/>
        </w:rPr>
      </w:pPr>
      <w:r w:rsidRPr="007516FB">
        <w:rPr>
          <w:b/>
          <w:u w:val="single"/>
        </w:rPr>
        <w:t>Вплив на балансову вартість основних засобів в податковому обліку переоцінки, проведеної після 01.01.2015 за рахунок капіталу</w:t>
      </w:r>
      <w:r w:rsidR="00214716" w:rsidRPr="00B063A6">
        <w:rPr>
          <w:b/>
          <w:u w:val="single"/>
        </w:rPr>
        <w:t>.</w:t>
      </w:r>
    </w:p>
    <w:p w14:paraId="712135BC" w14:textId="77777777" w:rsidR="00777EE6" w:rsidRDefault="00777EE6" w:rsidP="004057A6">
      <w:pPr>
        <w:pStyle w:val="Default"/>
        <w:spacing w:after="120"/>
        <w:ind w:firstLine="709"/>
        <w:jc w:val="both"/>
        <w:rPr>
          <w:color w:val="auto"/>
          <w:lang w:val="uk-UA" w:eastAsia="uk-UA"/>
        </w:rPr>
      </w:pPr>
      <w:r w:rsidRPr="00777EE6">
        <w:rPr>
          <w:color w:val="auto"/>
          <w:lang w:val="uk-UA" w:eastAsia="uk-UA"/>
        </w:rPr>
        <w:t xml:space="preserve">Податковим кодексом України з 01.01.2015 визначено порядок формування різниць, </w:t>
      </w:r>
      <w:r>
        <w:rPr>
          <w:color w:val="auto"/>
          <w:lang w:val="uk-UA" w:eastAsia="uk-UA"/>
        </w:rPr>
        <w:t>у</w:t>
      </w:r>
      <w:r w:rsidRPr="00777EE6">
        <w:rPr>
          <w:color w:val="auto"/>
          <w:lang w:val="uk-UA" w:eastAsia="uk-UA"/>
        </w:rPr>
        <w:t xml:space="preserve"> тому числі підлягає формуванню різниця, пов'язана з переоцінкою основних засобів і нематеріальних активів, однак не визначений механізм формування балансової вартості з метою податкового обліку в частині переоцінки.</w:t>
      </w:r>
    </w:p>
    <w:p w14:paraId="22176C9A" w14:textId="77777777" w:rsidR="00214716" w:rsidRPr="00B063A6" w:rsidRDefault="00777EE6" w:rsidP="004057A6">
      <w:pPr>
        <w:pStyle w:val="Default"/>
        <w:spacing w:after="120"/>
        <w:ind w:firstLine="709"/>
        <w:jc w:val="both"/>
        <w:rPr>
          <w:b/>
          <w:color w:val="auto"/>
          <w:lang w:val="uk-UA"/>
        </w:rPr>
      </w:pPr>
      <w:r w:rsidRPr="00777EE6">
        <w:rPr>
          <w:b/>
          <w:color w:val="auto"/>
          <w:lang w:val="uk-UA"/>
        </w:rPr>
        <w:t>Питання: Чи необхідно коригувати фінансовий результат для цілей розрахунку податку на прибуток, якщо переоцінка основних засобів п</w:t>
      </w:r>
      <w:r>
        <w:rPr>
          <w:b/>
          <w:color w:val="auto"/>
          <w:lang w:val="uk-UA"/>
        </w:rPr>
        <w:t xml:space="preserve">роведена за рахунок капіталу, і, </w:t>
      </w:r>
      <w:r w:rsidRPr="00777EE6">
        <w:rPr>
          <w:b/>
          <w:color w:val="auto"/>
          <w:lang w:val="uk-UA"/>
        </w:rPr>
        <w:t>отже, не вплинула на фінансовий результат?</w:t>
      </w:r>
    </w:p>
    <w:p w14:paraId="77AE1ACC" w14:textId="77777777" w:rsidR="00214716" w:rsidRPr="00B063A6" w:rsidRDefault="00143016" w:rsidP="004057A6">
      <w:pPr>
        <w:pStyle w:val="af6"/>
        <w:numPr>
          <w:ilvl w:val="0"/>
          <w:numId w:val="15"/>
        </w:numPr>
        <w:spacing w:after="120"/>
        <w:ind w:left="0" w:firstLine="709"/>
        <w:jc w:val="both"/>
        <w:rPr>
          <w:b/>
          <w:u w:val="single"/>
        </w:rPr>
      </w:pPr>
      <w:r w:rsidRPr="00143016">
        <w:rPr>
          <w:b/>
          <w:u w:val="single"/>
        </w:rPr>
        <w:t>Вплив резерву за програмами пенсійного забезпечення на розрахунок податку на прибуток в контексті пп.139.1.1 ПКУ</w:t>
      </w:r>
      <w:r w:rsidR="00214716" w:rsidRPr="00B063A6">
        <w:rPr>
          <w:b/>
          <w:u w:val="single"/>
        </w:rPr>
        <w:t xml:space="preserve">.  </w:t>
      </w:r>
    </w:p>
    <w:p w14:paraId="6D46EF8E" w14:textId="77777777"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color w:val="000000"/>
        </w:rPr>
      </w:pPr>
      <w:r w:rsidRPr="00143016">
        <w:rPr>
          <w:rFonts w:eastAsiaTheme="minorHAnsi"/>
          <w:color w:val="000000"/>
        </w:rPr>
        <w:t>Відповідно до пп. 139.1.1 ПКУ</w:t>
      </w:r>
      <w:r>
        <w:rPr>
          <w:rFonts w:eastAsiaTheme="minorHAnsi"/>
          <w:color w:val="000000"/>
        </w:rPr>
        <w:t>:</w:t>
      </w:r>
      <w:r w:rsidRPr="00143016">
        <w:rPr>
          <w:rFonts w:eastAsiaTheme="minorHAnsi"/>
          <w:color w:val="000000"/>
        </w:rPr>
        <w:t xml:space="preserve"> фінансовий результат до оподаткування збільшується на суму витрат на формування резервів і забезпечень для відшкодування наступних (майбутніх) витрат (</w:t>
      </w:r>
      <w:r w:rsidRPr="00143016">
        <w:rPr>
          <w:rFonts w:eastAsiaTheme="minorHAnsi"/>
          <w:b/>
          <w:color w:val="000000"/>
        </w:rPr>
        <w:t>крім</w:t>
      </w:r>
      <w:r w:rsidRPr="00143016">
        <w:rPr>
          <w:rFonts w:eastAsiaTheme="minorHAnsi"/>
          <w:color w:val="000000"/>
        </w:rPr>
        <w:t xml:space="preserve"> забезпечень на відпустки працівникам та інші виплати, </w:t>
      </w:r>
      <w:r w:rsidRPr="00143016">
        <w:rPr>
          <w:rFonts w:eastAsiaTheme="minorHAnsi"/>
          <w:b/>
          <w:color w:val="000000"/>
        </w:rPr>
        <w:t>пов'язаних з оплатою праці</w:t>
      </w:r>
      <w:r w:rsidRPr="00143016">
        <w:rPr>
          <w:rFonts w:eastAsiaTheme="minorHAnsi"/>
          <w:color w:val="000000"/>
        </w:rPr>
        <w:t xml:space="preserve">, </w:t>
      </w:r>
      <w:r w:rsidRPr="00143016">
        <w:rPr>
          <w:rFonts w:eastAsiaTheme="minorHAnsi"/>
          <w:color w:val="000000"/>
        </w:rPr>
        <w:lastRenderedPageBreak/>
        <w:t>і резервів, визначених пунктами 139.2 - 139.3 цієї статті) відповідно до національних положень (стандартів) бухгалтерського обліку або міжнародних стандартів фінансової звітності.</w:t>
      </w:r>
    </w:p>
    <w:p w14:paraId="556106B5" w14:textId="77777777" w:rsidR="00214716" w:rsidRPr="00B063A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 w:rsidRPr="00143016">
        <w:t xml:space="preserve">Положення № 637, </w:t>
      </w:r>
      <w:proofErr w:type="spellStart"/>
      <w:r w:rsidRPr="00143016">
        <w:t>абз</w:t>
      </w:r>
      <w:proofErr w:type="spellEnd"/>
      <w:r w:rsidRPr="00143016">
        <w:t>. 2 п. 1.2: Виплати, пов'язані з оплатою праці - це виплати, віднесені до фонду оплати праці, а також до інших виплат, що не належать до цього фонду згідно з Інструкцією № 5</w:t>
      </w:r>
      <w:r w:rsidR="00214716" w:rsidRPr="00B063A6">
        <w:t xml:space="preserve">. </w:t>
      </w:r>
    </w:p>
    <w:p w14:paraId="064B2BCB" w14:textId="77777777"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Витяги з Інструкції №5:</w:t>
      </w:r>
    </w:p>
    <w:p w14:paraId="0CDBBCA7" w14:textId="77777777"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3.6. Одноразова допомога працівникам, які виходять на пенсію відповідно до чинного законодавства та колективними договорами (включаючи грошову допомогу державним службовцям та науковим (науково-педагогічним) працівникам).</w:t>
      </w:r>
    </w:p>
    <w:p w14:paraId="64E10518" w14:textId="77777777" w:rsidR="002147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3.11. Витрати підприємств на покриття витрат Пенсійного фонду України і т.д.</w:t>
      </w:r>
    </w:p>
    <w:p w14:paraId="278D4CED" w14:textId="77777777"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 w:rsidRPr="00143016">
        <w:t>МСБО 19. «Виплати працівникам»:</w:t>
      </w:r>
    </w:p>
    <w:p w14:paraId="72CCE674" w14:textId="77777777" w:rsidR="00214716" w:rsidRPr="00E74AD4" w:rsidRDefault="00214716" w:rsidP="004057A6">
      <w:pPr>
        <w:autoSpaceDE w:val="0"/>
        <w:autoSpaceDN w:val="0"/>
        <w:adjustRightInd w:val="0"/>
        <w:spacing w:after="120"/>
        <w:ind w:firstLine="709"/>
        <w:jc w:val="both"/>
        <w:rPr>
          <w:u w:val="single"/>
        </w:rPr>
      </w:pPr>
      <w:r w:rsidRPr="00E74AD4">
        <w:rPr>
          <w:u w:val="single"/>
        </w:rPr>
        <w:t xml:space="preserve">5. </w:t>
      </w:r>
      <w:r w:rsidR="00143016" w:rsidRPr="00E74AD4">
        <w:rPr>
          <w:u w:val="single"/>
        </w:rPr>
        <w:t>Виплати працівникам включають</w:t>
      </w:r>
      <w:r w:rsidRPr="00E74AD4">
        <w:rPr>
          <w:u w:val="single"/>
        </w:rPr>
        <w:t>:</w:t>
      </w:r>
    </w:p>
    <w:p w14:paraId="39B1DF7C" w14:textId="77777777" w:rsidR="00214716" w:rsidRPr="00B063A6" w:rsidRDefault="00143016" w:rsidP="004057A6">
      <w:pPr>
        <w:pStyle w:val="af6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709"/>
        <w:jc w:val="both"/>
      </w:pPr>
      <w:r w:rsidRPr="00143016">
        <w:t>короткострокові виплати працівникам, такі як зазначені далі, якщо очікується, що вони будуть повністю оплачені в повному обсязі протягом дванадцяти місяців після закінчення річного звітного періоду, в якому працівники надавали відповідні послуги</w:t>
      </w:r>
      <w:r w:rsidR="00214716" w:rsidRPr="00B063A6">
        <w:t>:</w:t>
      </w:r>
    </w:p>
    <w:p w14:paraId="77D76EE3" w14:textId="77777777"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(і) заробітна плата, внески на соціальне забезпечення;</w:t>
      </w:r>
    </w:p>
    <w:p w14:paraId="1EC5E850" w14:textId="77777777"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(</w:t>
      </w:r>
      <w:proofErr w:type="spellStart"/>
      <w:r>
        <w:t>іi</w:t>
      </w:r>
      <w:proofErr w:type="spellEnd"/>
      <w:r>
        <w:t>) оплачені щорічні відпустки та тимчасова непрацездатність;</w:t>
      </w:r>
    </w:p>
    <w:p w14:paraId="296E03A1" w14:textId="77777777"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(</w:t>
      </w:r>
      <w:proofErr w:type="spellStart"/>
      <w:r>
        <w:t>іii</w:t>
      </w:r>
      <w:proofErr w:type="spellEnd"/>
      <w:r>
        <w:t>) участь у прибутку та преміюванні, і</w:t>
      </w:r>
    </w:p>
    <w:p w14:paraId="7C8E04A9" w14:textId="77777777"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>
        <w:t>(</w:t>
      </w:r>
      <w:proofErr w:type="spellStart"/>
      <w:r>
        <w:t>іv</w:t>
      </w:r>
      <w:proofErr w:type="spellEnd"/>
      <w:r>
        <w:t xml:space="preserve">) </w:t>
      </w:r>
      <w:proofErr w:type="spellStart"/>
      <w:r>
        <w:t>негрошові</w:t>
      </w:r>
      <w:proofErr w:type="spellEnd"/>
      <w:r>
        <w:t xml:space="preserve"> пільги нинішнім працівникам (такі як медичне обслуговування, забезпечення житлом, автомобілів, а також надання безкоштовних або субсидованих товарів або послуг);</w:t>
      </w:r>
      <w:r w:rsidRPr="00B063A6">
        <w:rPr>
          <w:b/>
        </w:rPr>
        <w:t xml:space="preserve"> </w:t>
      </w:r>
    </w:p>
    <w:p w14:paraId="6F55CB0A" w14:textId="77777777" w:rsidR="00214716" w:rsidRPr="00B063A6" w:rsidRDefault="00214716" w:rsidP="004057A6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B063A6">
        <w:rPr>
          <w:b/>
        </w:rPr>
        <w:t xml:space="preserve">(i) </w:t>
      </w:r>
      <w:r w:rsidR="00143016" w:rsidRPr="00143016">
        <w:rPr>
          <w:b/>
        </w:rPr>
        <w:t>пенсії (наприклад, пенсії та одноразові виплати при виході на пенсію);</w:t>
      </w:r>
    </w:p>
    <w:p w14:paraId="495B4461" w14:textId="77777777" w:rsidR="00214716" w:rsidRDefault="0059718C" w:rsidP="004057A6">
      <w:pPr>
        <w:autoSpaceDE w:val="0"/>
        <w:autoSpaceDN w:val="0"/>
        <w:adjustRightInd w:val="0"/>
        <w:spacing w:after="120"/>
        <w:ind w:firstLine="709"/>
        <w:jc w:val="both"/>
      </w:pPr>
      <w:r w:rsidRPr="0059718C">
        <w:t>Іншими словами, можна зробити висновок, що до виплат</w:t>
      </w:r>
      <w:r>
        <w:t>,</w:t>
      </w:r>
      <w:r w:rsidRPr="0059718C">
        <w:t xml:space="preserve"> пов'язаним з оплатою праці, також відносяться резерви за програмами пенсійного забезпечення та інших довгострокових виплат, отже, фінансовий результат для цілей розрахунку податку на прибуток не коригується.</w:t>
      </w:r>
    </w:p>
    <w:p w14:paraId="4D5B1FEB" w14:textId="77777777" w:rsidR="00214716" w:rsidRPr="00B063A6" w:rsidRDefault="0059718C" w:rsidP="004057A6">
      <w:pPr>
        <w:pStyle w:val="Default"/>
        <w:spacing w:after="120"/>
        <w:ind w:firstLine="709"/>
        <w:jc w:val="both"/>
        <w:rPr>
          <w:b/>
          <w:color w:val="auto"/>
          <w:lang w:val="uk-UA"/>
        </w:rPr>
      </w:pPr>
      <w:r w:rsidRPr="0059718C">
        <w:rPr>
          <w:b/>
          <w:color w:val="auto"/>
          <w:lang w:val="uk-UA"/>
        </w:rPr>
        <w:t>Питання: Чи відноситься резерв за програмами пенсійного забезпечення до виплат, пов'язаних з оплатою праці, якщо він включає і виплати пенсій, і одноразові виплати при звільненні у зв'язку з виходом на пенсію, та ювілейні премії, з огляду на це фінансовий результат на такі резерви не коригується</w:t>
      </w:r>
      <w:r w:rsidR="00214716" w:rsidRPr="00B063A6">
        <w:rPr>
          <w:b/>
          <w:color w:val="auto"/>
          <w:lang w:val="uk-UA"/>
        </w:rPr>
        <w:t xml:space="preserve">? </w:t>
      </w:r>
    </w:p>
    <w:p w14:paraId="3BE45CAD" w14:textId="77777777" w:rsidR="0035701C" w:rsidRDefault="0035701C" w:rsidP="004057A6">
      <w:pPr>
        <w:spacing w:after="120"/>
        <w:ind w:firstLine="709"/>
        <w:jc w:val="both"/>
        <w:rPr>
          <w:bCs/>
        </w:rPr>
      </w:pPr>
    </w:p>
    <w:p w14:paraId="42C43EAD" w14:textId="77777777" w:rsidR="0035701C" w:rsidRPr="006563C5" w:rsidRDefault="0035701C" w:rsidP="0035701C">
      <w:pPr>
        <w:pStyle w:val="af6"/>
        <w:numPr>
          <w:ilvl w:val="0"/>
          <w:numId w:val="15"/>
        </w:numPr>
        <w:spacing w:after="120"/>
        <w:ind w:left="0" w:firstLine="709"/>
        <w:jc w:val="both"/>
        <w:rPr>
          <w:b/>
          <w:u w:val="single"/>
        </w:rPr>
      </w:pPr>
      <w:r w:rsidRPr="006563C5">
        <w:rPr>
          <w:b/>
          <w:u w:val="single"/>
        </w:rPr>
        <w:t xml:space="preserve">Застосування норм п.140.2 ПКУ платником податків з від’ємним значенням суми фінансового результату до оподаткування, фінансових витрат та суми амортизаційних відрахувань за даними фінансової звітності звітного податкового періоду. </w:t>
      </w:r>
    </w:p>
    <w:p w14:paraId="7DA546EA" w14:textId="77777777" w:rsidR="0035701C" w:rsidRPr="006563C5" w:rsidRDefault="00292DE8" w:rsidP="004057A6">
      <w:pPr>
        <w:spacing w:after="120"/>
        <w:ind w:firstLine="709"/>
        <w:jc w:val="both"/>
        <w:rPr>
          <w:bCs/>
        </w:rPr>
      </w:pPr>
      <w:r w:rsidRPr="006563C5">
        <w:rPr>
          <w:bCs/>
        </w:rPr>
        <w:t xml:space="preserve">Відповідно до п.140.2 ПКУ платники податків, у яких сума боргових зобов’язань по </w:t>
      </w:r>
      <w:r w:rsidR="00081EE6" w:rsidRPr="006563C5">
        <w:rPr>
          <w:bCs/>
        </w:rPr>
        <w:t>фінансових операціях</w:t>
      </w:r>
      <w:r w:rsidRPr="006563C5">
        <w:rPr>
          <w:bCs/>
        </w:rPr>
        <w:t xml:space="preserve"> </w:t>
      </w:r>
      <w:r w:rsidR="00081EE6" w:rsidRPr="006563C5">
        <w:rPr>
          <w:bCs/>
        </w:rPr>
        <w:t>з пов’язаними особами-</w:t>
      </w:r>
      <w:r w:rsidRPr="006563C5">
        <w:rPr>
          <w:bCs/>
        </w:rPr>
        <w:t>нерезидент</w:t>
      </w:r>
      <w:r w:rsidR="00081EE6" w:rsidRPr="006563C5">
        <w:rPr>
          <w:bCs/>
        </w:rPr>
        <w:t>ами</w:t>
      </w:r>
      <w:r w:rsidRPr="006563C5">
        <w:rPr>
          <w:bCs/>
        </w:rPr>
        <w:t xml:space="preserve"> перевищує суму власного капіталу більш ніж в 3,5 рази (для фінансових установ – більш ніж в 10 разів), збільшують фінансовий результат до оподаткування на суму перевищення нарахованих у бухгалтерському обліку процентів за кредитами, позиками та іншими борговими зобов'язаннями над 50 відсотками суми </w:t>
      </w:r>
      <w:r w:rsidRPr="006563C5">
        <w:rPr>
          <w:bCs/>
        </w:rPr>
        <w:lastRenderedPageBreak/>
        <w:t>фінансового результату до оподаткування, фінансових витрат та суми амортизаційних відрахувань за даними фінансової звітності звітного податкового періоду, в якому здійснюється нарахування таких процентів.</w:t>
      </w:r>
    </w:p>
    <w:p w14:paraId="489E7791" w14:textId="77777777" w:rsidR="00906617" w:rsidRPr="006563C5" w:rsidRDefault="00081EE6" w:rsidP="004057A6">
      <w:pPr>
        <w:spacing w:after="120"/>
        <w:ind w:firstLine="709"/>
        <w:jc w:val="both"/>
        <w:rPr>
          <w:bCs/>
        </w:rPr>
      </w:pPr>
      <w:r w:rsidRPr="006563C5">
        <w:rPr>
          <w:bCs/>
          <w:lang w:val="ru-RU"/>
        </w:rPr>
        <w:t>Я</w:t>
      </w:r>
      <w:r w:rsidR="00292DE8" w:rsidRPr="006563C5">
        <w:rPr>
          <w:bCs/>
        </w:rPr>
        <w:t xml:space="preserve">к вбачається, даною нормою законодавець ставив на меті створення бар’єру для </w:t>
      </w:r>
      <w:r w:rsidRPr="006563C5">
        <w:rPr>
          <w:bCs/>
        </w:rPr>
        <w:t xml:space="preserve">недопущення </w:t>
      </w:r>
      <w:r w:rsidR="00292DE8" w:rsidRPr="006563C5">
        <w:rPr>
          <w:bCs/>
        </w:rPr>
        <w:t xml:space="preserve">зниження податкової бази з податку на прибуток на </w:t>
      </w:r>
      <w:r w:rsidR="00451B9B" w:rsidRPr="006563C5">
        <w:rPr>
          <w:bCs/>
        </w:rPr>
        <w:t xml:space="preserve">частину </w:t>
      </w:r>
      <w:r w:rsidR="00292DE8" w:rsidRPr="006563C5">
        <w:rPr>
          <w:bCs/>
        </w:rPr>
        <w:t xml:space="preserve">нарахованих відсотків </w:t>
      </w:r>
      <w:proofErr w:type="gramStart"/>
      <w:r w:rsidR="00451B9B" w:rsidRPr="006563C5">
        <w:rPr>
          <w:bCs/>
        </w:rPr>
        <w:t>в</w:t>
      </w:r>
      <w:proofErr w:type="gramEnd"/>
      <w:r w:rsidR="00451B9B" w:rsidRPr="006563C5">
        <w:rPr>
          <w:bCs/>
        </w:rPr>
        <w:t>ід пов’язаних осіб-нерези</w:t>
      </w:r>
      <w:r w:rsidR="00906617" w:rsidRPr="006563C5">
        <w:rPr>
          <w:bCs/>
        </w:rPr>
        <w:t>дентів.</w:t>
      </w:r>
    </w:p>
    <w:p w14:paraId="025DD98F" w14:textId="7CD1D181" w:rsidR="00292DE8" w:rsidRPr="006563C5" w:rsidRDefault="00906617" w:rsidP="004057A6">
      <w:pPr>
        <w:spacing w:after="120"/>
        <w:ind w:firstLine="709"/>
        <w:jc w:val="both"/>
        <w:rPr>
          <w:bCs/>
        </w:rPr>
      </w:pPr>
      <w:r w:rsidRPr="006563C5">
        <w:rPr>
          <w:bCs/>
        </w:rPr>
        <w:t xml:space="preserve">Однак наразі зміст п.140.2 ПКУ викладений таким чином, що </w:t>
      </w:r>
      <w:r w:rsidR="00461C36" w:rsidRPr="006563C5">
        <w:rPr>
          <w:bCs/>
        </w:rPr>
        <w:t xml:space="preserve">може </w:t>
      </w:r>
      <w:r w:rsidRPr="006563C5">
        <w:rPr>
          <w:bCs/>
        </w:rPr>
        <w:t>створ</w:t>
      </w:r>
      <w:r w:rsidR="00461C36" w:rsidRPr="006563C5">
        <w:rPr>
          <w:bCs/>
        </w:rPr>
        <w:t>ити</w:t>
      </w:r>
      <w:r w:rsidRPr="006563C5">
        <w:rPr>
          <w:bCs/>
        </w:rPr>
        <w:t xml:space="preserve"> негативні наслідки для тих платників, у яких значення суми фінансового результату до оподаткування, фінансових витрат та суми амортизаційних відрахувань за даними фінансової звітності звітного податкового періоду</w:t>
      </w:r>
      <w:r w:rsidR="00081EE6" w:rsidRPr="006563C5">
        <w:rPr>
          <w:bCs/>
        </w:rPr>
        <w:t xml:space="preserve"> є від’ємним. </w:t>
      </w:r>
      <w:r w:rsidR="00461C36" w:rsidRPr="006563C5">
        <w:rPr>
          <w:bCs/>
        </w:rPr>
        <w:t>Так, з</w:t>
      </w:r>
      <w:r w:rsidR="00081EE6" w:rsidRPr="006563C5">
        <w:rPr>
          <w:bCs/>
        </w:rPr>
        <w:t xml:space="preserve"> </w:t>
      </w:r>
      <w:r w:rsidR="0018388E" w:rsidRPr="00E74AD4">
        <w:rPr>
          <w:bCs/>
        </w:rPr>
        <w:t>цього</w:t>
      </w:r>
      <w:r w:rsidR="00081EE6" w:rsidRPr="006563C5">
        <w:rPr>
          <w:bCs/>
        </w:rPr>
        <w:t xml:space="preserve"> випливає, що </w:t>
      </w:r>
      <w:r w:rsidR="007F3E5C" w:rsidRPr="006563C5">
        <w:rPr>
          <w:bCs/>
        </w:rPr>
        <w:t xml:space="preserve">податкова різниця, яка </w:t>
      </w:r>
      <w:r w:rsidR="00081EE6" w:rsidRPr="006563C5">
        <w:rPr>
          <w:bCs/>
        </w:rPr>
        <w:t>збільшує</w:t>
      </w:r>
      <w:r w:rsidR="007F3E5C" w:rsidRPr="006563C5">
        <w:rPr>
          <w:bCs/>
        </w:rPr>
        <w:t xml:space="preserve"> фінансовий результат, включає не тільки всю суму нарахованих відсотків, але і 50% </w:t>
      </w:r>
      <w:r w:rsidR="00146EEB" w:rsidRPr="006563C5">
        <w:rPr>
          <w:bCs/>
        </w:rPr>
        <w:t>від’ємного</w:t>
      </w:r>
      <w:r w:rsidR="007F3E5C" w:rsidRPr="006563C5">
        <w:rPr>
          <w:bCs/>
        </w:rPr>
        <w:t xml:space="preserve"> показника </w:t>
      </w:r>
      <w:r w:rsidR="00146EEB" w:rsidRPr="006563C5">
        <w:rPr>
          <w:bCs/>
        </w:rPr>
        <w:t>фінансового результату до оподаткування, фінансових витрат та суми амортизаційних відрахувань</w:t>
      </w:r>
      <w:r w:rsidR="00081EE6" w:rsidRPr="006563C5">
        <w:rPr>
          <w:bCs/>
        </w:rPr>
        <w:t xml:space="preserve">. </w:t>
      </w:r>
    </w:p>
    <w:p w14:paraId="656FFB4B" w14:textId="77777777" w:rsidR="00146EEB" w:rsidRPr="006563C5" w:rsidRDefault="00146EEB" w:rsidP="004057A6">
      <w:pPr>
        <w:spacing w:after="120"/>
        <w:ind w:firstLine="709"/>
        <w:jc w:val="both"/>
        <w:rPr>
          <w:bCs/>
        </w:rPr>
      </w:pPr>
      <w:r w:rsidRPr="006563C5">
        <w:rPr>
          <w:bCs/>
        </w:rPr>
        <w:t xml:space="preserve">Вочевидь така ситуація є технічною помилкою, </w:t>
      </w:r>
      <w:r w:rsidR="00081EE6" w:rsidRPr="006563C5">
        <w:rPr>
          <w:bCs/>
        </w:rPr>
        <w:t xml:space="preserve">адже при тлумаченні </w:t>
      </w:r>
      <w:r w:rsidR="009D0F4A" w:rsidRPr="006563C5">
        <w:rPr>
          <w:bCs/>
        </w:rPr>
        <w:t>цієї норми</w:t>
      </w:r>
      <w:r w:rsidR="00081EE6" w:rsidRPr="006563C5">
        <w:rPr>
          <w:bCs/>
        </w:rPr>
        <w:t xml:space="preserve"> в системному зв’язку з іншими пунктами</w:t>
      </w:r>
      <w:r w:rsidR="009D0F4A" w:rsidRPr="006563C5">
        <w:rPr>
          <w:bCs/>
        </w:rPr>
        <w:t xml:space="preserve"> ст.140 ПКУ (приміром, п.140.3 ПКУ) </w:t>
      </w:r>
      <w:r w:rsidR="00081EE6" w:rsidRPr="006563C5">
        <w:rPr>
          <w:bCs/>
        </w:rPr>
        <w:t>можна дійти висновку, що податкова різниця</w:t>
      </w:r>
      <w:r w:rsidR="009D0F4A" w:rsidRPr="006563C5">
        <w:rPr>
          <w:bCs/>
        </w:rPr>
        <w:t xml:space="preserve"> має включати саме нараховані проценти</w:t>
      </w:r>
      <w:r w:rsidR="00D702FC" w:rsidRPr="006563C5">
        <w:rPr>
          <w:bCs/>
        </w:rPr>
        <w:t xml:space="preserve"> за борговими зобов’язаннями</w:t>
      </w:r>
      <w:r w:rsidR="009D0F4A" w:rsidRPr="006563C5">
        <w:rPr>
          <w:bCs/>
        </w:rPr>
        <w:t>, але аж ніяк не</w:t>
      </w:r>
      <w:r w:rsidR="00D702FC" w:rsidRPr="006563C5">
        <w:rPr>
          <w:bCs/>
        </w:rPr>
        <w:t xml:space="preserve"> 50%</w:t>
      </w:r>
      <w:r w:rsidR="009D0F4A" w:rsidRPr="006563C5">
        <w:rPr>
          <w:bCs/>
        </w:rPr>
        <w:t xml:space="preserve"> </w:t>
      </w:r>
      <w:r w:rsidR="00DD3530" w:rsidRPr="006563C5">
        <w:rPr>
          <w:bCs/>
        </w:rPr>
        <w:t xml:space="preserve">суми </w:t>
      </w:r>
      <w:r w:rsidR="00D702FC" w:rsidRPr="006563C5">
        <w:rPr>
          <w:bCs/>
        </w:rPr>
        <w:t>від’ємного</w:t>
      </w:r>
      <w:r w:rsidR="009D0F4A" w:rsidRPr="006563C5">
        <w:rPr>
          <w:bCs/>
        </w:rPr>
        <w:t xml:space="preserve"> фінансов</w:t>
      </w:r>
      <w:r w:rsidR="00D702FC" w:rsidRPr="006563C5">
        <w:rPr>
          <w:bCs/>
        </w:rPr>
        <w:t>ого</w:t>
      </w:r>
      <w:r w:rsidR="009D0F4A" w:rsidRPr="006563C5">
        <w:rPr>
          <w:bCs/>
        </w:rPr>
        <w:t xml:space="preserve"> результат</w:t>
      </w:r>
      <w:r w:rsidR="00803076" w:rsidRPr="006563C5">
        <w:rPr>
          <w:bCs/>
        </w:rPr>
        <w:t>у періоду.</w:t>
      </w:r>
    </w:p>
    <w:p w14:paraId="14085CDE" w14:textId="77777777" w:rsidR="0035701C" w:rsidRDefault="00803076" w:rsidP="004057A6">
      <w:pPr>
        <w:spacing w:after="120"/>
        <w:ind w:firstLine="709"/>
        <w:jc w:val="both"/>
        <w:rPr>
          <w:bCs/>
        </w:rPr>
      </w:pPr>
      <w:r w:rsidRPr="00E74AD4">
        <w:rPr>
          <w:b/>
          <w:bCs/>
        </w:rPr>
        <w:t>Питання:</w:t>
      </w:r>
      <w:r w:rsidRPr="006563C5">
        <w:rPr>
          <w:bCs/>
        </w:rPr>
        <w:t xml:space="preserve"> </w:t>
      </w:r>
      <w:r w:rsidRPr="006563C5">
        <w:rPr>
          <w:b/>
        </w:rPr>
        <w:t>Чи правильно ми розуміємо, що при застосуванні п.140.2 ПКУ податкова різниця, яка виникає при здійсненні фінансових операцій, може включати і стосується лише нарахованих у бухгалтерському обліку процентів за кредитами, позиками та іншими борговими зобов’язаннями?</w:t>
      </w:r>
    </w:p>
    <w:p w14:paraId="5B8C0934" w14:textId="77777777" w:rsidR="001874C5" w:rsidRPr="00292DE8" w:rsidRDefault="001874C5" w:rsidP="004057A6">
      <w:pPr>
        <w:spacing w:after="120"/>
        <w:ind w:firstLine="709"/>
        <w:jc w:val="both"/>
        <w:rPr>
          <w:bCs/>
          <w:lang w:val="ru-RU"/>
        </w:rPr>
      </w:pPr>
      <w:r w:rsidRPr="00B063A6">
        <w:rPr>
          <w:bCs/>
        </w:rPr>
        <w:t xml:space="preserve">Заздалегідь вдячні за </w:t>
      </w:r>
      <w:r w:rsidR="00EE7F66" w:rsidRPr="00B063A6">
        <w:rPr>
          <w:bCs/>
        </w:rPr>
        <w:t>оперативну</w:t>
      </w:r>
      <w:r w:rsidRPr="00B063A6">
        <w:rPr>
          <w:bCs/>
        </w:rPr>
        <w:t xml:space="preserve"> відповідь.</w:t>
      </w:r>
    </w:p>
    <w:p w14:paraId="264A041B" w14:textId="77777777" w:rsidR="00E76D05" w:rsidRPr="00B063A6" w:rsidRDefault="00402528" w:rsidP="004057A6">
      <w:pPr>
        <w:spacing w:after="120"/>
        <w:ind w:firstLine="709"/>
        <w:jc w:val="both"/>
      </w:pPr>
      <w:r w:rsidRPr="00B063A6">
        <w:t>З метою реалізації зазначеного</w:t>
      </w:r>
      <w:r w:rsidR="004C701E" w:rsidRPr="00B063A6">
        <w:t xml:space="preserve">, будь ласка, </w:t>
      </w:r>
      <w:r w:rsidR="00E76D05" w:rsidRPr="00B063A6">
        <w:t xml:space="preserve">просимо уповноважити відповідальну особу, яка б могла зв’язатися з нами за телефоном 490-58-00 або електронною поштою </w:t>
      </w:r>
      <w:hyperlink r:id="rId13" w:history="1">
        <w:r w:rsidR="00E76D05" w:rsidRPr="00B063A6">
          <w:t>oprokhorovych@chamber.ua</w:t>
        </w:r>
      </w:hyperlink>
      <w:r w:rsidR="00E76D05" w:rsidRPr="00B063A6">
        <w:t>, контактна особа - Олександр Прохорович, менеджер Палати з питань стратегічного розвитку (оподаткування та митна політика)</w:t>
      </w:r>
      <w:r w:rsidR="000A15A8" w:rsidRPr="00B063A6">
        <w:t>.</w:t>
      </w:r>
    </w:p>
    <w:p w14:paraId="008C4F16" w14:textId="77777777" w:rsidR="00780B9A" w:rsidRPr="00B063A6" w:rsidRDefault="00780B9A" w:rsidP="00780B9A">
      <w:pPr>
        <w:ind w:left="284"/>
        <w:jc w:val="both"/>
      </w:pPr>
    </w:p>
    <w:p w14:paraId="21C2B937" w14:textId="77777777" w:rsidR="004C701E" w:rsidRPr="00B063A6" w:rsidRDefault="004C701E" w:rsidP="0078578A">
      <w:pPr>
        <w:jc w:val="both"/>
        <w:rPr>
          <w:b/>
        </w:rPr>
      </w:pPr>
      <w:r w:rsidRPr="00B063A6">
        <w:rPr>
          <w:b/>
        </w:rPr>
        <w:t>З глибокою повагою та найкращими побажаннями,</w:t>
      </w:r>
    </w:p>
    <w:p w14:paraId="46482BA1" w14:textId="77777777" w:rsidR="001B13FB" w:rsidRPr="00B063A6" w:rsidRDefault="001B13FB" w:rsidP="0078578A">
      <w:pPr>
        <w:jc w:val="both"/>
        <w:rPr>
          <w:rStyle w:val="ab"/>
          <w:color w:val="000000"/>
        </w:rPr>
      </w:pPr>
    </w:p>
    <w:p w14:paraId="59BE8AC1" w14:textId="77777777" w:rsidR="00550F18" w:rsidRPr="00B063A6" w:rsidRDefault="00550F18" w:rsidP="0078578A">
      <w:pPr>
        <w:tabs>
          <w:tab w:val="left" w:pos="-284"/>
        </w:tabs>
        <w:spacing w:after="120"/>
        <w:jc w:val="both"/>
        <w:rPr>
          <w:rFonts w:eastAsia="Calibri"/>
          <w:lang w:eastAsia="en-US"/>
        </w:rPr>
      </w:pPr>
      <w:r w:rsidRPr="00B063A6">
        <w:rPr>
          <w:rFonts w:eastAsia="Calibri"/>
          <w:b/>
          <w:lang w:eastAsia="ru-RU"/>
        </w:rPr>
        <w:t>Президент</w:t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="00350F93" w:rsidRPr="00B063A6">
        <w:rPr>
          <w:rFonts w:eastAsia="Calibri"/>
          <w:b/>
          <w:lang w:eastAsia="ru-RU"/>
        </w:rPr>
        <w:t xml:space="preserve"> </w:t>
      </w:r>
      <w:r w:rsidRPr="00B063A6">
        <w:rPr>
          <w:rFonts w:eastAsia="Calibri"/>
          <w:b/>
          <w:lang w:eastAsia="ru-RU"/>
        </w:rPr>
        <w:tab/>
        <w:t xml:space="preserve">                  </w:t>
      </w:r>
      <w:r w:rsidR="00350F93" w:rsidRPr="00B063A6">
        <w:rPr>
          <w:rFonts w:eastAsia="Calibri"/>
          <w:b/>
          <w:lang w:eastAsia="ru-RU"/>
        </w:rPr>
        <w:t xml:space="preserve">           </w:t>
      </w:r>
      <w:r w:rsidR="00A8418B" w:rsidRPr="00B063A6">
        <w:rPr>
          <w:rFonts w:eastAsia="Calibri"/>
          <w:b/>
          <w:lang w:eastAsia="ru-RU"/>
        </w:rPr>
        <w:t xml:space="preserve">       </w:t>
      </w:r>
      <w:r w:rsidR="00350F93" w:rsidRPr="00B063A6">
        <w:rPr>
          <w:rFonts w:eastAsia="Calibri"/>
          <w:b/>
          <w:lang w:eastAsia="ru-RU"/>
        </w:rPr>
        <w:t xml:space="preserve"> </w:t>
      </w:r>
      <w:r w:rsidR="00DC54E7" w:rsidRPr="00B063A6">
        <w:rPr>
          <w:rFonts w:eastAsia="Calibri"/>
          <w:b/>
          <w:lang w:eastAsia="ru-RU"/>
        </w:rPr>
        <w:t xml:space="preserve">           </w:t>
      </w:r>
      <w:r w:rsidRPr="00B063A6">
        <w:rPr>
          <w:rFonts w:eastAsia="Calibri"/>
          <w:b/>
          <w:lang w:eastAsia="ru-RU"/>
        </w:rPr>
        <w:t xml:space="preserve">Андрій </w:t>
      </w:r>
      <w:proofErr w:type="spellStart"/>
      <w:r w:rsidRPr="00B063A6">
        <w:rPr>
          <w:rFonts w:eastAsia="Calibri"/>
          <w:b/>
          <w:lang w:eastAsia="ru-RU"/>
        </w:rPr>
        <w:t>Гундер</w:t>
      </w:r>
      <w:proofErr w:type="spellEnd"/>
      <w:r w:rsidRPr="00B063A6">
        <w:rPr>
          <w:rFonts w:eastAsia="Calibri"/>
          <w:b/>
          <w:lang w:eastAsia="ru-RU"/>
        </w:rPr>
        <w:t xml:space="preserve"> </w:t>
      </w:r>
    </w:p>
    <w:sectPr w:rsidR="00550F18" w:rsidRPr="00B063A6" w:rsidSect="00D230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49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CA87E" w14:textId="77777777" w:rsidR="008E01F8" w:rsidRDefault="008E01F8" w:rsidP="00742BAD">
      <w:r>
        <w:separator/>
      </w:r>
    </w:p>
  </w:endnote>
  <w:endnote w:type="continuationSeparator" w:id="0">
    <w:p w14:paraId="3A6BC2D9" w14:textId="77777777" w:rsidR="008E01F8" w:rsidRDefault="008E01F8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8720" w14:textId="77777777" w:rsidR="009C31E1" w:rsidRDefault="009C3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86E7E" w14:textId="77777777" w:rsidR="00ED3ACE" w:rsidRPr="00EA068F" w:rsidRDefault="00ED3ACE" w:rsidP="00ED3ACE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14:paraId="5F03D833" w14:textId="77777777" w:rsidR="00ED3ACE" w:rsidRPr="00FD004B" w:rsidRDefault="00ED3ACE" w:rsidP="00ED3ACE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7C508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Жан-Поль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Санофі-Авентіс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Секретар; Надія Васильєва,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“Майкрософт Україна”;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’МакДональдз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Київстар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Україна".</w:t>
    </w:r>
  </w:p>
  <w:p w14:paraId="318A0341" w14:textId="77777777" w:rsidR="00ED3ACE" w:rsidRPr="00C35D47" w:rsidRDefault="00ED3ACE" w:rsidP="00ED3ACE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14:paraId="16ABAF94" w14:textId="77777777"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05F1" w14:textId="77777777" w:rsidR="009C31E1" w:rsidRDefault="009C3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9B7FA" w14:textId="77777777" w:rsidR="008E01F8" w:rsidRDefault="008E01F8" w:rsidP="00742BAD">
      <w:r>
        <w:separator/>
      </w:r>
    </w:p>
  </w:footnote>
  <w:footnote w:type="continuationSeparator" w:id="0">
    <w:p w14:paraId="280C0674" w14:textId="77777777" w:rsidR="008E01F8" w:rsidRDefault="008E01F8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1344" w14:textId="77777777" w:rsidR="009C31E1" w:rsidRDefault="008E01F8">
    <w:pPr>
      <w:pStyle w:val="a3"/>
    </w:pPr>
    <w:r>
      <w:rPr>
        <w:noProof/>
      </w:rPr>
      <w:pict w14:anchorId="64C676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E882" w14:textId="77777777" w:rsidR="00866412" w:rsidRDefault="008E01F8" w:rsidP="00712510">
    <w:pPr>
      <w:pStyle w:val="a3"/>
      <w:rPr>
        <w:lang w:val="en-US"/>
      </w:rPr>
    </w:pPr>
    <w:r>
      <w:rPr>
        <w:noProof/>
      </w:rPr>
      <w:pict w14:anchorId="2CB40E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 wp14:anchorId="129CDCA1" wp14:editId="26C8D2B3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1920E" w14:textId="77777777" w:rsidR="00866412" w:rsidRDefault="00866412" w:rsidP="00712510">
    <w:pPr>
      <w:pStyle w:val="a3"/>
      <w:rPr>
        <w:lang w:val="en-US"/>
      </w:rPr>
    </w:pPr>
  </w:p>
  <w:p w14:paraId="1BCCD9DC" w14:textId="77777777"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5E50" w14:textId="77777777" w:rsidR="009C31E1" w:rsidRDefault="008E01F8">
    <w:pPr>
      <w:pStyle w:val="a3"/>
    </w:pPr>
    <w:r>
      <w:rPr>
        <w:noProof/>
      </w:rPr>
      <w:pict w14:anchorId="0147D8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F87"/>
    <w:multiLevelType w:val="hybridMultilevel"/>
    <w:tmpl w:val="9C249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5BE8"/>
    <w:multiLevelType w:val="hybridMultilevel"/>
    <w:tmpl w:val="0818D7CA"/>
    <w:lvl w:ilvl="0" w:tplc="E2509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894259"/>
    <w:multiLevelType w:val="hybridMultilevel"/>
    <w:tmpl w:val="EF16AE26"/>
    <w:lvl w:ilvl="0" w:tplc="89A869E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7ABD"/>
    <w:multiLevelType w:val="hybridMultilevel"/>
    <w:tmpl w:val="DFC295A6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0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15E14"/>
    <w:multiLevelType w:val="hybridMultilevel"/>
    <w:tmpl w:val="E7F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9507C4"/>
    <w:multiLevelType w:val="hybridMultilevel"/>
    <w:tmpl w:val="829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FEC"/>
    <w:rsid w:val="0002094A"/>
    <w:rsid w:val="000209B7"/>
    <w:rsid w:val="00030A01"/>
    <w:rsid w:val="000416E8"/>
    <w:rsid w:val="000426AB"/>
    <w:rsid w:val="000429DF"/>
    <w:rsid w:val="00053FEE"/>
    <w:rsid w:val="000563D0"/>
    <w:rsid w:val="00065140"/>
    <w:rsid w:val="000712AD"/>
    <w:rsid w:val="000713D1"/>
    <w:rsid w:val="00072CB3"/>
    <w:rsid w:val="00072DFE"/>
    <w:rsid w:val="00081EE6"/>
    <w:rsid w:val="000857D4"/>
    <w:rsid w:val="00090086"/>
    <w:rsid w:val="00090A50"/>
    <w:rsid w:val="000A15A8"/>
    <w:rsid w:val="000A4443"/>
    <w:rsid w:val="000A5203"/>
    <w:rsid w:val="000A763F"/>
    <w:rsid w:val="000B0DBE"/>
    <w:rsid w:val="000B4959"/>
    <w:rsid w:val="000B582B"/>
    <w:rsid w:val="000B6D71"/>
    <w:rsid w:val="000C48D9"/>
    <w:rsid w:val="000D18EA"/>
    <w:rsid w:val="000E3826"/>
    <w:rsid w:val="000E63EE"/>
    <w:rsid w:val="00107E5C"/>
    <w:rsid w:val="001121F8"/>
    <w:rsid w:val="001137C8"/>
    <w:rsid w:val="00114266"/>
    <w:rsid w:val="001142D0"/>
    <w:rsid w:val="001144A8"/>
    <w:rsid w:val="00126CEF"/>
    <w:rsid w:val="001368E3"/>
    <w:rsid w:val="0014059B"/>
    <w:rsid w:val="00143016"/>
    <w:rsid w:val="00144DBC"/>
    <w:rsid w:val="00146463"/>
    <w:rsid w:val="00146EEB"/>
    <w:rsid w:val="00154EA0"/>
    <w:rsid w:val="00160FDC"/>
    <w:rsid w:val="00165464"/>
    <w:rsid w:val="00171639"/>
    <w:rsid w:val="001721F1"/>
    <w:rsid w:val="00173309"/>
    <w:rsid w:val="00182929"/>
    <w:rsid w:val="0018388E"/>
    <w:rsid w:val="00184F80"/>
    <w:rsid w:val="00184FEF"/>
    <w:rsid w:val="001861AA"/>
    <w:rsid w:val="001874C5"/>
    <w:rsid w:val="0019435F"/>
    <w:rsid w:val="001A49ED"/>
    <w:rsid w:val="001B13FB"/>
    <w:rsid w:val="001B1E0E"/>
    <w:rsid w:val="001C0571"/>
    <w:rsid w:val="001C5DFB"/>
    <w:rsid w:val="001D4427"/>
    <w:rsid w:val="001D6AB6"/>
    <w:rsid w:val="001D7A03"/>
    <w:rsid w:val="001F2EDF"/>
    <w:rsid w:val="001F65CF"/>
    <w:rsid w:val="00201D61"/>
    <w:rsid w:val="00204B14"/>
    <w:rsid w:val="002055B9"/>
    <w:rsid w:val="00207FB1"/>
    <w:rsid w:val="00211A9D"/>
    <w:rsid w:val="00214716"/>
    <w:rsid w:val="002153C3"/>
    <w:rsid w:val="0022128C"/>
    <w:rsid w:val="0023567E"/>
    <w:rsid w:val="002424FC"/>
    <w:rsid w:val="00250AB4"/>
    <w:rsid w:val="00253A8F"/>
    <w:rsid w:val="00270AAD"/>
    <w:rsid w:val="002722B6"/>
    <w:rsid w:val="00277B52"/>
    <w:rsid w:val="00292DE8"/>
    <w:rsid w:val="00293BCD"/>
    <w:rsid w:val="002A1E61"/>
    <w:rsid w:val="002B416F"/>
    <w:rsid w:val="002B41E3"/>
    <w:rsid w:val="002B4FF6"/>
    <w:rsid w:val="002B60F0"/>
    <w:rsid w:val="002C15DB"/>
    <w:rsid w:val="002C3006"/>
    <w:rsid w:val="002C65A7"/>
    <w:rsid w:val="002D1292"/>
    <w:rsid w:val="002D15CB"/>
    <w:rsid w:val="002D2406"/>
    <w:rsid w:val="002D5113"/>
    <w:rsid w:val="002E1592"/>
    <w:rsid w:val="002E7486"/>
    <w:rsid w:val="002F10D6"/>
    <w:rsid w:val="003013EF"/>
    <w:rsid w:val="00310407"/>
    <w:rsid w:val="00311B6E"/>
    <w:rsid w:val="0031780C"/>
    <w:rsid w:val="00322A39"/>
    <w:rsid w:val="00326293"/>
    <w:rsid w:val="003335FB"/>
    <w:rsid w:val="003348B1"/>
    <w:rsid w:val="00336BB2"/>
    <w:rsid w:val="00340116"/>
    <w:rsid w:val="00350F93"/>
    <w:rsid w:val="0035251F"/>
    <w:rsid w:val="0035701C"/>
    <w:rsid w:val="0036110F"/>
    <w:rsid w:val="00362993"/>
    <w:rsid w:val="00365E0A"/>
    <w:rsid w:val="00367DE7"/>
    <w:rsid w:val="00375713"/>
    <w:rsid w:val="00377540"/>
    <w:rsid w:val="00385169"/>
    <w:rsid w:val="00391965"/>
    <w:rsid w:val="003979A2"/>
    <w:rsid w:val="003A0879"/>
    <w:rsid w:val="003A1F50"/>
    <w:rsid w:val="003A50CB"/>
    <w:rsid w:val="003A5ADD"/>
    <w:rsid w:val="003B6627"/>
    <w:rsid w:val="003C1500"/>
    <w:rsid w:val="003D0FF7"/>
    <w:rsid w:val="003E256D"/>
    <w:rsid w:val="003E379A"/>
    <w:rsid w:val="003E4E18"/>
    <w:rsid w:val="003E5862"/>
    <w:rsid w:val="003E6EF5"/>
    <w:rsid w:val="003F5ED7"/>
    <w:rsid w:val="003F7B31"/>
    <w:rsid w:val="003F7D10"/>
    <w:rsid w:val="00401F2A"/>
    <w:rsid w:val="00402528"/>
    <w:rsid w:val="004057A6"/>
    <w:rsid w:val="00410837"/>
    <w:rsid w:val="004165DF"/>
    <w:rsid w:val="004165ED"/>
    <w:rsid w:val="00420ED4"/>
    <w:rsid w:val="004248B8"/>
    <w:rsid w:val="00425756"/>
    <w:rsid w:val="00441352"/>
    <w:rsid w:val="00443132"/>
    <w:rsid w:val="00446E6D"/>
    <w:rsid w:val="00451B9B"/>
    <w:rsid w:val="00457E70"/>
    <w:rsid w:val="00461C36"/>
    <w:rsid w:val="00465F45"/>
    <w:rsid w:val="00472201"/>
    <w:rsid w:val="00480D48"/>
    <w:rsid w:val="00487357"/>
    <w:rsid w:val="004915DD"/>
    <w:rsid w:val="00493F99"/>
    <w:rsid w:val="004A043D"/>
    <w:rsid w:val="004A1F92"/>
    <w:rsid w:val="004A672F"/>
    <w:rsid w:val="004B4D55"/>
    <w:rsid w:val="004B64F6"/>
    <w:rsid w:val="004C3FCF"/>
    <w:rsid w:val="004C701E"/>
    <w:rsid w:val="004D7446"/>
    <w:rsid w:val="004D77E1"/>
    <w:rsid w:val="004E6302"/>
    <w:rsid w:val="004E659F"/>
    <w:rsid w:val="004F2E45"/>
    <w:rsid w:val="004F68A7"/>
    <w:rsid w:val="004F74E4"/>
    <w:rsid w:val="005025BD"/>
    <w:rsid w:val="00510785"/>
    <w:rsid w:val="005253D6"/>
    <w:rsid w:val="00525F7F"/>
    <w:rsid w:val="00545DBA"/>
    <w:rsid w:val="00547C35"/>
    <w:rsid w:val="00550F18"/>
    <w:rsid w:val="005527F6"/>
    <w:rsid w:val="00555217"/>
    <w:rsid w:val="00567637"/>
    <w:rsid w:val="00567698"/>
    <w:rsid w:val="005715AC"/>
    <w:rsid w:val="00575A54"/>
    <w:rsid w:val="005814D3"/>
    <w:rsid w:val="00581BFA"/>
    <w:rsid w:val="00584EE4"/>
    <w:rsid w:val="00590E60"/>
    <w:rsid w:val="0059718C"/>
    <w:rsid w:val="005A0AFF"/>
    <w:rsid w:val="005A27B1"/>
    <w:rsid w:val="005B3AEB"/>
    <w:rsid w:val="005C0201"/>
    <w:rsid w:val="005C10B4"/>
    <w:rsid w:val="005C59A8"/>
    <w:rsid w:val="005D7303"/>
    <w:rsid w:val="005E6611"/>
    <w:rsid w:val="005F0658"/>
    <w:rsid w:val="005F0BA3"/>
    <w:rsid w:val="005F1110"/>
    <w:rsid w:val="0060098E"/>
    <w:rsid w:val="00610AA0"/>
    <w:rsid w:val="00612DEE"/>
    <w:rsid w:val="00615121"/>
    <w:rsid w:val="00635787"/>
    <w:rsid w:val="00641268"/>
    <w:rsid w:val="00642A4C"/>
    <w:rsid w:val="0064737E"/>
    <w:rsid w:val="00654E0E"/>
    <w:rsid w:val="006563C5"/>
    <w:rsid w:val="00663BD4"/>
    <w:rsid w:val="00673938"/>
    <w:rsid w:val="006822A1"/>
    <w:rsid w:val="00682652"/>
    <w:rsid w:val="00682C77"/>
    <w:rsid w:val="0068417E"/>
    <w:rsid w:val="006A0F1F"/>
    <w:rsid w:val="006A3FC0"/>
    <w:rsid w:val="006A47AF"/>
    <w:rsid w:val="006A48BA"/>
    <w:rsid w:val="006A49E3"/>
    <w:rsid w:val="006A527F"/>
    <w:rsid w:val="006A63D0"/>
    <w:rsid w:val="006A67E8"/>
    <w:rsid w:val="006B2AEC"/>
    <w:rsid w:val="006D1662"/>
    <w:rsid w:val="006D63E3"/>
    <w:rsid w:val="006D74DD"/>
    <w:rsid w:val="00712510"/>
    <w:rsid w:val="007179A7"/>
    <w:rsid w:val="00727445"/>
    <w:rsid w:val="0073420B"/>
    <w:rsid w:val="00735E0B"/>
    <w:rsid w:val="007365E8"/>
    <w:rsid w:val="00742BAD"/>
    <w:rsid w:val="007516FB"/>
    <w:rsid w:val="00765CFE"/>
    <w:rsid w:val="00777EE6"/>
    <w:rsid w:val="00780B9A"/>
    <w:rsid w:val="00781A4B"/>
    <w:rsid w:val="0078376C"/>
    <w:rsid w:val="0078578A"/>
    <w:rsid w:val="007939AA"/>
    <w:rsid w:val="00797220"/>
    <w:rsid w:val="007A1C30"/>
    <w:rsid w:val="007B0073"/>
    <w:rsid w:val="007B0760"/>
    <w:rsid w:val="007B5F5C"/>
    <w:rsid w:val="007C2209"/>
    <w:rsid w:val="007C22CF"/>
    <w:rsid w:val="007C487B"/>
    <w:rsid w:val="007C4A88"/>
    <w:rsid w:val="007E1C05"/>
    <w:rsid w:val="007E50CD"/>
    <w:rsid w:val="007F266B"/>
    <w:rsid w:val="007F3122"/>
    <w:rsid w:val="007F381B"/>
    <w:rsid w:val="007F3E5C"/>
    <w:rsid w:val="00803076"/>
    <w:rsid w:val="00803852"/>
    <w:rsid w:val="008078CA"/>
    <w:rsid w:val="0081212D"/>
    <w:rsid w:val="008135B8"/>
    <w:rsid w:val="0082025F"/>
    <w:rsid w:val="00822E86"/>
    <w:rsid w:val="00824EB1"/>
    <w:rsid w:val="00826599"/>
    <w:rsid w:val="00826CC3"/>
    <w:rsid w:val="00837CAC"/>
    <w:rsid w:val="008406CF"/>
    <w:rsid w:val="00841157"/>
    <w:rsid w:val="0084379D"/>
    <w:rsid w:val="008509D2"/>
    <w:rsid w:val="00851029"/>
    <w:rsid w:val="0085755E"/>
    <w:rsid w:val="00860BC6"/>
    <w:rsid w:val="00863B1F"/>
    <w:rsid w:val="00866412"/>
    <w:rsid w:val="00870208"/>
    <w:rsid w:val="0087064B"/>
    <w:rsid w:val="00871AE8"/>
    <w:rsid w:val="00876D67"/>
    <w:rsid w:val="00880737"/>
    <w:rsid w:val="0088606E"/>
    <w:rsid w:val="00887CDC"/>
    <w:rsid w:val="008957F1"/>
    <w:rsid w:val="008A092A"/>
    <w:rsid w:val="008A0AA4"/>
    <w:rsid w:val="008A18E1"/>
    <w:rsid w:val="008A6C42"/>
    <w:rsid w:val="008A7BC5"/>
    <w:rsid w:val="008B22D0"/>
    <w:rsid w:val="008B377F"/>
    <w:rsid w:val="008C6E74"/>
    <w:rsid w:val="008D58FB"/>
    <w:rsid w:val="008D7BE7"/>
    <w:rsid w:val="008E01F8"/>
    <w:rsid w:val="008F20FC"/>
    <w:rsid w:val="008F4249"/>
    <w:rsid w:val="008F688D"/>
    <w:rsid w:val="00900F4E"/>
    <w:rsid w:val="00906617"/>
    <w:rsid w:val="00912808"/>
    <w:rsid w:val="009164E0"/>
    <w:rsid w:val="009166A4"/>
    <w:rsid w:val="00920F03"/>
    <w:rsid w:val="00942A91"/>
    <w:rsid w:val="00946661"/>
    <w:rsid w:val="00962D7E"/>
    <w:rsid w:val="009750FC"/>
    <w:rsid w:val="00980DE8"/>
    <w:rsid w:val="0098760C"/>
    <w:rsid w:val="009913F1"/>
    <w:rsid w:val="009970CF"/>
    <w:rsid w:val="009A0B4F"/>
    <w:rsid w:val="009B7706"/>
    <w:rsid w:val="009C31E1"/>
    <w:rsid w:val="009C442E"/>
    <w:rsid w:val="009C4E75"/>
    <w:rsid w:val="009C5E7B"/>
    <w:rsid w:val="009D064C"/>
    <w:rsid w:val="009D0F4A"/>
    <w:rsid w:val="009D1CA0"/>
    <w:rsid w:val="009D325B"/>
    <w:rsid w:val="00A01FE2"/>
    <w:rsid w:val="00A03B16"/>
    <w:rsid w:val="00A11672"/>
    <w:rsid w:val="00A1189C"/>
    <w:rsid w:val="00A1386A"/>
    <w:rsid w:val="00A14BCE"/>
    <w:rsid w:val="00A235B7"/>
    <w:rsid w:val="00A30D0B"/>
    <w:rsid w:val="00A417CD"/>
    <w:rsid w:val="00A420D8"/>
    <w:rsid w:val="00A422C4"/>
    <w:rsid w:val="00A553C6"/>
    <w:rsid w:val="00A60FC3"/>
    <w:rsid w:val="00A642C1"/>
    <w:rsid w:val="00A6453B"/>
    <w:rsid w:val="00A70CC1"/>
    <w:rsid w:val="00A752C8"/>
    <w:rsid w:val="00A7609F"/>
    <w:rsid w:val="00A8418B"/>
    <w:rsid w:val="00A93288"/>
    <w:rsid w:val="00AA5274"/>
    <w:rsid w:val="00AA754D"/>
    <w:rsid w:val="00AB0262"/>
    <w:rsid w:val="00AB1020"/>
    <w:rsid w:val="00AB64F3"/>
    <w:rsid w:val="00AD0C4E"/>
    <w:rsid w:val="00AD4AC3"/>
    <w:rsid w:val="00AE3D00"/>
    <w:rsid w:val="00AE5758"/>
    <w:rsid w:val="00AF3B32"/>
    <w:rsid w:val="00AF4643"/>
    <w:rsid w:val="00B03A57"/>
    <w:rsid w:val="00B063A6"/>
    <w:rsid w:val="00B07FC8"/>
    <w:rsid w:val="00B15AC0"/>
    <w:rsid w:val="00B31D81"/>
    <w:rsid w:val="00B33EF2"/>
    <w:rsid w:val="00B35E9D"/>
    <w:rsid w:val="00B37528"/>
    <w:rsid w:val="00B5115E"/>
    <w:rsid w:val="00B57472"/>
    <w:rsid w:val="00B65B5F"/>
    <w:rsid w:val="00B70539"/>
    <w:rsid w:val="00B71FE4"/>
    <w:rsid w:val="00B73268"/>
    <w:rsid w:val="00B8254B"/>
    <w:rsid w:val="00B85787"/>
    <w:rsid w:val="00B85B41"/>
    <w:rsid w:val="00BA16F8"/>
    <w:rsid w:val="00BA7398"/>
    <w:rsid w:val="00BB48EA"/>
    <w:rsid w:val="00BD2BA0"/>
    <w:rsid w:val="00BD2FF7"/>
    <w:rsid w:val="00BD7AD8"/>
    <w:rsid w:val="00BE396F"/>
    <w:rsid w:val="00BE65BC"/>
    <w:rsid w:val="00BF4A2A"/>
    <w:rsid w:val="00BF51C3"/>
    <w:rsid w:val="00BF5308"/>
    <w:rsid w:val="00C078E4"/>
    <w:rsid w:val="00C1019E"/>
    <w:rsid w:val="00C1103C"/>
    <w:rsid w:val="00C129D5"/>
    <w:rsid w:val="00C13862"/>
    <w:rsid w:val="00C13893"/>
    <w:rsid w:val="00C13A63"/>
    <w:rsid w:val="00C14289"/>
    <w:rsid w:val="00C26A5A"/>
    <w:rsid w:val="00C271D4"/>
    <w:rsid w:val="00C34541"/>
    <w:rsid w:val="00C35D47"/>
    <w:rsid w:val="00C40FA3"/>
    <w:rsid w:val="00C51BA4"/>
    <w:rsid w:val="00C52690"/>
    <w:rsid w:val="00C534D2"/>
    <w:rsid w:val="00C641CC"/>
    <w:rsid w:val="00C976E7"/>
    <w:rsid w:val="00CA3DAE"/>
    <w:rsid w:val="00CA7EFD"/>
    <w:rsid w:val="00CB2AE4"/>
    <w:rsid w:val="00CB32DD"/>
    <w:rsid w:val="00CB48FB"/>
    <w:rsid w:val="00CC666B"/>
    <w:rsid w:val="00CC7FA5"/>
    <w:rsid w:val="00CD7CB4"/>
    <w:rsid w:val="00CF3AD2"/>
    <w:rsid w:val="00CF48A9"/>
    <w:rsid w:val="00CF6758"/>
    <w:rsid w:val="00D01774"/>
    <w:rsid w:val="00D040F5"/>
    <w:rsid w:val="00D0451C"/>
    <w:rsid w:val="00D049FA"/>
    <w:rsid w:val="00D05708"/>
    <w:rsid w:val="00D10746"/>
    <w:rsid w:val="00D15DB7"/>
    <w:rsid w:val="00D230E1"/>
    <w:rsid w:val="00D24365"/>
    <w:rsid w:val="00D304C3"/>
    <w:rsid w:val="00D33472"/>
    <w:rsid w:val="00D366D7"/>
    <w:rsid w:val="00D540C1"/>
    <w:rsid w:val="00D67749"/>
    <w:rsid w:val="00D702FC"/>
    <w:rsid w:val="00D73F54"/>
    <w:rsid w:val="00D865DE"/>
    <w:rsid w:val="00D942BF"/>
    <w:rsid w:val="00D954BE"/>
    <w:rsid w:val="00DA1E21"/>
    <w:rsid w:val="00DA441E"/>
    <w:rsid w:val="00DA5615"/>
    <w:rsid w:val="00DB2E99"/>
    <w:rsid w:val="00DC3063"/>
    <w:rsid w:val="00DC54E7"/>
    <w:rsid w:val="00DD3530"/>
    <w:rsid w:val="00E10551"/>
    <w:rsid w:val="00E114C1"/>
    <w:rsid w:val="00E1793E"/>
    <w:rsid w:val="00E2085C"/>
    <w:rsid w:val="00E25243"/>
    <w:rsid w:val="00E4021E"/>
    <w:rsid w:val="00E4374B"/>
    <w:rsid w:val="00E441CD"/>
    <w:rsid w:val="00E458D2"/>
    <w:rsid w:val="00E5298B"/>
    <w:rsid w:val="00E54F78"/>
    <w:rsid w:val="00E616CC"/>
    <w:rsid w:val="00E64D99"/>
    <w:rsid w:val="00E74AD4"/>
    <w:rsid w:val="00E76D05"/>
    <w:rsid w:val="00E80D37"/>
    <w:rsid w:val="00E824D9"/>
    <w:rsid w:val="00E83BB7"/>
    <w:rsid w:val="00E86695"/>
    <w:rsid w:val="00E904A3"/>
    <w:rsid w:val="00E922AD"/>
    <w:rsid w:val="00E9331F"/>
    <w:rsid w:val="00EA068F"/>
    <w:rsid w:val="00EA2D5C"/>
    <w:rsid w:val="00EA79EB"/>
    <w:rsid w:val="00EB6B2C"/>
    <w:rsid w:val="00EC0D5E"/>
    <w:rsid w:val="00EC1FC6"/>
    <w:rsid w:val="00EC2270"/>
    <w:rsid w:val="00EC7352"/>
    <w:rsid w:val="00ED2E7E"/>
    <w:rsid w:val="00ED3ACE"/>
    <w:rsid w:val="00ED4439"/>
    <w:rsid w:val="00EE0ADE"/>
    <w:rsid w:val="00EE4FBA"/>
    <w:rsid w:val="00EE7F66"/>
    <w:rsid w:val="00F0296B"/>
    <w:rsid w:val="00F02E8D"/>
    <w:rsid w:val="00F21090"/>
    <w:rsid w:val="00F35C5A"/>
    <w:rsid w:val="00F3741E"/>
    <w:rsid w:val="00F477A9"/>
    <w:rsid w:val="00F51FD2"/>
    <w:rsid w:val="00F65CC2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A613B"/>
    <w:rsid w:val="00FA6945"/>
    <w:rsid w:val="00FA6E91"/>
    <w:rsid w:val="00FB40EB"/>
    <w:rsid w:val="00FC67B5"/>
    <w:rsid w:val="00FD028B"/>
    <w:rsid w:val="00FD6E6F"/>
    <w:rsid w:val="00FE21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2D4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af7">
    <w:name w:val="Subtitle"/>
    <w:basedOn w:val="a"/>
    <w:next w:val="a"/>
    <w:link w:val="af8"/>
    <w:qFormat/>
    <w:rsid w:val="002C30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2C30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af7">
    <w:name w:val="Subtitle"/>
    <w:basedOn w:val="a"/>
    <w:next w:val="a"/>
    <w:link w:val="af8"/>
    <w:qFormat/>
    <w:rsid w:val="002C30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2C30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57DA3-4937-4395-BBD0-A78897B1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5957</Words>
  <Characters>3397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9336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Oleksandr Prokhorovych</cp:lastModifiedBy>
  <cp:revision>7</cp:revision>
  <cp:lastPrinted>2016-03-18T09:18:00Z</cp:lastPrinted>
  <dcterms:created xsi:type="dcterms:W3CDTF">2016-03-17T14:58:00Z</dcterms:created>
  <dcterms:modified xsi:type="dcterms:W3CDTF">2016-04-07T13:55:00Z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