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54" w:rsidRPr="000522E8" w:rsidRDefault="00D73F54" w:rsidP="00D230E1">
      <w:pPr>
        <w:jc w:val="both"/>
        <w:rPr>
          <w:rFonts w:eastAsia="Calibri"/>
          <w:lang w:eastAsia="en-US"/>
        </w:rPr>
      </w:pPr>
    </w:p>
    <w:p w:rsidR="00D73F54" w:rsidRPr="000522E8" w:rsidRDefault="00D73F54" w:rsidP="00D230E1">
      <w:pPr>
        <w:jc w:val="both"/>
        <w:rPr>
          <w:rFonts w:eastAsia="Calibri"/>
          <w:lang w:eastAsia="en-US"/>
        </w:rPr>
      </w:pPr>
    </w:p>
    <w:p w:rsidR="00880737" w:rsidRPr="000522E8" w:rsidRDefault="00880737" w:rsidP="00D230E1">
      <w:pPr>
        <w:jc w:val="both"/>
        <w:rPr>
          <w:rFonts w:eastAsia="Calibri"/>
          <w:lang w:eastAsia="en-US"/>
        </w:rPr>
      </w:pPr>
      <w:r w:rsidRPr="000522E8">
        <w:rPr>
          <w:rFonts w:eastAsia="Calibri"/>
          <w:lang w:eastAsia="en-US"/>
        </w:rPr>
        <w:t>№16-</w:t>
      </w:r>
    </w:p>
    <w:p w:rsidR="00880737" w:rsidRPr="000522E8" w:rsidRDefault="00880737" w:rsidP="00D230E1">
      <w:pPr>
        <w:jc w:val="both"/>
        <w:rPr>
          <w:rFonts w:eastAsia="Calibri"/>
          <w:lang w:eastAsia="en-US"/>
        </w:rPr>
      </w:pPr>
      <w:r w:rsidRPr="000522E8">
        <w:rPr>
          <w:rFonts w:eastAsia="Calibri"/>
          <w:lang w:eastAsia="en-US"/>
        </w:rPr>
        <w:t xml:space="preserve">           </w:t>
      </w:r>
      <w:r w:rsidR="002D2406" w:rsidRPr="000522E8">
        <w:rPr>
          <w:rFonts w:eastAsia="Calibri"/>
          <w:lang w:eastAsia="en-US"/>
        </w:rPr>
        <w:t>березня</w:t>
      </w:r>
      <w:r w:rsidRPr="000522E8">
        <w:rPr>
          <w:rFonts w:eastAsia="Calibri"/>
          <w:lang w:eastAsia="en-US"/>
        </w:rPr>
        <w:t xml:space="preserve"> 2016 року </w:t>
      </w:r>
    </w:p>
    <w:tbl>
      <w:tblPr>
        <w:tblW w:w="10314" w:type="dxa"/>
        <w:tblInd w:w="284" w:type="dxa"/>
        <w:tblLook w:val="04A0" w:firstRow="1" w:lastRow="0" w:firstColumn="1" w:lastColumn="0" w:noHBand="0" w:noVBand="1"/>
      </w:tblPr>
      <w:tblGrid>
        <w:gridCol w:w="5636"/>
        <w:gridCol w:w="4678"/>
      </w:tblGrid>
      <w:tr w:rsidR="00880737" w:rsidRPr="000522E8" w:rsidTr="00880737">
        <w:tc>
          <w:tcPr>
            <w:tcW w:w="5636" w:type="dxa"/>
            <w:shd w:val="clear" w:color="auto" w:fill="auto"/>
          </w:tcPr>
          <w:p w:rsidR="00880737" w:rsidRPr="000522E8" w:rsidRDefault="00880737" w:rsidP="000F0258">
            <w:pPr>
              <w:ind w:left="284"/>
              <w:jc w:val="both"/>
              <w:rPr>
                <w:rFonts w:eastAsia="Calibri"/>
                <w:i/>
                <w:lang w:eastAsia="en-US"/>
              </w:rPr>
            </w:pPr>
          </w:p>
        </w:tc>
        <w:tc>
          <w:tcPr>
            <w:tcW w:w="4678" w:type="dxa"/>
            <w:shd w:val="clear" w:color="auto" w:fill="auto"/>
          </w:tcPr>
          <w:p w:rsidR="00880737" w:rsidRPr="000522E8" w:rsidRDefault="00880737" w:rsidP="000F0258">
            <w:pPr>
              <w:rPr>
                <w:b/>
              </w:rPr>
            </w:pPr>
            <w:r w:rsidRPr="000522E8">
              <w:rPr>
                <w:b/>
              </w:rPr>
              <w:t>Голові Державної фіскальної служби України</w:t>
            </w:r>
          </w:p>
          <w:p w:rsidR="00880737" w:rsidRPr="000522E8" w:rsidRDefault="00880737" w:rsidP="000F0258">
            <w:pPr>
              <w:rPr>
                <w:b/>
              </w:rPr>
            </w:pPr>
            <w:r w:rsidRPr="000522E8">
              <w:rPr>
                <w:b/>
              </w:rPr>
              <w:t xml:space="preserve">Р.М. </w:t>
            </w:r>
            <w:proofErr w:type="spellStart"/>
            <w:r w:rsidRPr="000522E8">
              <w:rPr>
                <w:b/>
              </w:rPr>
              <w:t>Насірову</w:t>
            </w:r>
            <w:proofErr w:type="spellEnd"/>
            <w:r w:rsidRPr="000522E8">
              <w:rPr>
                <w:b/>
              </w:rPr>
              <w:t xml:space="preserve"> </w:t>
            </w:r>
          </w:p>
          <w:p w:rsidR="00880737" w:rsidRPr="000522E8" w:rsidRDefault="00880737" w:rsidP="000F0258">
            <w:pPr>
              <w:pStyle w:val="af0"/>
              <w:spacing w:before="0" w:beforeAutospacing="0" w:after="0" w:afterAutospacing="0"/>
              <w:ind w:left="284"/>
              <w:rPr>
                <w:b/>
              </w:rPr>
            </w:pPr>
          </w:p>
          <w:p w:rsidR="00880737" w:rsidRPr="000522E8" w:rsidRDefault="00880737" w:rsidP="000F0258">
            <w:pPr>
              <w:pStyle w:val="af0"/>
              <w:spacing w:before="0" w:beforeAutospacing="0" w:after="0" w:afterAutospacing="0"/>
              <w:ind w:left="284"/>
              <w:rPr>
                <w:b/>
              </w:rPr>
            </w:pPr>
          </w:p>
        </w:tc>
      </w:tr>
    </w:tbl>
    <w:p w:rsidR="007F5873" w:rsidRPr="000522E8" w:rsidRDefault="00880737" w:rsidP="007F5873">
      <w:pPr>
        <w:jc w:val="both"/>
        <w:rPr>
          <w:rFonts w:eastAsia="Calibri"/>
          <w:i/>
          <w:sz w:val="22"/>
          <w:lang w:eastAsia="en-US"/>
        </w:rPr>
      </w:pPr>
      <w:r w:rsidRPr="000522E8">
        <w:rPr>
          <w:rFonts w:eastAsia="Calibri"/>
          <w:i/>
          <w:sz w:val="22"/>
          <w:lang w:eastAsia="en-US"/>
        </w:rPr>
        <w:t xml:space="preserve">Щодо </w:t>
      </w:r>
      <w:r w:rsidR="007F5873" w:rsidRPr="000522E8">
        <w:rPr>
          <w:rFonts w:eastAsia="Calibri"/>
          <w:i/>
          <w:sz w:val="22"/>
          <w:lang w:eastAsia="en-US"/>
        </w:rPr>
        <w:t xml:space="preserve">донарахування ПДВ на вартість </w:t>
      </w:r>
    </w:p>
    <w:p w:rsidR="00673315" w:rsidRDefault="007F5873" w:rsidP="007F5873">
      <w:pPr>
        <w:jc w:val="both"/>
        <w:rPr>
          <w:rFonts w:eastAsia="Calibri"/>
          <w:i/>
          <w:sz w:val="22"/>
          <w:lang w:eastAsia="en-US"/>
        </w:rPr>
      </w:pPr>
      <w:r w:rsidRPr="000522E8">
        <w:rPr>
          <w:rFonts w:eastAsia="Calibri"/>
          <w:i/>
          <w:sz w:val="22"/>
          <w:lang w:eastAsia="en-US"/>
        </w:rPr>
        <w:t xml:space="preserve">реалізованої продукції на експорт </w:t>
      </w:r>
    </w:p>
    <w:p w:rsidR="00880737" w:rsidRPr="000522E8" w:rsidRDefault="007F5873" w:rsidP="007F5873">
      <w:pPr>
        <w:jc w:val="both"/>
        <w:rPr>
          <w:rFonts w:eastAsia="Calibri"/>
          <w:i/>
          <w:sz w:val="22"/>
          <w:lang w:eastAsia="en-US"/>
        </w:rPr>
      </w:pPr>
      <w:r w:rsidRPr="000522E8">
        <w:rPr>
          <w:rFonts w:eastAsia="Calibri"/>
          <w:i/>
          <w:sz w:val="22"/>
          <w:lang w:eastAsia="en-US"/>
        </w:rPr>
        <w:t>нижче собівартості</w:t>
      </w:r>
      <w:r w:rsidR="0031472C" w:rsidRPr="000522E8">
        <w:rPr>
          <w:rFonts w:eastAsia="Calibri"/>
          <w:i/>
          <w:sz w:val="22"/>
          <w:lang w:eastAsia="en-US"/>
        </w:rPr>
        <w:t xml:space="preserve"> </w:t>
      </w:r>
      <w:r w:rsidR="00673315" w:rsidRPr="00673315">
        <w:rPr>
          <w:rFonts w:eastAsia="Calibri"/>
          <w:i/>
          <w:sz w:val="22"/>
          <w:lang w:eastAsia="en-US"/>
        </w:rPr>
        <w:t>у 2015 році</w:t>
      </w:r>
    </w:p>
    <w:p w:rsidR="00880737" w:rsidRPr="000522E8" w:rsidRDefault="00880737" w:rsidP="00880737">
      <w:pPr>
        <w:jc w:val="both"/>
        <w:rPr>
          <w:rFonts w:eastAsia="Calibri"/>
          <w:lang w:eastAsia="en-US"/>
        </w:rPr>
      </w:pPr>
    </w:p>
    <w:p w:rsidR="007516FB" w:rsidRPr="000522E8" w:rsidRDefault="007516FB" w:rsidP="00880737">
      <w:pPr>
        <w:jc w:val="both"/>
        <w:rPr>
          <w:rFonts w:eastAsia="Calibri"/>
          <w:lang w:eastAsia="en-US"/>
        </w:rPr>
      </w:pPr>
    </w:p>
    <w:p w:rsidR="00880737" w:rsidRPr="000522E8" w:rsidRDefault="00880737" w:rsidP="00880737">
      <w:pPr>
        <w:ind w:left="284" w:firstLine="567"/>
        <w:jc w:val="center"/>
        <w:rPr>
          <w:rFonts w:eastAsia="Calibri"/>
          <w:b/>
          <w:lang w:eastAsia="en-US"/>
        </w:rPr>
      </w:pPr>
      <w:r w:rsidRPr="000522E8">
        <w:rPr>
          <w:rFonts w:eastAsia="Calibri"/>
          <w:b/>
          <w:lang w:eastAsia="en-US"/>
        </w:rPr>
        <w:t>Шановний Романе Михайловичу!</w:t>
      </w:r>
    </w:p>
    <w:p w:rsidR="00880737" w:rsidRPr="000522E8" w:rsidRDefault="00880737" w:rsidP="00880737">
      <w:pPr>
        <w:rPr>
          <w:lang w:eastAsia="en-US"/>
        </w:rPr>
      </w:pPr>
    </w:p>
    <w:p w:rsidR="007516FB" w:rsidRPr="000522E8" w:rsidRDefault="007516FB" w:rsidP="00880737">
      <w:pPr>
        <w:rPr>
          <w:lang w:eastAsia="en-US"/>
        </w:rPr>
      </w:pPr>
    </w:p>
    <w:p w:rsidR="008A7BC5" w:rsidRPr="000522E8" w:rsidRDefault="00880737" w:rsidP="001E5FF1">
      <w:pPr>
        <w:spacing w:after="120"/>
        <w:ind w:firstLine="720"/>
        <w:jc w:val="both"/>
      </w:pPr>
      <w:r w:rsidRPr="000522E8">
        <w:t xml:space="preserve">Від імені Ради </w:t>
      </w:r>
      <w:r w:rsidR="00EE7F66" w:rsidRPr="000522E8">
        <w:t>Д</w:t>
      </w:r>
      <w:r w:rsidRPr="000522E8">
        <w:t>иректорів Американської торгівельної палати в Україні (надалі – Палата) та компаній-членів засвідчуємо Вам свою глибоку повагу та звертаємось із проханням щодо надання письмової консультації стосовно</w:t>
      </w:r>
      <w:r w:rsidR="007F5873" w:rsidRPr="000522E8">
        <w:t xml:space="preserve"> донарахування ПДВ на вартість реалізованої продукції на експорт нижче собівартості</w:t>
      </w:r>
      <w:r w:rsidR="000522E8">
        <w:t xml:space="preserve"> у 2015 році</w:t>
      </w:r>
      <w:r w:rsidR="007F5873" w:rsidRPr="000522E8">
        <w:t>.</w:t>
      </w:r>
    </w:p>
    <w:p w:rsidR="0031472C" w:rsidRDefault="0031472C" w:rsidP="001E5FF1">
      <w:pPr>
        <w:spacing w:after="120"/>
        <w:ind w:firstLine="709"/>
        <w:jc w:val="both"/>
      </w:pPr>
      <w:r w:rsidRPr="000522E8">
        <w:t xml:space="preserve">Пункт 188.1 Податкового кодексу України (надалі – ПКУ) встановлює базу для операцій саме з поставки товарів. Так, </w:t>
      </w:r>
      <w:r w:rsidR="000522E8">
        <w:t xml:space="preserve">у 2015 році </w:t>
      </w:r>
      <w:r w:rsidRPr="000522E8">
        <w:t xml:space="preserve">відповідно до </w:t>
      </w:r>
      <w:proofErr w:type="spellStart"/>
      <w:r w:rsidRPr="000522E8">
        <w:t>абз</w:t>
      </w:r>
      <w:proofErr w:type="spellEnd"/>
      <w:r w:rsidRPr="000522E8">
        <w:t xml:space="preserve">. 2 п. 188.1 ст.188 ПКУ </w:t>
      </w:r>
      <w:r w:rsidR="000522E8" w:rsidRPr="000522E8">
        <w:t>база оподаткування операцій з постачання товарів/послуг не мо</w:t>
      </w:r>
      <w:r w:rsidR="000522E8">
        <w:t>гла б</w:t>
      </w:r>
      <w:r w:rsidR="000522E8" w:rsidRPr="000522E8">
        <w:t>ути нижче ціни придбання таких товарів/послуг</w:t>
      </w:r>
      <w:r w:rsidRPr="000522E8">
        <w:t xml:space="preserve">, а база оподаткування операцій з поставки </w:t>
      </w:r>
      <w:r w:rsidR="000522E8">
        <w:t>самостійно виготовлених товарів/послуг не могла</w:t>
      </w:r>
      <w:r w:rsidRPr="000522E8">
        <w:t xml:space="preserve"> бути нижче їх собівартості.</w:t>
      </w:r>
    </w:p>
    <w:p w:rsidR="000522E8" w:rsidRDefault="000522E8" w:rsidP="001E5FF1">
      <w:pPr>
        <w:spacing w:after="120"/>
        <w:ind w:firstLine="709"/>
        <w:jc w:val="both"/>
      </w:pPr>
      <w:r w:rsidRPr="000522E8">
        <w:t xml:space="preserve">Тому, виходячи з наведеної вище норми, не вбачається ніяких нормативних передумов для </w:t>
      </w:r>
      <w:r w:rsidRPr="000522E8">
        <w:rPr>
          <w:b/>
        </w:rPr>
        <w:t>нарахування 20% ставки ПДВ</w:t>
      </w:r>
      <w:r w:rsidRPr="000522E8">
        <w:t xml:space="preserve"> з посиланням на ці правила по визначенню бази оподаткування в разі експорту. Зі змісту п. 188.1 ПКУ випливає, що ці правила стосуються визначення бази оподаткування операцій з постачання товарів/послуг.</w:t>
      </w:r>
    </w:p>
    <w:p w:rsidR="000522E8" w:rsidRDefault="000522E8" w:rsidP="001E5FF1">
      <w:pPr>
        <w:spacing w:after="120"/>
        <w:ind w:firstLine="709"/>
        <w:jc w:val="both"/>
      </w:pPr>
      <w:r w:rsidRPr="000522E8">
        <w:t xml:space="preserve">У нашому випадку мова йде про ввезення товарів у митному режимі «експорт», яке згідно з ч. </w:t>
      </w:r>
      <w:r>
        <w:t>г</w:t>
      </w:r>
      <w:r w:rsidRPr="000522E8">
        <w:t>) п.185.1 є окремим об'єктом оподаткування, встановлений поряд з постачанням товарів і послуг з місцем поставки на митній території України - частини а) та б) п.185.1 ПКУ.</w:t>
      </w:r>
    </w:p>
    <w:p w:rsidR="000522E8" w:rsidRDefault="000522E8" w:rsidP="001E5FF1">
      <w:pPr>
        <w:spacing w:after="120"/>
        <w:ind w:firstLine="709"/>
        <w:jc w:val="both"/>
      </w:pPr>
      <w:r w:rsidRPr="000522E8">
        <w:t>Якщо ж навіть припустити, що в разі продажу товарів на експорт все ж відбувається і поставка таких товарів, тобто поняття «поставка товарів» ширше і може включати як експорт, так і продаж на території України, то в такому випадку все одно немає підстав застосовувати 20% ставку.</w:t>
      </w:r>
    </w:p>
    <w:p w:rsidR="00E70FD5" w:rsidRDefault="00E70FD5" w:rsidP="001E5FF1">
      <w:pPr>
        <w:spacing w:after="120"/>
        <w:ind w:firstLine="709"/>
        <w:jc w:val="both"/>
      </w:pPr>
      <w:r w:rsidRPr="00E70FD5">
        <w:t>Крім того, на підставі аналізу пункту 194.1 статті 194 ПКУ, можна зробити висновок про неможливість застосування до однієї операції поставки (одному об'єкту) різних ставок ПДВ. Норма зазначеного пункту встановлює, що всі операції, які є об'єктом оподаткування ПДВ відповідно до положень статті 185 ПКУ, за винятком операцій, звільнених від ПДВ і операцій, до яких застосовується нульова ставка або ставка 7%, оподатковуються за основною ставкою 20%.</w:t>
      </w:r>
    </w:p>
    <w:p w:rsidR="00E23786" w:rsidRDefault="00E23786" w:rsidP="001E5FF1">
      <w:pPr>
        <w:spacing w:after="120"/>
        <w:ind w:firstLine="709"/>
        <w:jc w:val="both"/>
      </w:pPr>
      <w:r w:rsidRPr="00E23786">
        <w:lastRenderedPageBreak/>
        <w:t>Ставка ПДВ 20%, 7% або 0% застосовується до об'єкта оподаткування (саме операції, які є об'єктом ПДВ, вказані в статті 185 ПКУ), а не до бази оподаткування, визначеної відповідно до положень статей 188 і 189 ПКУ.</w:t>
      </w:r>
    </w:p>
    <w:p w:rsidR="00E23786" w:rsidRDefault="00E23786" w:rsidP="001E5FF1">
      <w:pPr>
        <w:spacing w:after="120"/>
        <w:ind w:firstLine="709"/>
        <w:jc w:val="both"/>
      </w:pPr>
      <w:r w:rsidRPr="00E23786">
        <w:t xml:space="preserve">Отже, до експортної операції не може застосовуватися ставка 20%, оскільки такі операції оподатковуються за нульовою ставкою відповідно до пункту 195.1.1 ПКУ, так </w:t>
      </w:r>
      <w:r>
        <w:t>як ч. а</w:t>
      </w:r>
      <w:r w:rsidRPr="00E23786">
        <w:t xml:space="preserve">) пп.195.1.1 ст. 195 ПКУ чітко встановлює, що вивезення товарів за межі митної території України оподатковується </w:t>
      </w:r>
      <w:r w:rsidRPr="00E23786">
        <w:rPr>
          <w:b/>
        </w:rPr>
        <w:t>за нульовою ставкою ПДВ</w:t>
      </w:r>
      <w:r w:rsidRPr="00E23786">
        <w:t>.</w:t>
      </w:r>
    </w:p>
    <w:p w:rsidR="00E23786" w:rsidRDefault="00E23786" w:rsidP="001E5FF1">
      <w:pPr>
        <w:spacing w:after="120"/>
        <w:ind w:firstLine="708"/>
        <w:jc w:val="both"/>
      </w:pPr>
      <w:r w:rsidRPr="00E23786">
        <w:t>Таким чином, при здійсненні експорту товарів мова йде про одну операції і одному об'єкті оподаткування - експорті товарів, який підлягає оподаткуванню за ставкою 0%.</w:t>
      </w:r>
    </w:p>
    <w:p w:rsidR="0043735B" w:rsidRPr="00AF07BD" w:rsidRDefault="00AF07BD" w:rsidP="00AF07BD">
      <w:pPr>
        <w:spacing w:after="120"/>
        <w:ind w:firstLine="709"/>
        <w:jc w:val="both"/>
        <w:rPr>
          <w:b/>
        </w:rPr>
      </w:pPr>
      <w:r w:rsidRPr="00AF07BD">
        <w:rPr>
          <w:b/>
        </w:rPr>
        <w:t>Питання: н</w:t>
      </w:r>
      <w:r w:rsidR="0043735B" w:rsidRPr="00AF07BD">
        <w:rPr>
          <w:b/>
        </w:rPr>
        <w:t xml:space="preserve">а підставі вищенаведених аргументів </w:t>
      </w:r>
      <w:r w:rsidRPr="00AF07BD">
        <w:rPr>
          <w:b/>
        </w:rPr>
        <w:t>чи правильно ми розуміємо</w:t>
      </w:r>
      <w:r w:rsidR="0043735B" w:rsidRPr="00AF07BD">
        <w:rPr>
          <w:b/>
        </w:rPr>
        <w:t>, що для операцій з експорту товарів за ціною, нижчою за собівартість, ставка 0% застосовується як до фактичної вартості товарів, так і до суми перевищення собівартості то</w:t>
      </w:r>
      <w:r w:rsidR="000B3441">
        <w:rPr>
          <w:b/>
        </w:rPr>
        <w:t>варів над їх фактичною вартістю?</w:t>
      </w:r>
      <w:bookmarkStart w:id="0" w:name="_GoBack"/>
      <w:bookmarkEnd w:id="0"/>
    </w:p>
    <w:p w:rsidR="001874C5" w:rsidRPr="000522E8" w:rsidRDefault="001874C5" w:rsidP="001E5FF1">
      <w:pPr>
        <w:spacing w:after="120"/>
        <w:ind w:firstLine="709"/>
        <w:jc w:val="both"/>
        <w:rPr>
          <w:bCs/>
        </w:rPr>
      </w:pPr>
      <w:r w:rsidRPr="000522E8">
        <w:rPr>
          <w:bCs/>
        </w:rPr>
        <w:t xml:space="preserve">Заздалегідь вдячні за </w:t>
      </w:r>
      <w:r w:rsidR="00EE7F66" w:rsidRPr="000522E8">
        <w:rPr>
          <w:bCs/>
        </w:rPr>
        <w:t>оперативну</w:t>
      </w:r>
      <w:r w:rsidRPr="000522E8">
        <w:rPr>
          <w:bCs/>
        </w:rPr>
        <w:t xml:space="preserve"> відповідь.</w:t>
      </w:r>
    </w:p>
    <w:p w:rsidR="00E76D05" w:rsidRPr="000522E8" w:rsidRDefault="00402528" w:rsidP="001E5FF1">
      <w:pPr>
        <w:spacing w:after="120"/>
        <w:ind w:firstLine="709"/>
        <w:jc w:val="both"/>
      </w:pPr>
      <w:r w:rsidRPr="000522E8">
        <w:t>З метою реалізації зазначеного</w:t>
      </w:r>
      <w:r w:rsidR="004C701E" w:rsidRPr="000522E8">
        <w:t xml:space="preserve">, будь ласка, </w:t>
      </w:r>
      <w:r w:rsidR="00E76D05" w:rsidRPr="000522E8">
        <w:t xml:space="preserve">просимо уповноважити відповідальну особу, яка б могла зв’язатися з нами за телефоном 490-58-00 або електронною поштою </w:t>
      </w:r>
      <w:hyperlink r:id="rId13" w:history="1">
        <w:r w:rsidR="00E76D05" w:rsidRPr="000522E8">
          <w:t>oprokhorovych@chamber.ua</w:t>
        </w:r>
      </w:hyperlink>
      <w:r w:rsidR="00E76D05" w:rsidRPr="000522E8">
        <w:t>, контактна особа - Олександр Прохорович, менеджер Палати з питань стратегічного розвитку (оподаткування та митна політика)</w:t>
      </w:r>
      <w:r w:rsidR="000A15A8" w:rsidRPr="000522E8">
        <w:t>.</w:t>
      </w:r>
    </w:p>
    <w:p w:rsidR="00780B9A" w:rsidRPr="000522E8" w:rsidRDefault="00780B9A" w:rsidP="00780B9A">
      <w:pPr>
        <w:ind w:left="284"/>
        <w:jc w:val="both"/>
      </w:pPr>
    </w:p>
    <w:p w:rsidR="004C701E" w:rsidRPr="000522E8" w:rsidRDefault="004C701E" w:rsidP="0078578A">
      <w:pPr>
        <w:jc w:val="both"/>
        <w:rPr>
          <w:b/>
        </w:rPr>
      </w:pPr>
      <w:r w:rsidRPr="000522E8">
        <w:rPr>
          <w:b/>
        </w:rPr>
        <w:t>З глибокою повагою та найкращими побажаннями,</w:t>
      </w:r>
    </w:p>
    <w:p w:rsidR="001B13FB" w:rsidRPr="000522E8" w:rsidRDefault="001B13FB" w:rsidP="0078578A">
      <w:pPr>
        <w:jc w:val="both"/>
        <w:rPr>
          <w:rStyle w:val="ab"/>
          <w:color w:val="000000"/>
        </w:rPr>
      </w:pPr>
    </w:p>
    <w:p w:rsidR="00550F18" w:rsidRPr="000522E8" w:rsidRDefault="00550F18" w:rsidP="0078578A">
      <w:pPr>
        <w:tabs>
          <w:tab w:val="left" w:pos="-284"/>
        </w:tabs>
        <w:spacing w:after="120"/>
        <w:jc w:val="both"/>
        <w:rPr>
          <w:rFonts w:eastAsia="Calibri"/>
          <w:lang w:eastAsia="en-US"/>
        </w:rPr>
      </w:pPr>
      <w:r w:rsidRPr="000522E8">
        <w:rPr>
          <w:rFonts w:eastAsia="Calibri"/>
          <w:b/>
          <w:lang w:eastAsia="ru-RU"/>
        </w:rPr>
        <w:t>Президент</w:t>
      </w:r>
      <w:r w:rsidRPr="000522E8">
        <w:rPr>
          <w:rFonts w:eastAsia="Calibri"/>
          <w:b/>
          <w:lang w:eastAsia="ru-RU"/>
        </w:rPr>
        <w:tab/>
      </w:r>
      <w:r w:rsidRPr="000522E8">
        <w:rPr>
          <w:rFonts w:eastAsia="Calibri"/>
          <w:b/>
          <w:lang w:eastAsia="ru-RU"/>
        </w:rPr>
        <w:tab/>
      </w:r>
      <w:r w:rsidRPr="000522E8">
        <w:rPr>
          <w:rFonts w:eastAsia="Calibri"/>
          <w:b/>
          <w:lang w:eastAsia="ru-RU"/>
        </w:rPr>
        <w:tab/>
      </w:r>
      <w:r w:rsidRPr="000522E8">
        <w:rPr>
          <w:rFonts w:eastAsia="Calibri"/>
          <w:b/>
          <w:lang w:eastAsia="ru-RU"/>
        </w:rPr>
        <w:tab/>
      </w:r>
      <w:r w:rsidRPr="000522E8">
        <w:rPr>
          <w:rFonts w:eastAsia="Calibri"/>
          <w:b/>
          <w:lang w:eastAsia="ru-RU"/>
        </w:rPr>
        <w:tab/>
      </w:r>
      <w:r w:rsidRPr="000522E8">
        <w:rPr>
          <w:rFonts w:eastAsia="Calibri"/>
          <w:b/>
          <w:lang w:eastAsia="ru-RU"/>
        </w:rPr>
        <w:tab/>
      </w:r>
      <w:r w:rsidR="00350F93" w:rsidRPr="000522E8">
        <w:rPr>
          <w:rFonts w:eastAsia="Calibri"/>
          <w:b/>
          <w:lang w:eastAsia="ru-RU"/>
        </w:rPr>
        <w:t xml:space="preserve"> </w:t>
      </w:r>
      <w:r w:rsidRPr="000522E8">
        <w:rPr>
          <w:rFonts w:eastAsia="Calibri"/>
          <w:b/>
          <w:lang w:eastAsia="ru-RU"/>
        </w:rPr>
        <w:tab/>
        <w:t xml:space="preserve">                  </w:t>
      </w:r>
      <w:r w:rsidR="00350F93" w:rsidRPr="000522E8">
        <w:rPr>
          <w:rFonts w:eastAsia="Calibri"/>
          <w:b/>
          <w:lang w:eastAsia="ru-RU"/>
        </w:rPr>
        <w:t xml:space="preserve">           </w:t>
      </w:r>
      <w:r w:rsidR="00A8418B" w:rsidRPr="000522E8">
        <w:rPr>
          <w:rFonts w:eastAsia="Calibri"/>
          <w:b/>
          <w:lang w:eastAsia="ru-RU"/>
        </w:rPr>
        <w:t xml:space="preserve">       </w:t>
      </w:r>
      <w:r w:rsidR="00350F93" w:rsidRPr="000522E8">
        <w:rPr>
          <w:rFonts w:eastAsia="Calibri"/>
          <w:b/>
          <w:lang w:eastAsia="ru-RU"/>
        </w:rPr>
        <w:t xml:space="preserve"> </w:t>
      </w:r>
      <w:r w:rsidR="00DC54E7" w:rsidRPr="000522E8">
        <w:rPr>
          <w:rFonts w:eastAsia="Calibri"/>
          <w:b/>
          <w:lang w:eastAsia="ru-RU"/>
        </w:rPr>
        <w:t xml:space="preserve">           </w:t>
      </w:r>
      <w:r w:rsidRPr="000522E8">
        <w:rPr>
          <w:rFonts w:eastAsia="Calibri"/>
          <w:b/>
          <w:lang w:eastAsia="ru-RU"/>
        </w:rPr>
        <w:t xml:space="preserve">Андрій </w:t>
      </w:r>
      <w:proofErr w:type="spellStart"/>
      <w:r w:rsidRPr="000522E8">
        <w:rPr>
          <w:rFonts w:eastAsia="Calibri"/>
          <w:b/>
          <w:lang w:eastAsia="ru-RU"/>
        </w:rPr>
        <w:t>Гундер</w:t>
      </w:r>
      <w:proofErr w:type="spellEnd"/>
      <w:r w:rsidRPr="000522E8">
        <w:rPr>
          <w:rFonts w:eastAsia="Calibri"/>
          <w:b/>
          <w:lang w:eastAsia="ru-RU"/>
        </w:rPr>
        <w:t xml:space="preserve"> </w:t>
      </w:r>
    </w:p>
    <w:sectPr w:rsidR="00550F18" w:rsidRPr="000522E8" w:rsidSect="00D230E1">
      <w:headerReference w:type="even" r:id="rId14"/>
      <w:headerReference w:type="default" r:id="rId15"/>
      <w:footerReference w:type="even" r:id="rId16"/>
      <w:footerReference w:type="default" r:id="rId17"/>
      <w:headerReference w:type="first" r:id="rId18"/>
      <w:footerReference w:type="first" r:id="rId19"/>
      <w:pgSz w:w="11906" w:h="16838"/>
      <w:pgMar w:top="567" w:right="849"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FA" w:rsidRDefault="001561FA" w:rsidP="00742BAD">
      <w:r>
        <w:separator/>
      </w:r>
    </w:p>
  </w:endnote>
  <w:endnote w:type="continuationSeparator" w:id="0">
    <w:p w:rsidR="001561FA" w:rsidRDefault="001561FA"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E" w:rsidRPr="00EA068F" w:rsidRDefault="00ED3ACE" w:rsidP="00ED3ACE">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_________________________________________________________________________________________________________________________</w:t>
    </w:r>
  </w:p>
  <w:p w:rsidR="00ED3ACE" w:rsidRPr="00FD004B" w:rsidRDefault="00ED3ACE" w:rsidP="00ED3ACE">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7C508D">
      <w:rPr>
        <w:rFonts w:ascii="Arial" w:hAnsi="Arial" w:cs="Arial"/>
        <w:i/>
        <w:color w:val="0F243E"/>
        <w:sz w:val="16"/>
        <w:szCs w:val="16"/>
      </w:rPr>
      <w:t xml:space="preserve"> </w:t>
    </w:r>
    <w:proofErr w:type="spellStart"/>
    <w:r w:rsidRPr="00F80688">
      <w:rPr>
        <w:rFonts w:ascii="Arial" w:hAnsi="Arial" w:cs="Arial"/>
        <w:b/>
        <w:i/>
        <w:color w:val="0F243E"/>
        <w:sz w:val="16"/>
        <w:szCs w:val="16"/>
      </w:rPr>
      <w:t>Грехем</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Тайлі</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Шелл</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 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 Стівен Фішер, </w:t>
    </w:r>
    <w:r w:rsidRPr="00F80688">
      <w:rPr>
        <w:rFonts w:ascii="Arial" w:hAnsi="Arial" w:cs="Arial"/>
        <w:i/>
        <w:color w:val="0F243E"/>
        <w:sz w:val="16"/>
        <w:szCs w:val="16"/>
      </w:rPr>
      <w:t>"</w:t>
    </w:r>
    <w:proofErr w:type="spellStart"/>
    <w:r w:rsidRPr="00F80688">
      <w:rPr>
        <w:rFonts w:ascii="Arial" w:hAnsi="Arial" w:cs="Arial"/>
        <w:i/>
        <w:color w:val="0F243E"/>
        <w:sz w:val="16"/>
        <w:szCs w:val="16"/>
      </w:rPr>
      <w:t>Сітібанк</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 Заступник голови; Жан-Поль </w:t>
    </w:r>
    <w:proofErr w:type="spellStart"/>
    <w:r w:rsidRPr="00F80688">
      <w:rPr>
        <w:rFonts w:ascii="Arial" w:hAnsi="Arial" w:cs="Arial"/>
        <w:b/>
        <w:i/>
        <w:color w:val="0F243E"/>
        <w:sz w:val="16"/>
        <w:szCs w:val="16"/>
      </w:rPr>
      <w:t>Шоєр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Санофі-Авентіс</w:t>
    </w:r>
    <w:proofErr w:type="spellEnd"/>
    <w:r w:rsidRPr="00F80688">
      <w:rPr>
        <w:rFonts w:ascii="Arial" w:hAnsi="Arial" w:cs="Arial"/>
        <w:i/>
        <w:color w:val="0F243E"/>
        <w:sz w:val="16"/>
        <w:szCs w:val="16"/>
      </w:rPr>
      <w:t xml:space="preserve"> Україна”</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xml:space="preserve">– Секретар; Надія Васильєва, </w:t>
    </w:r>
    <w:r w:rsidRPr="00F80688">
      <w:rPr>
        <w:rFonts w:ascii="Arial" w:hAnsi="Arial" w:cs="Arial"/>
        <w:i/>
        <w:color w:val="0F243E"/>
        <w:sz w:val="16"/>
        <w:szCs w:val="16"/>
      </w:rPr>
      <w:t xml:space="preserve">“Майкрософт Україна”;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proofErr w:type="spellStart"/>
    <w:r w:rsidRPr="00F80688">
      <w:rPr>
        <w:rFonts w:ascii="Arial" w:hAnsi="Arial" w:cs="Arial"/>
        <w:i/>
        <w:color w:val="0F243E"/>
        <w:sz w:val="16"/>
        <w:szCs w:val="16"/>
      </w:rPr>
      <w:t>Київстар</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Бейкер</w:t>
    </w:r>
    <w:proofErr w:type="spellEnd"/>
    <w:r w:rsidRPr="00F80688">
      <w:rPr>
        <w:rFonts w:ascii="Arial" w:hAnsi="Arial" w:cs="Arial"/>
        <w:i/>
        <w:color w:val="0F243E"/>
        <w:sz w:val="16"/>
        <w:szCs w:val="16"/>
      </w:rPr>
      <w:t xml:space="preserve"> і </w:t>
    </w:r>
    <w:proofErr w:type="spellStart"/>
    <w:r w:rsidRPr="00F80688">
      <w:rPr>
        <w:rFonts w:ascii="Arial" w:hAnsi="Arial" w:cs="Arial"/>
        <w:i/>
        <w:color w:val="0F243E"/>
        <w:sz w:val="16"/>
        <w:szCs w:val="16"/>
      </w:rPr>
      <w:t>Макензі</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proofErr w:type="spellStart"/>
    <w:r w:rsidRPr="00F80688">
      <w:rPr>
        <w:rFonts w:ascii="Arial" w:hAnsi="Arial" w:cs="Arial"/>
        <w:i/>
        <w:color w:val="0F243E"/>
        <w:sz w:val="16"/>
        <w:szCs w:val="16"/>
      </w:rPr>
      <w:t>Каргілл</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Кері</w:t>
    </w:r>
    <w:proofErr w:type="spellEnd"/>
    <w:r w:rsidRPr="00F80688">
      <w:rPr>
        <w:rFonts w:ascii="Arial" w:hAnsi="Arial" w:cs="Arial"/>
        <w:i/>
        <w:color w:val="0F243E"/>
        <w:sz w:val="16"/>
        <w:szCs w:val="16"/>
      </w:rPr>
      <w:t xml:space="preserve"> Україна".</w:t>
    </w:r>
  </w:p>
  <w:p w:rsidR="00ED3ACE" w:rsidRPr="00C35D47" w:rsidRDefault="00ED3ACE" w:rsidP="00ED3ACE">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FA" w:rsidRDefault="001561FA" w:rsidP="00742BAD">
      <w:r>
        <w:separator/>
      </w:r>
    </w:p>
  </w:footnote>
  <w:footnote w:type="continuationSeparator" w:id="0">
    <w:p w:rsidR="001561FA" w:rsidRDefault="001561FA"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1561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9" o:spid="_x0000_s2050" type="#_x0000_t136" style="position:absolute;margin-left:0;margin-top:0;width:528.2pt;height:21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12" w:rsidRDefault="001561FA" w:rsidP="00712510">
    <w:pPr>
      <w:pStyle w:val="a3"/>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30" o:spid="_x0000_s2051" type="#_x0000_t136" style="position:absolute;margin-left:0;margin-top:0;width:528.2pt;height:21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D3ACE">
      <w:rPr>
        <w:noProof/>
      </w:rPr>
      <w:drawing>
        <wp:inline distT="0" distB="0" distL="0" distR="0" wp14:anchorId="2F142917" wp14:editId="3379346B">
          <wp:extent cx="6661150" cy="687483"/>
          <wp:effectExtent l="0" t="0" r="0"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687483"/>
                  </a:xfrm>
                  <a:prstGeom prst="rect">
                    <a:avLst/>
                  </a:prstGeom>
                  <a:noFill/>
                  <a:ln>
                    <a:noFill/>
                  </a:ln>
                </pic:spPr>
              </pic:pic>
            </a:graphicData>
          </a:graphic>
        </wp:inline>
      </w:drawing>
    </w:r>
  </w:p>
  <w:p w:rsidR="00866412" w:rsidRDefault="00866412" w:rsidP="00712510">
    <w:pPr>
      <w:pStyle w:val="a3"/>
      <w:rPr>
        <w:lang w:val="en-US"/>
      </w:rPr>
    </w:pP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1561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8" o:spid="_x0000_s2049" type="#_x0000_t136" style="position:absolute;margin-left:0;margin-top:0;width:528.2pt;height:21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87"/>
    <w:multiLevelType w:val="hybridMultilevel"/>
    <w:tmpl w:val="9C249E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175BE8"/>
    <w:multiLevelType w:val="hybridMultilevel"/>
    <w:tmpl w:val="0818D7CA"/>
    <w:lvl w:ilvl="0" w:tplc="E2509A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94259"/>
    <w:multiLevelType w:val="hybridMultilevel"/>
    <w:tmpl w:val="EF16AE26"/>
    <w:lvl w:ilvl="0" w:tplc="89A869E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0D187B"/>
    <w:multiLevelType w:val="hybridMultilevel"/>
    <w:tmpl w:val="47E6CCD2"/>
    <w:lvl w:ilvl="0" w:tplc="92AA29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987ABD"/>
    <w:multiLevelType w:val="hybridMultilevel"/>
    <w:tmpl w:val="DFC295A6"/>
    <w:lvl w:ilvl="0" w:tplc="0419000F">
      <w:start w:val="1"/>
      <w:numFmt w:val="decimal"/>
      <w:lvlText w:val="%1."/>
      <w:lvlJc w:val="left"/>
      <w:pPr>
        <w:ind w:left="6031" w:hanging="360"/>
      </w:pPr>
    </w:lvl>
    <w:lvl w:ilvl="1" w:tplc="04190019">
      <w:start w:val="1"/>
      <w:numFmt w:val="lowerLetter"/>
      <w:lvlText w:val="%2."/>
      <w:lvlJc w:val="left"/>
      <w:pPr>
        <w:ind w:left="6751" w:hanging="360"/>
      </w:pPr>
    </w:lvl>
    <w:lvl w:ilvl="2" w:tplc="0419001B">
      <w:start w:val="1"/>
      <w:numFmt w:val="lowerRoman"/>
      <w:lvlText w:val="%3."/>
      <w:lvlJc w:val="right"/>
      <w:pPr>
        <w:ind w:left="7471" w:hanging="180"/>
      </w:pPr>
    </w:lvl>
    <w:lvl w:ilvl="3" w:tplc="0419000F">
      <w:start w:val="1"/>
      <w:numFmt w:val="decimal"/>
      <w:lvlText w:val="%4."/>
      <w:lvlJc w:val="left"/>
      <w:pPr>
        <w:ind w:left="8191" w:hanging="360"/>
      </w:pPr>
    </w:lvl>
    <w:lvl w:ilvl="4" w:tplc="04190019">
      <w:start w:val="1"/>
      <w:numFmt w:val="lowerLetter"/>
      <w:lvlText w:val="%5."/>
      <w:lvlJc w:val="left"/>
      <w:pPr>
        <w:ind w:left="8911" w:hanging="360"/>
      </w:pPr>
    </w:lvl>
    <w:lvl w:ilvl="5" w:tplc="0419001B">
      <w:start w:val="1"/>
      <w:numFmt w:val="lowerRoman"/>
      <w:lvlText w:val="%6."/>
      <w:lvlJc w:val="right"/>
      <w:pPr>
        <w:ind w:left="9631" w:hanging="180"/>
      </w:pPr>
    </w:lvl>
    <w:lvl w:ilvl="6" w:tplc="0419000F">
      <w:start w:val="1"/>
      <w:numFmt w:val="decimal"/>
      <w:lvlText w:val="%7."/>
      <w:lvlJc w:val="left"/>
      <w:pPr>
        <w:ind w:left="10351" w:hanging="360"/>
      </w:pPr>
    </w:lvl>
    <w:lvl w:ilvl="7" w:tplc="04190019">
      <w:start w:val="1"/>
      <w:numFmt w:val="lowerLetter"/>
      <w:lvlText w:val="%8."/>
      <w:lvlJc w:val="left"/>
      <w:pPr>
        <w:ind w:left="11071" w:hanging="360"/>
      </w:pPr>
    </w:lvl>
    <w:lvl w:ilvl="8" w:tplc="0419001B">
      <w:start w:val="1"/>
      <w:numFmt w:val="lowerRoman"/>
      <w:lvlText w:val="%9."/>
      <w:lvlJc w:val="right"/>
      <w:pPr>
        <w:ind w:left="11791" w:hanging="180"/>
      </w:pPr>
    </w:lvl>
  </w:abstractNum>
  <w:abstractNum w:abstractNumId="10">
    <w:nsid w:val="4B1D4BF6"/>
    <w:multiLevelType w:val="hybridMultilevel"/>
    <w:tmpl w:val="154A2798"/>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8863E9"/>
    <w:multiLevelType w:val="hybridMultilevel"/>
    <w:tmpl w:val="6AE6786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15E14"/>
    <w:multiLevelType w:val="hybridMultilevel"/>
    <w:tmpl w:val="E7F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56EEE"/>
    <w:multiLevelType w:val="hybridMultilevel"/>
    <w:tmpl w:val="ED3CB5C6"/>
    <w:lvl w:ilvl="0" w:tplc="4B3EF39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7D9507C4"/>
    <w:multiLevelType w:val="hybridMultilevel"/>
    <w:tmpl w:val="829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11"/>
  </w:num>
  <w:num w:numId="6">
    <w:abstractNumId w:val="6"/>
  </w:num>
  <w:num w:numId="7">
    <w:abstractNumId w:val="12"/>
  </w:num>
  <w:num w:numId="8">
    <w:abstractNumId w:val="14"/>
  </w:num>
  <w:num w:numId="9">
    <w:abstractNumId w:val="7"/>
  </w:num>
  <w:num w:numId="10">
    <w:abstractNumId w:val="13"/>
  </w:num>
  <w:num w:numId="11">
    <w:abstractNumId w:val="15"/>
  </w:num>
  <w:num w:numId="12">
    <w:abstractNumId w:val="4"/>
  </w:num>
  <w:num w:numId="13">
    <w:abstractNumId w:val="10"/>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07FEC"/>
    <w:rsid w:val="0002094A"/>
    <w:rsid w:val="000209B7"/>
    <w:rsid w:val="000416E8"/>
    <w:rsid w:val="000426AB"/>
    <w:rsid w:val="000429DF"/>
    <w:rsid w:val="000522E8"/>
    <w:rsid w:val="000563D0"/>
    <w:rsid w:val="00065140"/>
    <w:rsid w:val="000712AD"/>
    <w:rsid w:val="000713D1"/>
    <w:rsid w:val="00072CB3"/>
    <w:rsid w:val="00072DFE"/>
    <w:rsid w:val="000857D4"/>
    <w:rsid w:val="00090086"/>
    <w:rsid w:val="00090A50"/>
    <w:rsid w:val="000A15A8"/>
    <w:rsid w:val="000A4443"/>
    <w:rsid w:val="000A5203"/>
    <w:rsid w:val="000A763F"/>
    <w:rsid w:val="000B0DBE"/>
    <w:rsid w:val="000B3441"/>
    <w:rsid w:val="000B4959"/>
    <w:rsid w:val="000B582B"/>
    <w:rsid w:val="000B6D71"/>
    <w:rsid w:val="000C48D9"/>
    <w:rsid w:val="000D18EA"/>
    <w:rsid w:val="000E3826"/>
    <w:rsid w:val="000E63EE"/>
    <w:rsid w:val="00107E5C"/>
    <w:rsid w:val="001121F8"/>
    <w:rsid w:val="001137C8"/>
    <w:rsid w:val="001142D0"/>
    <w:rsid w:val="001144A8"/>
    <w:rsid w:val="00126CEF"/>
    <w:rsid w:val="001368E3"/>
    <w:rsid w:val="0014059B"/>
    <w:rsid w:val="00143016"/>
    <w:rsid w:val="00144DBC"/>
    <w:rsid w:val="00146463"/>
    <w:rsid w:val="00154EA0"/>
    <w:rsid w:val="001561FA"/>
    <w:rsid w:val="00160FDC"/>
    <w:rsid w:val="00165464"/>
    <w:rsid w:val="00171639"/>
    <w:rsid w:val="001721F1"/>
    <w:rsid w:val="00173309"/>
    <w:rsid w:val="00182929"/>
    <w:rsid w:val="00184F80"/>
    <w:rsid w:val="00184FEF"/>
    <w:rsid w:val="001861AA"/>
    <w:rsid w:val="001874C5"/>
    <w:rsid w:val="0019435F"/>
    <w:rsid w:val="001A49ED"/>
    <w:rsid w:val="001B13FB"/>
    <w:rsid w:val="001B1E0E"/>
    <w:rsid w:val="001C5DFB"/>
    <w:rsid w:val="001D4427"/>
    <w:rsid w:val="001D6AB6"/>
    <w:rsid w:val="001D7A03"/>
    <w:rsid w:val="001E5FF1"/>
    <w:rsid w:val="001F2EDF"/>
    <w:rsid w:val="001F65CF"/>
    <w:rsid w:val="00201D61"/>
    <w:rsid w:val="00204B14"/>
    <w:rsid w:val="002055B9"/>
    <w:rsid w:val="00214716"/>
    <w:rsid w:val="002153C3"/>
    <w:rsid w:val="0022128C"/>
    <w:rsid w:val="0023567E"/>
    <w:rsid w:val="002424FC"/>
    <w:rsid w:val="00250AB4"/>
    <w:rsid w:val="00253A8F"/>
    <w:rsid w:val="00270AAD"/>
    <w:rsid w:val="002722B6"/>
    <w:rsid w:val="00277B52"/>
    <w:rsid w:val="00293BCD"/>
    <w:rsid w:val="002A1E61"/>
    <w:rsid w:val="002B416F"/>
    <w:rsid w:val="002B41E3"/>
    <w:rsid w:val="002B4FF6"/>
    <w:rsid w:val="002B60F0"/>
    <w:rsid w:val="002C15DB"/>
    <w:rsid w:val="002C65A7"/>
    <w:rsid w:val="002D1292"/>
    <w:rsid w:val="002D15CB"/>
    <w:rsid w:val="002D2406"/>
    <w:rsid w:val="002D5113"/>
    <w:rsid w:val="002E1592"/>
    <w:rsid w:val="002E7486"/>
    <w:rsid w:val="002F10D6"/>
    <w:rsid w:val="003013EF"/>
    <w:rsid w:val="00310407"/>
    <w:rsid w:val="00311B6E"/>
    <w:rsid w:val="0031472C"/>
    <w:rsid w:val="0031780C"/>
    <w:rsid w:val="00322A39"/>
    <w:rsid w:val="00326293"/>
    <w:rsid w:val="003335FB"/>
    <w:rsid w:val="003348B1"/>
    <w:rsid w:val="00336BB2"/>
    <w:rsid w:val="00340116"/>
    <w:rsid w:val="00350F93"/>
    <w:rsid w:val="0035251F"/>
    <w:rsid w:val="0036110F"/>
    <w:rsid w:val="00362993"/>
    <w:rsid w:val="00365E0A"/>
    <w:rsid w:val="00367DE7"/>
    <w:rsid w:val="00375713"/>
    <w:rsid w:val="00377540"/>
    <w:rsid w:val="00385169"/>
    <w:rsid w:val="00391965"/>
    <w:rsid w:val="003979A2"/>
    <w:rsid w:val="003A0879"/>
    <w:rsid w:val="003A1F50"/>
    <w:rsid w:val="003A50CB"/>
    <w:rsid w:val="003A5ADD"/>
    <w:rsid w:val="003B6627"/>
    <w:rsid w:val="003C1500"/>
    <w:rsid w:val="003D0FF7"/>
    <w:rsid w:val="003E256D"/>
    <w:rsid w:val="003E379A"/>
    <w:rsid w:val="003E4E18"/>
    <w:rsid w:val="003E5862"/>
    <w:rsid w:val="003E6EF5"/>
    <w:rsid w:val="003F5ED7"/>
    <w:rsid w:val="003F7B31"/>
    <w:rsid w:val="003F7D10"/>
    <w:rsid w:val="00401F2A"/>
    <w:rsid w:val="00402528"/>
    <w:rsid w:val="004057A6"/>
    <w:rsid w:val="00410837"/>
    <w:rsid w:val="004165DF"/>
    <w:rsid w:val="00420ED4"/>
    <w:rsid w:val="00425756"/>
    <w:rsid w:val="0043735B"/>
    <w:rsid w:val="00441352"/>
    <w:rsid w:val="00443132"/>
    <w:rsid w:val="00446E6D"/>
    <w:rsid w:val="00457E70"/>
    <w:rsid w:val="00465F45"/>
    <w:rsid w:val="00472201"/>
    <w:rsid w:val="00480D48"/>
    <w:rsid w:val="0048318E"/>
    <w:rsid w:val="00487357"/>
    <w:rsid w:val="004915DD"/>
    <w:rsid w:val="00493F99"/>
    <w:rsid w:val="004A043D"/>
    <w:rsid w:val="004A1F92"/>
    <w:rsid w:val="004A672F"/>
    <w:rsid w:val="004B4D55"/>
    <w:rsid w:val="004B64F6"/>
    <w:rsid w:val="004C3FCF"/>
    <w:rsid w:val="004C701E"/>
    <w:rsid w:val="004D7446"/>
    <w:rsid w:val="004D77E1"/>
    <w:rsid w:val="004E6302"/>
    <w:rsid w:val="004E659F"/>
    <w:rsid w:val="004F2E45"/>
    <w:rsid w:val="004F68A7"/>
    <w:rsid w:val="004F74E4"/>
    <w:rsid w:val="005025BD"/>
    <w:rsid w:val="00510785"/>
    <w:rsid w:val="00525F7F"/>
    <w:rsid w:val="00545DBA"/>
    <w:rsid w:val="00547C35"/>
    <w:rsid w:val="00550F18"/>
    <w:rsid w:val="005527F6"/>
    <w:rsid w:val="00555217"/>
    <w:rsid w:val="00567637"/>
    <w:rsid w:val="00567698"/>
    <w:rsid w:val="005715AC"/>
    <w:rsid w:val="00575A54"/>
    <w:rsid w:val="005814D3"/>
    <w:rsid w:val="00581BFA"/>
    <w:rsid w:val="00584EE4"/>
    <w:rsid w:val="00590E60"/>
    <w:rsid w:val="0059718C"/>
    <w:rsid w:val="005A0AFF"/>
    <w:rsid w:val="005A27B1"/>
    <w:rsid w:val="005B3AEB"/>
    <w:rsid w:val="005C0201"/>
    <w:rsid w:val="005C10B4"/>
    <w:rsid w:val="005C59A8"/>
    <w:rsid w:val="005D7303"/>
    <w:rsid w:val="005E6611"/>
    <w:rsid w:val="005F0BA3"/>
    <w:rsid w:val="005F1110"/>
    <w:rsid w:val="0060098E"/>
    <w:rsid w:val="00610AA0"/>
    <w:rsid w:val="00612DEE"/>
    <w:rsid w:val="00615121"/>
    <w:rsid w:val="00635787"/>
    <w:rsid w:val="00641268"/>
    <w:rsid w:val="00642A4C"/>
    <w:rsid w:val="0064737E"/>
    <w:rsid w:val="00654E0E"/>
    <w:rsid w:val="00663BD4"/>
    <w:rsid w:val="00673315"/>
    <w:rsid w:val="00673938"/>
    <w:rsid w:val="006822A1"/>
    <w:rsid w:val="00682652"/>
    <w:rsid w:val="00682C77"/>
    <w:rsid w:val="0068417E"/>
    <w:rsid w:val="006A0F1F"/>
    <w:rsid w:val="006A3FC0"/>
    <w:rsid w:val="006A47AF"/>
    <w:rsid w:val="006A48BA"/>
    <w:rsid w:val="006A49E3"/>
    <w:rsid w:val="006A527F"/>
    <w:rsid w:val="006A63D0"/>
    <w:rsid w:val="006A67E8"/>
    <w:rsid w:val="006B2AEC"/>
    <w:rsid w:val="006D1662"/>
    <w:rsid w:val="006D63E3"/>
    <w:rsid w:val="006D74DD"/>
    <w:rsid w:val="00712510"/>
    <w:rsid w:val="00727445"/>
    <w:rsid w:val="0073420B"/>
    <w:rsid w:val="00735E0B"/>
    <w:rsid w:val="007365E8"/>
    <w:rsid w:val="00742BAD"/>
    <w:rsid w:val="007516FB"/>
    <w:rsid w:val="00765CFE"/>
    <w:rsid w:val="00777EE6"/>
    <w:rsid w:val="00780B9A"/>
    <w:rsid w:val="00781A4B"/>
    <w:rsid w:val="0078376C"/>
    <w:rsid w:val="0078578A"/>
    <w:rsid w:val="007939AA"/>
    <w:rsid w:val="00797220"/>
    <w:rsid w:val="007A1C30"/>
    <w:rsid w:val="007B0073"/>
    <w:rsid w:val="007B0760"/>
    <w:rsid w:val="007B5F5C"/>
    <w:rsid w:val="007C2209"/>
    <w:rsid w:val="007C22CF"/>
    <w:rsid w:val="007C487B"/>
    <w:rsid w:val="007C4A88"/>
    <w:rsid w:val="007E1C05"/>
    <w:rsid w:val="007E50CD"/>
    <w:rsid w:val="007F266B"/>
    <w:rsid w:val="007F3122"/>
    <w:rsid w:val="007F381B"/>
    <w:rsid w:val="007F5873"/>
    <w:rsid w:val="00803852"/>
    <w:rsid w:val="0081212D"/>
    <w:rsid w:val="008135B8"/>
    <w:rsid w:val="0082025F"/>
    <w:rsid w:val="00822E86"/>
    <w:rsid w:val="00824EB1"/>
    <w:rsid w:val="00826CC3"/>
    <w:rsid w:val="00837CAC"/>
    <w:rsid w:val="008406CF"/>
    <w:rsid w:val="0084379D"/>
    <w:rsid w:val="008509D2"/>
    <w:rsid w:val="00851029"/>
    <w:rsid w:val="0085755E"/>
    <w:rsid w:val="00860BC6"/>
    <w:rsid w:val="00863B1F"/>
    <w:rsid w:val="00866412"/>
    <w:rsid w:val="00870208"/>
    <w:rsid w:val="0087064B"/>
    <w:rsid w:val="00871AE8"/>
    <w:rsid w:val="00876D67"/>
    <w:rsid w:val="00880737"/>
    <w:rsid w:val="0088606E"/>
    <w:rsid w:val="008876D5"/>
    <w:rsid w:val="00887CDC"/>
    <w:rsid w:val="008957F1"/>
    <w:rsid w:val="0089635E"/>
    <w:rsid w:val="008A092A"/>
    <w:rsid w:val="008A0AA4"/>
    <w:rsid w:val="008A18E1"/>
    <w:rsid w:val="008A6C42"/>
    <w:rsid w:val="008A7BC5"/>
    <w:rsid w:val="008B22D0"/>
    <w:rsid w:val="008B377F"/>
    <w:rsid w:val="008C46B8"/>
    <w:rsid w:val="008C6E74"/>
    <w:rsid w:val="008D58FB"/>
    <w:rsid w:val="008D7BE7"/>
    <w:rsid w:val="008F20FC"/>
    <w:rsid w:val="008F4249"/>
    <w:rsid w:val="008F688D"/>
    <w:rsid w:val="00900F4E"/>
    <w:rsid w:val="00912808"/>
    <w:rsid w:val="009164E0"/>
    <w:rsid w:val="009166A4"/>
    <w:rsid w:val="00920F03"/>
    <w:rsid w:val="00942A91"/>
    <w:rsid w:val="00946661"/>
    <w:rsid w:val="00962D7E"/>
    <w:rsid w:val="009750FC"/>
    <w:rsid w:val="00980DE8"/>
    <w:rsid w:val="0098760C"/>
    <w:rsid w:val="009970CF"/>
    <w:rsid w:val="009A0B4F"/>
    <w:rsid w:val="009B7706"/>
    <w:rsid w:val="009C31E1"/>
    <w:rsid w:val="009C442E"/>
    <w:rsid w:val="009C4E75"/>
    <w:rsid w:val="009C5E7B"/>
    <w:rsid w:val="009D064C"/>
    <w:rsid w:val="009D1CA0"/>
    <w:rsid w:val="009D325B"/>
    <w:rsid w:val="00A01FE2"/>
    <w:rsid w:val="00A03B16"/>
    <w:rsid w:val="00A11672"/>
    <w:rsid w:val="00A1189C"/>
    <w:rsid w:val="00A1386A"/>
    <w:rsid w:val="00A14BCE"/>
    <w:rsid w:val="00A235B7"/>
    <w:rsid w:val="00A30D0B"/>
    <w:rsid w:val="00A417CD"/>
    <w:rsid w:val="00A420D8"/>
    <w:rsid w:val="00A422C4"/>
    <w:rsid w:val="00A553C6"/>
    <w:rsid w:val="00A60FC3"/>
    <w:rsid w:val="00A642C1"/>
    <w:rsid w:val="00A6453B"/>
    <w:rsid w:val="00A70CC1"/>
    <w:rsid w:val="00A752C8"/>
    <w:rsid w:val="00A7609F"/>
    <w:rsid w:val="00A8418B"/>
    <w:rsid w:val="00A93288"/>
    <w:rsid w:val="00AA5274"/>
    <w:rsid w:val="00AA754D"/>
    <w:rsid w:val="00AB0262"/>
    <w:rsid w:val="00AB1020"/>
    <w:rsid w:val="00AB64F3"/>
    <w:rsid w:val="00AD0C4E"/>
    <w:rsid w:val="00AD4AC3"/>
    <w:rsid w:val="00AE3D00"/>
    <w:rsid w:val="00AE5758"/>
    <w:rsid w:val="00AF07BD"/>
    <w:rsid w:val="00AF343A"/>
    <w:rsid w:val="00AF3B32"/>
    <w:rsid w:val="00AF4643"/>
    <w:rsid w:val="00B03A57"/>
    <w:rsid w:val="00B063A6"/>
    <w:rsid w:val="00B07FC8"/>
    <w:rsid w:val="00B15AC0"/>
    <w:rsid w:val="00B31D81"/>
    <w:rsid w:val="00B33EF2"/>
    <w:rsid w:val="00B35E9D"/>
    <w:rsid w:val="00B37528"/>
    <w:rsid w:val="00B5115E"/>
    <w:rsid w:val="00B57472"/>
    <w:rsid w:val="00B65B5F"/>
    <w:rsid w:val="00B70539"/>
    <w:rsid w:val="00B71FE4"/>
    <w:rsid w:val="00B73268"/>
    <w:rsid w:val="00B8254B"/>
    <w:rsid w:val="00B85787"/>
    <w:rsid w:val="00B85B41"/>
    <w:rsid w:val="00BA16F8"/>
    <w:rsid w:val="00BA7398"/>
    <w:rsid w:val="00BB48EA"/>
    <w:rsid w:val="00BD2FF7"/>
    <w:rsid w:val="00BD7AD8"/>
    <w:rsid w:val="00BE396F"/>
    <w:rsid w:val="00BE65BC"/>
    <w:rsid w:val="00BF4A2A"/>
    <w:rsid w:val="00BF51C3"/>
    <w:rsid w:val="00BF5308"/>
    <w:rsid w:val="00C078E4"/>
    <w:rsid w:val="00C1019E"/>
    <w:rsid w:val="00C1103C"/>
    <w:rsid w:val="00C129D5"/>
    <w:rsid w:val="00C13862"/>
    <w:rsid w:val="00C13893"/>
    <w:rsid w:val="00C13A63"/>
    <w:rsid w:val="00C14289"/>
    <w:rsid w:val="00C26A5A"/>
    <w:rsid w:val="00C271D4"/>
    <w:rsid w:val="00C34541"/>
    <w:rsid w:val="00C35D47"/>
    <w:rsid w:val="00C40FA3"/>
    <w:rsid w:val="00C51BA4"/>
    <w:rsid w:val="00C52690"/>
    <w:rsid w:val="00C534D2"/>
    <w:rsid w:val="00C641CC"/>
    <w:rsid w:val="00C976E7"/>
    <w:rsid w:val="00CA3DAE"/>
    <w:rsid w:val="00CA7EFD"/>
    <w:rsid w:val="00CB2AE4"/>
    <w:rsid w:val="00CB32DD"/>
    <w:rsid w:val="00CC666B"/>
    <w:rsid w:val="00CC7FA5"/>
    <w:rsid w:val="00CD4494"/>
    <w:rsid w:val="00CD7CB4"/>
    <w:rsid w:val="00CF48A9"/>
    <w:rsid w:val="00CF6758"/>
    <w:rsid w:val="00D01774"/>
    <w:rsid w:val="00D040F5"/>
    <w:rsid w:val="00D0451C"/>
    <w:rsid w:val="00D049FA"/>
    <w:rsid w:val="00D05708"/>
    <w:rsid w:val="00D15DB7"/>
    <w:rsid w:val="00D230E1"/>
    <w:rsid w:val="00D24365"/>
    <w:rsid w:val="00D304C3"/>
    <w:rsid w:val="00D33472"/>
    <w:rsid w:val="00D366D7"/>
    <w:rsid w:val="00D540C1"/>
    <w:rsid w:val="00D67749"/>
    <w:rsid w:val="00D73F54"/>
    <w:rsid w:val="00D865DE"/>
    <w:rsid w:val="00D942BF"/>
    <w:rsid w:val="00D954BE"/>
    <w:rsid w:val="00DB2E99"/>
    <w:rsid w:val="00DC3063"/>
    <w:rsid w:val="00DC54E7"/>
    <w:rsid w:val="00E10551"/>
    <w:rsid w:val="00E114C1"/>
    <w:rsid w:val="00E1793E"/>
    <w:rsid w:val="00E2085C"/>
    <w:rsid w:val="00E23786"/>
    <w:rsid w:val="00E25243"/>
    <w:rsid w:val="00E4021E"/>
    <w:rsid w:val="00E4374B"/>
    <w:rsid w:val="00E441CD"/>
    <w:rsid w:val="00E458D2"/>
    <w:rsid w:val="00E5298B"/>
    <w:rsid w:val="00E54F78"/>
    <w:rsid w:val="00E616CC"/>
    <w:rsid w:val="00E64D99"/>
    <w:rsid w:val="00E70FD5"/>
    <w:rsid w:val="00E76D05"/>
    <w:rsid w:val="00E80D37"/>
    <w:rsid w:val="00E824D9"/>
    <w:rsid w:val="00E83BB7"/>
    <w:rsid w:val="00E86695"/>
    <w:rsid w:val="00E904A3"/>
    <w:rsid w:val="00E922AD"/>
    <w:rsid w:val="00E9331F"/>
    <w:rsid w:val="00EA068F"/>
    <w:rsid w:val="00EA2D5C"/>
    <w:rsid w:val="00EA79EB"/>
    <w:rsid w:val="00EB6B2C"/>
    <w:rsid w:val="00EC0D5E"/>
    <w:rsid w:val="00EC1FC6"/>
    <w:rsid w:val="00EC2270"/>
    <w:rsid w:val="00EC7352"/>
    <w:rsid w:val="00ED2E7E"/>
    <w:rsid w:val="00ED3ACE"/>
    <w:rsid w:val="00ED4439"/>
    <w:rsid w:val="00EE0ADE"/>
    <w:rsid w:val="00EE4FBA"/>
    <w:rsid w:val="00EE7F66"/>
    <w:rsid w:val="00F0296B"/>
    <w:rsid w:val="00F02E8D"/>
    <w:rsid w:val="00F21090"/>
    <w:rsid w:val="00F35C5A"/>
    <w:rsid w:val="00F3741E"/>
    <w:rsid w:val="00F65CC2"/>
    <w:rsid w:val="00F6789E"/>
    <w:rsid w:val="00F73E5F"/>
    <w:rsid w:val="00F8309D"/>
    <w:rsid w:val="00F83A20"/>
    <w:rsid w:val="00F84E04"/>
    <w:rsid w:val="00F84F00"/>
    <w:rsid w:val="00F84F30"/>
    <w:rsid w:val="00F855F2"/>
    <w:rsid w:val="00F90443"/>
    <w:rsid w:val="00F92A81"/>
    <w:rsid w:val="00F9346C"/>
    <w:rsid w:val="00F95DF9"/>
    <w:rsid w:val="00FA613B"/>
    <w:rsid w:val="00FA6945"/>
    <w:rsid w:val="00FA6E91"/>
    <w:rsid w:val="00FB40EB"/>
    <w:rsid w:val="00FC67B5"/>
    <w:rsid w:val="00FD028B"/>
    <w:rsid w:val="00FD6E6F"/>
    <w:rsid w:val="00FE2172"/>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styleId="af1">
    <w:name w:val="annotation reference"/>
    <w:basedOn w:val="a0"/>
    <w:rsid w:val="008F688D"/>
    <w:rPr>
      <w:sz w:val="16"/>
      <w:szCs w:val="16"/>
    </w:rPr>
  </w:style>
  <w:style w:type="paragraph" w:styleId="af2">
    <w:name w:val="annotation text"/>
    <w:basedOn w:val="a"/>
    <w:link w:val="af3"/>
    <w:rsid w:val="008F688D"/>
    <w:rPr>
      <w:sz w:val="20"/>
      <w:szCs w:val="20"/>
    </w:rPr>
  </w:style>
  <w:style w:type="character" w:customStyle="1" w:styleId="af3">
    <w:name w:val="Текст примечания Знак"/>
    <w:basedOn w:val="a0"/>
    <w:link w:val="af2"/>
    <w:rsid w:val="008F688D"/>
  </w:style>
  <w:style w:type="paragraph" w:styleId="af4">
    <w:name w:val="annotation subject"/>
    <w:basedOn w:val="af2"/>
    <w:next w:val="af2"/>
    <w:link w:val="af5"/>
    <w:rsid w:val="008F688D"/>
    <w:rPr>
      <w:b/>
      <w:bCs/>
    </w:rPr>
  </w:style>
  <w:style w:type="character" w:customStyle="1" w:styleId="af5">
    <w:name w:val="Тема примечания Знак"/>
    <w:basedOn w:val="af3"/>
    <w:link w:val="af4"/>
    <w:rsid w:val="008F688D"/>
    <w:rPr>
      <w:b/>
      <w:bCs/>
    </w:rPr>
  </w:style>
  <w:style w:type="character" w:customStyle="1" w:styleId="apple-converted-space">
    <w:name w:val="apple-converted-space"/>
    <w:basedOn w:val="a0"/>
    <w:rsid w:val="00350F93"/>
  </w:style>
  <w:style w:type="paragraph" w:styleId="af6">
    <w:name w:val="List Paragraph"/>
    <w:basedOn w:val="a"/>
    <w:uiPriority w:val="34"/>
    <w:qFormat/>
    <w:rsid w:val="00880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styleId="af1">
    <w:name w:val="annotation reference"/>
    <w:basedOn w:val="a0"/>
    <w:rsid w:val="008F688D"/>
    <w:rPr>
      <w:sz w:val="16"/>
      <w:szCs w:val="16"/>
    </w:rPr>
  </w:style>
  <w:style w:type="paragraph" w:styleId="af2">
    <w:name w:val="annotation text"/>
    <w:basedOn w:val="a"/>
    <w:link w:val="af3"/>
    <w:rsid w:val="008F688D"/>
    <w:rPr>
      <w:sz w:val="20"/>
      <w:szCs w:val="20"/>
    </w:rPr>
  </w:style>
  <w:style w:type="character" w:customStyle="1" w:styleId="af3">
    <w:name w:val="Текст примечания Знак"/>
    <w:basedOn w:val="a0"/>
    <w:link w:val="af2"/>
    <w:rsid w:val="008F688D"/>
  </w:style>
  <w:style w:type="paragraph" w:styleId="af4">
    <w:name w:val="annotation subject"/>
    <w:basedOn w:val="af2"/>
    <w:next w:val="af2"/>
    <w:link w:val="af5"/>
    <w:rsid w:val="008F688D"/>
    <w:rPr>
      <w:b/>
      <w:bCs/>
    </w:rPr>
  </w:style>
  <w:style w:type="character" w:customStyle="1" w:styleId="af5">
    <w:name w:val="Тема примечания Знак"/>
    <w:basedOn w:val="af3"/>
    <w:link w:val="af4"/>
    <w:rsid w:val="008F688D"/>
    <w:rPr>
      <w:b/>
      <w:bCs/>
    </w:rPr>
  </w:style>
  <w:style w:type="character" w:customStyle="1" w:styleId="apple-converted-space">
    <w:name w:val="apple-converted-space"/>
    <w:basedOn w:val="a0"/>
    <w:rsid w:val="00350F93"/>
  </w:style>
  <w:style w:type="paragraph" w:styleId="af6">
    <w:name w:val="List Paragraph"/>
    <w:basedOn w:val="a"/>
    <w:uiPriority w:val="34"/>
    <w:qFormat/>
    <w:rsid w:val="0088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41847383">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335498264">
      <w:bodyDiv w:val="1"/>
      <w:marLeft w:val="0"/>
      <w:marRight w:val="0"/>
      <w:marTop w:val="0"/>
      <w:marBottom w:val="0"/>
      <w:divBdr>
        <w:top w:val="none" w:sz="0" w:space="0" w:color="auto"/>
        <w:left w:val="none" w:sz="0" w:space="0" w:color="auto"/>
        <w:bottom w:val="none" w:sz="0" w:space="0" w:color="auto"/>
        <w:right w:val="none" w:sz="0" w:space="0" w:color="auto"/>
      </w:divBdr>
    </w:div>
    <w:div w:id="427624298">
      <w:bodyDiv w:val="1"/>
      <w:marLeft w:val="0"/>
      <w:marRight w:val="0"/>
      <w:marTop w:val="0"/>
      <w:marBottom w:val="0"/>
      <w:divBdr>
        <w:top w:val="none" w:sz="0" w:space="0" w:color="auto"/>
        <w:left w:val="none" w:sz="0" w:space="0" w:color="auto"/>
        <w:bottom w:val="none" w:sz="0" w:space="0" w:color="auto"/>
        <w:right w:val="none" w:sz="0" w:space="0" w:color="auto"/>
      </w:divBdr>
    </w:div>
    <w:div w:id="677079429">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330135869">
      <w:bodyDiv w:val="1"/>
      <w:marLeft w:val="0"/>
      <w:marRight w:val="0"/>
      <w:marTop w:val="0"/>
      <w:marBottom w:val="0"/>
      <w:divBdr>
        <w:top w:val="none" w:sz="0" w:space="0" w:color="auto"/>
        <w:left w:val="none" w:sz="0" w:space="0" w:color="auto"/>
        <w:bottom w:val="none" w:sz="0" w:space="0" w:color="auto"/>
        <w:right w:val="none" w:sz="0" w:space="0" w:color="auto"/>
      </w:divBdr>
    </w:div>
    <w:div w:id="1396590709">
      <w:bodyDiv w:val="1"/>
      <w:marLeft w:val="0"/>
      <w:marRight w:val="0"/>
      <w:marTop w:val="0"/>
      <w:marBottom w:val="0"/>
      <w:divBdr>
        <w:top w:val="none" w:sz="0" w:space="0" w:color="auto"/>
        <w:left w:val="none" w:sz="0" w:space="0" w:color="auto"/>
        <w:bottom w:val="none" w:sz="0" w:space="0" w:color="auto"/>
        <w:right w:val="none" w:sz="0" w:space="0" w:color="auto"/>
      </w:divBdr>
    </w:div>
    <w:div w:id="1538199242">
      <w:bodyDiv w:val="1"/>
      <w:marLeft w:val="0"/>
      <w:marRight w:val="0"/>
      <w:marTop w:val="0"/>
      <w:marBottom w:val="0"/>
      <w:divBdr>
        <w:top w:val="none" w:sz="0" w:space="0" w:color="auto"/>
        <w:left w:val="none" w:sz="0" w:space="0" w:color="auto"/>
        <w:bottom w:val="none" w:sz="0" w:space="0" w:color="auto"/>
        <w:right w:val="none" w:sz="0" w:space="0" w:color="auto"/>
      </w:divBdr>
    </w:div>
    <w:div w:id="1563834215">
      <w:bodyDiv w:val="1"/>
      <w:marLeft w:val="0"/>
      <w:marRight w:val="0"/>
      <w:marTop w:val="0"/>
      <w:marBottom w:val="0"/>
      <w:divBdr>
        <w:top w:val="none" w:sz="0" w:space="0" w:color="auto"/>
        <w:left w:val="none" w:sz="0" w:space="0" w:color="auto"/>
        <w:bottom w:val="none" w:sz="0" w:space="0" w:color="auto"/>
        <w:right w:val="none" w:sz="0" w:space="0" w:color="auto"/>
      </w:divBdr>
    </w:div>
    <w:div w:id="1603764090">
      <w:bodyDiv w:val="1"/>
      <w:marLeft w:val="0"/>
      <w:marRight w:val="0"/>
      <w:marTop w:val="0"/>
      <w:marBottom w:val="0"/>
      <w:divBdr>
        <w:top w:val="none" w:sz="0" w:space="0" w:color="auto"/>
        <w:left w:val="none" w:sz="0" w:space="0" w:color="auto"/>
        <w:bottom w:val="none" w:sz="0" w:space="0" w:color="auto"/>
        <w:right w:val="none" w:sz="0" w:space="0" w:color="auto"/>
      </w:divBdr>
    </w:div>
    <w:div w:id="1768194032">
      <w:bodyDiv w:val="1"/>
      <w:marLeft w:val="0"/>
      <w:marRight w:val="0"/>
      <w:marTop w:val="0"/>
      <w:marBottom w:val="0"/>
      <w:divBdr>
        <w:top w:val="none" w:sz="0" w:space="0" w:color="auto"/>
        <w:left w:val="none" w:sz="0" w:space="0" w:color="auto"/>
        <w:bottom w:val="none" w:sz="0" w:space="0" w:color="auto"/>
        <w:right w:val="none" w:sz="0" w:space="0" w:color="auto"/>
      </w:divBdr>
    </w:div>
    <w:div w:id="1846901272">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rokhorovych@chamber.u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1" ma:contentTypeDescription="Create a new document." ma:contentTypeScope="" ma:versionID="c764d4c7da43cd01587fb73cc0dfe8ca">
  <xsd:schema xmlns:xsd="http://www.w3.org/2001/XMLSchema" xmlns:xs="http://www.w3.org/2001/XMLSchema" xmlns:p="http://schemas.microsoft.com/office/2006/metadata/properties" xmlns:ns2="533765e8-fc3d-49d5-8fa6-1eaf5adb3810" targetNamespace="http://schemas.microsoft.com/office/2006/metadata/properties" ma:root="true" ma:fieldsID="aac5a4198050c342ab04cac4b5917167" ns2:_="">
    <xsd:import namespace="533765e8-fc3d-49d5-8fa6-1eaf5adb38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E34B-D531-4A1E-A8DF-5097F8F4C19C}">
  <ds:schemaRefs>
    <ds:schemaRef ds:uri="http://schemas.microsoft.com/office/2006/metadata/longProperties"/>
  </ds:schemaRefs>
</ds:datastoreItem>
</file>

<file path=customXml/itemProps2.xml><?xml version="1.0" encoding="utf-8"?>
<ds:datastoreItem xmlns:ds="http://schemas.openxmlformats.org/officeDocument/2006/customXml" ds:itemID="{5877ED91-75BF-409D-8A82-2409FA390677}">
  <ds:schemaRefs>
    <ds:schemaRef ds:uri="http://schemas.microsoft.com/sharepoint/v3/contenttype/forms"/>
  </ds:schemaRefs>
</ds:datastoreItem>
</file>

<file path=customXml/itemProps3.xml><?xml version="1.0" encoding="utf-8"?>
<ds:datastoreItem xmlns:ds="http://schemas.openxmlformats.org/officeDocument/2006/customXml" ds:itemID="{A9C479E8-0C52-479B-9933-9E44300F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AAB59-B67B-4B3A-A7C7-E05F7D65B3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EA1493-B4C5-40D0-9A9D-EF451297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2384</Words>
  <Characters>1360</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3737</CharactersWithSpaces>
  <SharedDoc>false</SharedDoc>
  <HLinks>
    <vt:vector size="6" baseType="variant">
      <vt:variant>
        <vt:i4>6422612</vt:i4>
      </vt:variant>
      <vt:variant>
        <vt:i4>0</vt:i4>
      </vt:variant>
      <vt:variant>
        <vt:i4>0</vt:i4>
      </vt:variant>
      <vt:variant>
        <vt:i4>5</vt:i4>
      </vt:variant>
      <vt:variant>
        <vt:lpwstr>mailto:oprokhorovych@chamber.ua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16</cp:revision>
  <cp:lastPrinted>2016-02-05T10:29:00Z</cp:lastPrinted>
  <dcterms:created xsi:type="dcterms:W3CDTF">2016-03-10T13:14:00Z</dcterms:created>
  <dcterms:modified xsi:type="dcterms:W3CDTF">2016-03-10T13:54:00Z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