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BD" w:rsidRDefault="000F30BD">
      <w:pPr>
        <w:rPr>
          <w:lang w:val="en-US"/>
        </w:rPr>
      </w:pPr>
    </w:p>
    <w:p w:rsidR="000F30BD" w:rsidRDefault="000F30BD">
      <w:pPr>
        <w:rPr>
          <w:lang w:val="en-US"/>
        </w:rPr>
      </w:pPr>
    </w:p>
    <w:p w:rsidR="000F30BD" w:rsidRDefault="000F30BD">
      <w:pPr>
        <w:rPr>
          <w:lang w:val="en-US"/>
        </w:rPr>
      </w:pPr>
    </w:p>
    <w:p w:rsidR="000F30BD" w:rsidRPr="000F30BD" w:rsidRDefault="000F30BD">
      <w:r>
        <w:t>№</w:t>
      </w:r>
      <w:r>
        <w:rPr>
          <w:lang w:val="en-US"/>
        </w:rPr>
        <w:t>16</w:t>
      </w:r>
      <w:r>
        <w:t>-</w:t>
      </w:r>
    </w:p>
    <w:tbl>
      <w:tblPr>
        <w:tblW w:w="10441" w:type="dxa"/>
        <w:tblInd w:w="284" w:type="dxa"/>
        <w:tblLook w:val="04A0" w:firstRow="1" w:lastRow="0" w:firstColumn="1" w:lastColumn="0" w:noHBand="0" w:noVBand="1"/>
      </w:tblPr>
      <w:tblGrid>
        <w:gridCol w:w="5069"/>
        <w:gridCol w:w="5372"/>
      </w:tblGrid>
      <w:tr w:rsidR="000F30BD" w:rsidRPr="00907BA0" w:rsidTr="00B80CEF">
        <w:tc>
          <w:tcPr>
            <w:tcW w:w="5069" w:type="dxa"/>
            <w:shd w:val="clear" w:color="auto" w:fill="auto"/>
          </w:tcPr>
          <w:p w:rsidR="000F30BD" w:rsidRPr="00907BA0" w:rsidRDefault="0004037E" w:rsidP="00B80CEF">
            <w:pPr>
              <w:ind w:left="284"/>
              <w:jc w:val="both"/>
              <w:rPr>
                <w:rFonts w:eastAsia="Calibri"/>
                <w:i/>
                <w:lang w:eastAsia="en-US"/>
              </w:rPr>
            </w:pPr>
            <w:proofErr w:type="gramStart"/>
            <w:r>
              <w:rPr>
                <w:rFonts w:eastAsia="Calibri"/>
                <w:lang w:val="ru-RU" w:eastAsia="en-US"/>
              </w:rPr>
              <w:t>лютого</w:t>
            </w:r>
            <w:proofErr w:type="gramEnd"/>
            <w:r w:rsidRPr="00907BA0">
              <w:rPr>
                <w:rFonts w:eastAsia="Calibri"/>
                <w:lang w:eastAsia="en-US"/>
              </w:rPr>
              <w:t xml:space="preserve"> </w:t>
            </w:r>
            <w:r w:rsidR="000F30BD" w:rsidRPr="00907BA0">
              <w:rPr>
                <w:rFonts w:eastAsia="Calibri"/>
                <w:lang w:eastAsia="en-US"/>
              </w:rPr>
              <w:t>201</w:t>
            </w:r>
            <w:r w:rsidR="000F30BD">
              <w:rPr>
                <w:rFonts w:eastAsia="Calibri"/>
                <w:lang w:eastAsia="en-US"/>
              </w:rPr>
              <w:t>6</w:t>
            </w:r>
            <w:r w:rsidR="000F30BD" w:rsidRPr="00907BA0">
              <w:rPr>
                <w:rFonts w:eastAsia="Calibri"/>
                <w:lang w:eastAsia="en-US"/>
              </w:rPr>
              <w:t xml:space="preserve"> року </w:t>
            </w:r>
          </w:p>
        </w:tc>
        <w:tc>
          <w:tcPr>
            <w:tcW w:w="5372" w:type="dxa"/>
            <w:shd w:val="clear" w:color="auto" w:fill="auto"/>
          </w:tcPr>
          <w:tbl>
            <w:tblPr>
              <w:tblW w:w="0" w:type="auto"/>
              <w:tblLook w:val="04A0" w:firstRow="1" w:lastRow="0" w:firstColumn="1" w:lastColumn="0" w:noHBand="0" w:noVBand="1"/>
            </w:tblPr>
            <w:tblGrid>
              <w:gridCol w:w="760"/>
              <w:gridCol w:w="4377"/>
            </w:tblGrid>
            <w:tr w:rsidR="000F30BD" w:rsidRPr="00907BA0" w:rsidTr="00B80CEF">
              <w:tc>
                <w:tcPr>
                  <w:tcW w:w="760" w:type="dxa"/>
                  <w:shd w:val="clear" w:color="auto" w:fill="auto"/>
                </w:tcPr>
                <w:p w:rsidR="000F30BD" w:rsidRPr="00907BA0" w:rsidRDefault="000F30BD" w:rsidP="00B80CEF">
                  <w:pPr>
                    <w:rPr>
                      <w:rFonts w:ascii="Calibri" w:eastAsia="Calibri" w:hAnsi="Calibri"/>
                      <w:b/>
                      <w:sz w:val="22"/>
                      <w:szCs w:val="22"/>
                    </w:rPr>
                  </w:pPr>
                </w:p>
                <w:p w:rsidR="000F30BD" w:rsidRPr="00907BA0" w:rsidRDefault="000F30BD" w:rsidP="00B80CEF">
                  <w:pPr>
                    <w:ind w:right="-109"/>
                    <w:jc w:val="right"/>
                    <w:rPr>
                      <w:rFonts w:ascii="Calibri" w:eastAsia="Calibri" w:hAnsi="Calibri"/>
                      <w:sz w:val="22"/>
                      <w:szCs w:val="22"/>
                    </w:rPr>
                  </w:pPr>
                </w:p>
                <w:p w:rsidR="000F30BD" w:rsidRPr="00907BA0" w:rsidRDefault="000F30BD" w:rsidP="00B80CEF">
                  <w:pPr>
                    <w:rPr>
                      <w:rFonts w:ascii="Calibri" w:eastAsia="Calibri" w:hAnsi="Calibri"/>
                      <w:b/>
                      <w:sz w:val="22"/>
                      <w:szCs w:val="22"/>
                    </w:rPr>
                  </w:pPr>
                </w:p>
                <w:p w:rsidR="000F30BD" w:rsidRPr="00907BA0" w:rsidRDefault="000F30BD" w:rsidP="00B80CEF">
                  <w:pPr>
                    <w:ind w:firstLine="3261"/>
                    <w:rPr>
                      <w:rFonts w:ascii="Calibri" w:eastAsia="Calibri" w:hAnsi="Calibri"/>
                      <w:b/>
                      <w:sz w:val="22"/>
                      <w:szCs w:val="22"/>
                    </w:rPr>
                  </w:pPr>
                </w:p>
              </w:tc>
              <w:tc>
                <w:tcPr>
                  <w:tcW w:w="4377" w:type="dxa"/>
                  <w:shd w:val="clear" w:color="auto" w:fill="auto"/>
                </w:tcPr>
                <w:p w:rsidR="000F30BD" w:rsidRDefault="000F30BD" w:rsidP="00B80CEF">
                  <w:pPr>
                    <w:rPr>
                      <w:rFonts w:eastAsia="Calibri"/>
                      <w:b/>
                      <w:szCs w:val="22"/>
                    </w:rPr>
                  </w:pPr>
                </w:p>
                <w:p w:rsidR="000F30BD" w:rsidRPr="00907BA0" w:rsidRDefault="000F30BD" w:rsidP="00B80CEF">
                  <w:pPr>
                    <w:rPr>
                      <w:rFonts w:eastAsia="Calibri"/>
                      <w:b/>
                      <w:szCs w:val="22"/>
                    </w:rPr>
                  </w:pPr>
                  <w:r w:rsidRPr="00907BA0">
                    <w:rPr>
                      <w:rFonts w:eastAsia="Calibri"/>
                      <w:b/>
                      <w:szCs w:val="22"/>
                    </w:rPr>
                    <w:t xml:space="preserve">Голові Державної фіскальної </w:t>
                  </w:r>
                </w:p>
                <w:p w:rsidR="000F30BD" w:rsidRPr="00907BA0" w:rsidRDefault="000F30BD" w:rsidP="00B80CEF">
                  <w:pPr>
                    <w:rPr>
                      <w:rFonts w:eastAsia="Calibri"/>
                      <w:b/>
                      <w:szCs w:val="22"/>
                    </w:rPr>
                  </w:pPr>
                  <w:r w:rsidRPr="00907BA0">
                    <w:rPr>
                      <w:rFonts w:eastAsia="Calibri"/>
                      <w:b/>
                      <w:szCs w:val="22"/>
                    </w:rPr>
                    <w:t>служби України</w:t>
                  </w:r>
                </w:p>
                <w:p w:rsidR="000F30BD" w:rsidRPr="00907BA0" w:rsidRDefault="000F30BD" w:rsidP="00B80CEF">
                  <w:pPr>
                    <w:rPr>
                      <w:rFonts w:eastAsia="Calibri"/>
                      <w:b/>
                      <w:szCs w:val="22"/>
                    </w:rPr>
                  </w:pPr>
                  <w:r w:rsidRPr="00907BA0">
                    <w:rPr>
                      <w:rFonts w:eastAsia="Calibri"/>
                      <w:b/>
                      <w:szCs w:val="22"/>
                    </w:rPr>
                    <w:t xml:space="preserve">Р.М. </w:t>
                  </w:r>
                  <w:proofErr w:type="spellStart"/>
                  <w:r w:rsidRPr="00907BA0">
                    <w:rPr>
                      <w:rFonts w:eastAsia="Calibri"/>
                      <w:b/>
                      <w:szCs w:val="22"/>
                    </w:rPr>
                    <w:t>Насірову</w:t>
                  </w:r>
                  <w:proofErr w:type="spellEnd"/>
                  <w:r w:rsidRPr="00907BA0">
                    <w:rPr>
                      <w:rFonts w:eastAsia="Calibri"/>
                      <w:b/>
                      <w:szCs w:val="22"/>
                    </w:rPr>
                    <w:t xml:space="preserve"> </w:t>
                  </w:r>
                </w:p>
              </w:tc>
            </w:tr>
          </w:tbl>
          <w:p w:rsidR="000F30BD" w:rsidRPr="00907BA0" w:rsidRDefault="000F30BD" w:rsidP="00B80CEF">
            <w:pPr>
              <w:pStyle w:val="ac"/>
              <w:spacing w:before="0" w:beforeAutospacing="0" w:after="0" w:afterAutospacing="0"/>
              <w:ind w:left="284"/>
              <w:rPr>
                <w:b/>
              </w:rPr>
            </w:pPr>
          </w:p>
        </w:tc>
      </w:tr>
    </w:tbl>
    <w:p w:rsidR="000F30BD" w:rsidRDefault="000F30BD" w:rsidP="000F30BD">
      <w:pPr>
        <w:jc w:val="both"/>
        <w:rPr>
          <w:rFonts w:eastAsia="Calibri"/>
          <w:i/>
          <w:sz w:val="22"/>
          <w:lang w:eastAsia="en-US"/>
        </w:rPr>
      </w:pPr>
    </w:p>
    <w:p w:rsidR="000F30BD" w:rsidRDefault="000F30BD" w:rsidP="000F30BD">
      <w:pPr>
        <w:jc w:val="both"/>
        <w:rPr>
          <w:rFonts w:eastAsia="Calibri"/>
          <w:i/>
          <w:sz w:val="22"/>
          <w:lang w:eastAsia="en-US"/>
        </w:rPr>
      </w:pPr>
      <w:r w:rsidRPr="00907BA0">
        <w:rPr>
          <w:rFonts w:eastAsia="Calibri"/>
          <w:i/>
          <w:sz w:val="22"/>
          <w:lang w:eastAsia="en-US"/>
        </w:rPr>
        <w:t xml:space="preserve">Щодо </w:t>
      </w:r>
      <w:r>
        <w:rPr>
          <w:rFonts w:eastAsia="Calibri"/>
          <w:i/>
          <w:sz w:val="22"/>
          <w:lang w:eastAsia="en-US"/>
        </w:rPr>
        <w:t xml:space="preserve">визнання бонусів та інших видів </w:t>
      </w:r>
    </w:p>
    <w:p w:rsidR="000F30BD" w:rsidRDefault="000F30BD" w:rsidP="000F30BD">
      <w:pPr>
        <w:jc w:val="both"/>
        <w:rPr>
          <w:rFonts w:eastAsia="Calibri"/>
          <w:i/>
          <w:sz w:val="22"/>
          <w:lang w:eastAsia="en-US"/>
        </w:rPr>
      </w:pPr>
      <w:r>
        <w:rPr>
          <w:rFonts w:eastAsia="Calibri"/>
          <w:i/>
          <w:sz w:val="22"/>
          <w:lang w:eastAsia="en-US"/>
        </w:rPr>
        <w:t xml:space="preserve">мотиваційних виплат платою за </w:t>
      </w:r>
    </w:p>
    <w:p w:rsidR="000F30BD" w:rsidRPr="00CB5DD3" w:rsidRDefault="000F30BD" w:rsidP="000F30BD">
      <w:pPr>
        <w:jc w:val="both"/>
        <w:rPr>
          <w:rFonts w:eastAsia="Calibri"/>
          <w:i/>
          <w:sz w:val="22"/>
          <w:lang w:eastAsia="en-US"/>
        </w:rPr>
      </w:pPr>
      <w:r>
        <w:rPr>
          <w:rFonts w:eastAsia="Calibri"/>
          <w:i/>
          <w:sz w:val="22"/>
          <w:lang w:eastAsia="en-US"/>
        </w:rPr>
        <w:t>маркетингові послуги</w:t>
      </w:r>
    </w:p>
    <w:p w:rsidR="000F30BD" w:rsidRDefault="000F30BD" w:rsidP="000F30BD">
      <w:pPr>
        <w:jc w:val="both"/>
        <w:rPr>
          <w:rFonts w:eastAsia="Calibri"/>
          <w:lang w:eastAsia="en-US"/>
        </w:rPr>
      </w:pPr>
    </w:p>
    <w:p w:rsidR="000F30BD" w:rsidRPr="00907BA0" w:rsidRDefault="000F30BD" w:rsidP="000F30BD">
      <w:pPr>
        <w:jc w:val="both"/>
        <w:rPr>
          <w:rFonts w:eastAsia="Calibri"/>
          <w:lang w:eastAsia="en-US"/>
        </w:rPr>
      </w:pPr>
    </w:p>
    <w:p w:rsidR="000F30BD" w:rsidRPr="00907BA0" w:rsidRDefault="000F30BD" w:rsidP="000F30BD">
      <w:pPr>
        <w:ind w:left="567"/>
        <w:jc w:val="center"/>
        <w:rPr>
          <w:b/>
        </w:rPr>
      </w:pPr>
      <w:r w:rsidRPr="00907BA0">
        <w:rPr>
          <w:b/>
        </w:rPr>
        <w:t>Шановний Романе Михайловичу!</w:t>
      </w:r>
    </w:p>
    <w:p w:rsidR="000F30BD" w:rsidRPr="00907BA0" w:rsidRDefault="000F30BD" w:rsidP="000F30BD">
      <w:pPr>
        <w:rPr>
          <w:lang w:eastAsia="en-US"/>
        </w:rPr>
      </w:pPr>
    </w:p>
    <w:p w:rsidR="000F30BD" w:rsidRDefault="000F30BD" w:rsidP="000F30BD">
      <w:pPr>
        <w:spacing w:before="120" w:after="120"/>
        <w:ind w:firstLine="709"/>
        <w:jc w:val="both"/>
      </w:pPr>
      <w:r w:rsidRPr="00907BA0">
        <w:t>Від імені Ради директорів Американської торгівельної палати в Україні (надалі – Палата) та компаній–членів засвідчуємо Вам свою глибоку повагу та</w:t>
      </w:r>
      <w:r>
        <w:t xml:space="preserve"> звертаємося з проханням надати роз</w:t>
      </w:r>
      <w:r w:rsidRPr="00C545A7">
        <w:t>'</w:t>
      </w:r>
      <w:r>
        <w:t>яснення позиції Державної фіскальної служби України стосовно наступного.</w:t>
      </w:r>
    </w:p>
    <w:p w:rsidR="000F30BD" w:rsidRDefault="000F30BD" w:rsidP="000F30BD">
      <w:pPr>
        <w:spacing w:before="120" w:after="120"/>
        <w:ind w:firstLine="709"/>
        <w:jc w:val="both"/>
      </w:pPr>
      <w:r>
        <w:t>Питання визнання окремих видів мотиваційних механізмів як плати за маркетингові послуги залишається неврегульованим вже довгий час. Як відомо, Податковий кодекс України у пп. 14.1.108 п. 14.1 ст. 14 (надалі – ПКУ) визначає маркетингові послуги як послуги, що забезпечують функціонування</w:t>
      </w:r>
      <w:r w:rsidRPr="00B20A2E">
        <w:t xml:space="preserve"> </w:t>
      </w:r>
      <w:r w:rsidRPr="00E51BC4">
        <w:t>діяльності платника податків у сфері</w:t>
      </w:r>
      <w:r>
        <w:t>:</w:t>
      </w:r>
    </w:p>
    <w:p w:rsidR="000F30BD" w:rsidRDefault="000F30BD" w:rsidP="000F30BD">
      <w:pPr>
        <w:pStyle w:val="ad"/>
        <w:numPr>
          <w:ilvl w:val="0"/>
          <w:numId w:val="7"/>
        </w:numPr>
        <w:spacing w:before="120" w:after="120"/>
        <w:ind w:left="0" w:firstLine="709"/>
        <w:jc w:val="both"/>
      </w:pPr>
      <w:r w:rsidRPr="00E51BC4">
        <w:t>вивчання ринку</w:t>
      </w:r>
      <w:r>
        <w:t>;</w:t>
      </w:r>
      <w:r w:rsidRPr="00E51BC4">
        <w:t xml:space="preserve"> </w:t>
      </w:r>
    </w:p>
    <w:p w:rsidR="000F30BD" w:rsidRDefault="000F30BD" w:rsidP="000F30BD">
      <w:pPr>
        <w:pStyle w:val="ad"/>
        <w:numPr>
          <w:ilvl w:val="0"/>
          <w:numId w:val="7"/>
        </w:numPr>
        <w:spacing w:before="120" w:after="120"/>
        <w:ind w:left="0" w:firstLine="709"/>
        <w:jc w:val="both"/>
      </w:pPr>
      <w:r w:rsidRPr="00E51BC4">
        <w:t>стимулювання збуту продукції (робіт, послуг)</w:t>
      </w:r>
      <w:r>
        <w:t>;</w:t>
      </w:r>
      <w:r w:rsidRPr="00E51BC4">
        <w:t xml:space="preserve"> </w:t>
      </w:r>
    </w:p>
    <w:p w:rsidR="000F30BD" w:rsidRDefault="000F30BD" w:rsidP="000F30BD">
      <w:pPr>
        <w:pStyle w:val="ad"/>
        <w:numPr>
          <w:ilvl w:val="0"/>
          <w:numId w:val="7"/>
        </w:numPr>
        <w:spacing w:before="120" w:after="120"/>
        <w:ind w:left="0" w:firstLine="709"/>
        <w:jc w:val="both"/>
      </w:pPr>
      <w:r w:rsidRPr="00E51BC4">
        <w:t>політики цін</w:t>
      </w:r>
      <w:r>
        <w:t>;</w:t>
      </w:r>
      <w:r w:rsidRPr="00E51BC4">
        <w:t xml:space="preserve"> </w:t>
      </w:r>
    </w:p>
    <w:p w:rsidR="000F30BD" w:rsidRDefault="000F30BD" w:rsidP="000F30BD">
      <w:pPr>
        <w:pStyle w:val="ad"/>
        <w:numPr>
          <w:ilvl w:val="0"/>
          <w:numId w:val="7"/>
        </w:numPr>
        <w:spacing w:before="120" w:after="120"/>
        <w:ind w:left="0" w:firstLine="709"/>
        <w:jc w:val="both"/>
      </w:pPr>
      <w:r w:rsidRPr="00E51BC4">
        <w:t>організації та управлінні руху продукції (робіт, послуг) до споживача</w:t>
      </w:r>
      <w:r>
        <w:t>;</w:t>
      </w:r>
      <w:r w:rsidRPr="00E51BC4">
        <w:t xml:space="preserve"> та</w:t>
      </w:r>
    </w:p>
    <w:p w:rsidR="000F30BD" w:rsidRDefault="000F30BD" w:rsidP="000F30BD">
      <w:pPr>
        <w:pStyle w:val="ad"/>
        <w:numPr>
          <w:ilvl w:val="0"/>
          <w:numId w:val="7"/>
        </w:numPr>
        <w:spacing w:before="120" w:after="120"/>
        <w:ind w:left="0" w:firstLine="709"/>
        <w:jc w:val="both"/>
      </w:pPr>
      <w:proofErr w:type="spellStart"/>
      <w:r w:rsidRPr="00E51BC4">
        <w:t>післяпродажного</w:t>
      </w:r>
      <w:proofErr w:type="spellEnd"/>
      <w:r w:rsidRPr="00E51BC4">
        <w:t xml:space="preserve"> обслуговування споживача в межах господарської діяльності такого платника податків. </w:t>
      </w:r>
    </w:p>
    <w:p w:rsidR="000F30BD" w:rsidRDefault="000F30BD" w:rsidP="000F30BD">
      <w:pPr>
        <w:spacing w:before="120" w:after="120"/>
        <w:ind w:firstLine="709"/>
        <w:jc w:val="both"/>
      </w:pPr>
      <w:r>
        <w:t>У наведеній статті ПКУ міститься приблизний перелік послуг, які можуть бути кваліфіковані як маркетингові, а саме:</w:t>
      </w:r>
    </w:p>
    <w:p w:rsidR="000F30BD" w:rsidRDefault="000F30BD" w:rsidP="000F30BD">
      <w:pPr>
        <w:pStyle w:val="ad"/>
        <w:numPr>
          <w:ilvl w:val="0"/>
          <w:numId w:val="8"/>
        </w:numPr>
        <w:spacing w:before="120" w:after="120"/>
        <w:ind w:left="0" w:firstLine="709"/>
        <w:jc w:val="both"/>
      </w:pPr>
      <w:r w:rsidRPr="00E51BC4">
        <w:t>послуги з розміщення продукції платника податку в місцях продажу</w:t>
      </w:r>
      <w:r>
        <w:t>;</w:t>
      </w:r>
      <w:r w:rsidRPr="00E51BC4">
        <w:t xml:space="preserve"> </w:t>
      </w:r>
    </w:p>
    <w:p w:rsidR="000F30BD" w:rsidRDefault="000F30BD" w:rsidP="000F30BD">
      <w:pPr>
        <w:pStyle w:val="ad"/>
        <w:numPr>
          <w:ilvl w:val="0"/>
          <w:numId w:val="8"/>
        </w:numPr>
        <w:spacing w:before="120" w:after="120"/>
        <w:ind w:left="0" w:firstLine="709"/>
        <w:jc w:val="both"/>
      </w:pPr>
      <w:r w:rsidRPr="00E51BC4">
        <w:t>послуги з вивчення, дослідження та аналізу споживчого попиту, внесення продукції (робіт, послуг) платника податку до інформаційних баз продажу</w:t>
      </w:r>
      <w:r>
        <w:t>;</w:t>
      </w:r>
      <w:r w:rsidRPr="00E51BC4">
        <w:t xml:space="preserve"> </w:t>
      </w:r>
    </w:p>
    <w:p w:rsidR="000F30BD" w:rsidRDefault="000F30BD" w:rsidP="000F30BD">
      <w:pPr>
        <w:pStyle w:val="ad"/>
        <w:numPr>
          <w:ilvl w:val="0"/>
          <w:numId w:val="8"/>
        </w:numPr>
        <w:spacing w:before="120" w:after="120"/>
        <w:ind w:left="0" w:firstLine="709"/>
        <w:jc w:val="both"/>
      </w:pPr>
      <w:r w:rsidRPr="00E51BC4">
        <w:t>послуги зі збору та розповсюдження інформації про продукцію (роботи, послуги)</w:t>
      </w:r>
      <w:r>
        <w:t>.</w:t>
      </w:r>
    </w:p>
    <w:p w:rsidR="000F30BD" w:rsidRDefault="000F30BD" w:rsidP="000F30BD">
      <w:pPr>
        <w:spacing w:before="120" w:after="120"/>
        <w:ind w:firstLine="709"/>
        <w:jc w:val="both"/>
      </w:pPr>
      <w:r>
        <w:t>В Узагальнюючій податковій консультації щодо віднесення витрат на оплату маркетингових та рекламних послуг до складу витрат (</w:t>
      </w:r>
      <w:proofErr w:type="spellStart"/>
      <w:r>
        <w:t>затввердженої</w:t>
      </w:r>
      <w:proofErr w:type="spellEnd"/>
      <w:r>
        <w:t xml:space="preserve"> наказом Державної податкової служби України від 15.02.2012 №123) було вирішене питання віднесення мотиваційних платежів до складу витрат платника податків. Водночас, у цій податковій консультації було зазначено, що мотиваційні виплати </w:t>
      </w:r>
      <w:r w:rsidRPr="001E367A">
        <w:rPr>
          <w:i/>
        </w:rPr>
        <w:t>можуть бути</w:t>
      </w:r>
      <w:r>
        <w:t xml:space="preserve"> віднесені до маркетингових послуг. </w:t>
      </w:r>
    </w:p>
    <w:p w:rsidR="000F30BD" w:rsidRDefault="000F30BD" w:rsidP="000F30BD">
      <w:pPr>
        <w:spacing w:before="120" w:after="120"/>
        <w:ind w:firstLine="709"/>
        <w:jc w:val="both"/>
      </w:pPr>
      <w:r>
        <w:lastRenderedPageBreak/>
        <w:t>Державна фіскальна служба України (надалі – ДФС) 29.10.2015 та 28.12.2015 надала платникам податків індивідуальні податкові консультації №22983/6/99-95-42-01-15 і №27874/6/99-99-19-03-02-15 відповідно, які були опубліковані на офіційному сайті ДФС.</w:t>
      </w:r>
    </w:p>
    <w:p w:rsidR="000F30BD" w:rsidRDefault="000F30BD" w:rsidP="000F30BD">
      <w:pPr>
        <w:spacing w:before="120" w:after="120"/>
        <w:ind w:firstLine="709"/>
        <w:jc w:val="both"/>
      </w:pPr>
      <w:r>
        <w:t>Так, у своєму листі №22983/6/99-95-42-01-15 ДФС здійснила висновок, що «</w:t>
      </w:r>
      <w:r w:rsidRPr="00E913FD">
        <w:rPr>
          <w:i/>
        </w:rPr>
        <w:t>оскільки мотиваційні та стимулюючі виплати (премії, бонуси, інші заохочення), які сплачуються офіційним дистриб’ютором (постачальником продукції (робіт, послуг)), зокрема, за точність закупівельних прогнозів, виконання узгодженого плану закупівель, дотримання асортименту товарів), спрямовуються на стимулювання збуту продукції (робіт, послуг), такі витрати відносяться до маркетингових послуг</w:t>
      </w:r>
      <w:r>
        <w:rPr>
          <w:i/>
        </w:rPr>
        <w:t>»</w:t>
      </w:r>
      <w:r w:rsidRPr="00E913FD">
        <w:t>.</w:t>
      </w:r>
    </w:p>
    <w:p w:rsidR="000F30BD" w:rsidRDefault="000F30BD" w:rsidP="000F30BD">
      <w:pPr>
        <w:spacing w:before="120" w:after="120"/>
        <w:ind w:firstLine="709"/>
        <w:jc w:val="both"/>
      </w:pPr>
      <w:r>
        <w:t>У листі №27874/6/99-99-19-03-02-15 ДФС додатково зазначила, що «</w:t>
      </w:r>
      <w:r w:rsidRPr="00E913FD">
        <w:rPr>
          <w:i/>
        </w:rPr>
        <w:t>у покупця (платника ПДВ) при отриманні від продавця (платника ПДВ) винагороди в грошовій формі (бонусу) у зв’язку з досягненням відповідних показників (зокрема, здійснення закупівлі товарів необхідного обсягу у постачальника, відсутність простроченої заборгованості перед постачальником) виникають податкові зобов’язання з ПДВ на суму отриманої винагороди (бонусу)</w:t>
      </w:r>
      <w:r>
        <w:t>»</w:t>
      </w:r>
      <w:r w:rsidRPr="00E913FD">
        <w:t>.</w:t>
      </w:r>
    </w:p>
    <w:p w:rsidR="000F30BD" w:rsidRDefault="007E6323" w:rsidP="000F30BD">
      <w:pPr>
        <w:spacing w:before="120" w:after="120"/>
        <w:ind w:firstLine="709"/>
        <w:jc w:val="both"/>
      </w:pPr>
      <w:r>
        <w:t>Таким чином, ДФС</w:t>
      </w:r>
      <w:r w:rsidR="000F30BD">
        <w:t xml:space="preserve"> включила до маркетингових послуг наступні дії покупців товарів та обставини:</w:t>
      </w:r>
    </w:p>
    <w:p w:rsidR="000F30BD" w:rsidRDefault="000F30BD" w:rsidP="000F30BD">
      <w:pPr>
        <w:pStyle w:val="ad"/>
        <w:numPr>
          <w:ilvl w:val="0"/>
          <w:numId w:val="9"/>
        </w:numPr>
        <w:spacing w:before="120" w:after="120"/>
        <w:ind w:left="0" w:firstLine="709"/>
        <w:jc w:val="both"/>
      </w:pPr>
      <w:r>
        <w:t>точність закупівельних прогнозів;</w:t>
      </w:r>
    </w:p>
    <w:p w:rsidR="000F30BD" w:rsidRDefault="000F30BD" w:rsidP="000F30BD">
      <w:pPr>
        <w:pStyle w:val="ad"/>
        <w:numPr>
          <w:ilvl w:val="0"/>
          <w:numId w:val="9"/>
        </w:numPr>
        <w:spacing w:before="120" w:after="120"/>
        <w:ind w:left="0" w:firstLine="709"/>
        <w:jc w:val="both"/>
      </w:pPr>
      <w:r w:rsidRPr="00421EDB">
        <w:t>виконання узгодженого плану закупівель</w:t>
      </w:r>
      <w:r>
        <w:t>;</w:t>
      </w:r>
    </w:p>
    <w:p w:rsidR="000F30BD" w:rsidRDefault="000F30BD" w:rsidP="000F30BD">
      <w:pPr>
        <w:pStyle w:val="ad"/>
        <w:numPr>
          <w:ilvl w:val="0"/>
          <w:numId w:val="9"/>
        </w:numPr>
        <w:spacing w:before="120" w:after="120"/>
        <w:ind w:left="0" w:firstLine="709"/>
        <w:jc w:val="both"/>
      </w:pPr>
      <w:r w:rsidRPr="00421EDB">
        <w:t>дотримання асортименту товарів</w:t>
      </w:r>
      <w:r>
        <w:t>;</w:t>
      </w:r>
    </w:p>
    <w:p w:rsidR="000F30BD" w:rsidRDefault="000F30BD" w:rsidP="000F30BD">
      <w:pPr>
        <w:pStyle w:val="ad"/>
        <w:numPr>
          <w:ilvl w:val="0"/>
          <w:numId w:val="9"/>
        </w:numPr>
        <w:spacing w:before="120" w:after="120"/>
        <w:ind w:left="0" w:firstLine="709"/>
        <w:jc w:val="both"/>
      </w:pPr>
      <w:r w:rsidRPr="00421EDB">
        <w:t>здійснення закупівлі товарів необхідного обсягу у постачальника</w:t>
      </w:r>
      <w:r>
        <w:t>;</w:t>
      </w:r>
    </w:p>
    <w:p w:rsidR="000F30BD" w:rsidRDefault="000F30BD" w:rsidP="000F30BD">
      <w:pPr>
        <w:pStyle w:val="ad"/>
        <w:numPr>
          <w:ilvl w:val="0"/>
          <w:numId w:val="9"/>
        </w:numPr>
        <w:spacing w:before="120" w:after="120"/>
        <w:ind w:left="0" w:firstLine="709"/>
        <w:jc w:val="both"/>
      </w:pPr>
      <w:r w:rsidRPr="00421EDB">
        <w:t>відсутність простроченої заборгованості перед постачальником</w:t>
      </w:r>
      <w:r>
        <w:t>,</w:t>
      </w:r>
    </w:p>
    <w:p w:rsidR="000F30BD" w:rsidRDefault="000F30BD" w:rsidP="000F30BD">
      <w:pPr>
        <w:spacing w:before="120" w:after="120"/>
        <w:ind w:firstLine="709"/>
        <w:jc w:val="both"/>
        <w:rPr>
          <w:lang w:val="ru-RU"/>
        </w:rPr>
      </w:pPr>
      <w:r>
        <w:t xml:space="preserve">як такі, що впливають на стимулювання збуту товарів продавця. </w:t>
      </w:r>
    </w:p>
    <w:p w:rsidR="00F765C3" w:rsidRDefault="00F765C3" w:rsidP="000F30BD">
      <w:pPr>
        <w:spacing w:before="120" w:after="120"/>
        <w:ind w:firstLine="709"/>
        <w:jc w:val="both"/>
      </w:pPr>
      <w:proofErr w:type="spellStart"/>
      <w:r>
        <w:rPr>
          <w:lang w:val="ru-RU"/>
        </w:rPr>
        <w:t>Нараз</w:t>
      </w:r>
      <w:proofErr w:type="spellEnd"/>
      <w:r>
        <w:t>і серед компаній – членів Американської Торгівельної Палати в Україні</w:t>
      </w:r>
      <w:r w:rsidR="00D801F9">
        <w:t xml:space="preserve"> зокрема та українського бізнесу загалом</w:t>
      </w:r>
      <w:r>
        <w:t xml:space="preserve"> </w:t>
      </w:r>
      <w:r w:rsidR="00F848E5">
        <w:t>відсутн</w:t>
      </w:r>
      <w:r w:rsidR="00D801F9">
        <w:t>є</w:t>
      </w:r>
      <w:r>
        <w:t xml:space="preserve"> єдин</w:t>
      </w:r>
      <w:r w:rsidR="00F848E5">
        <w:t>е розуміння</w:t>
      </w:r>
      <w:r>
        <w:t>, чи можна вважати вищевказ</w:t>
      </w:r>
      <w:r w:rsidR="00F848E5">
        <w:t>ані листи ДФС офіційною позицію,</w:t>
      </w:r>
      <w:r>
        <w:t xml:space="preserve"> відповідно до якої сплати мотиваційного платежу у грошовій формі (бонусу, компенсації, тощо) обов</w:t>
      </w:r>
      <w:r w:rsidRPr="00C879B8">
        <w:t>'</w:t>
      </w:r>
      <w:r>
        <w:t xml:space="preserve">язково </w:t>
      </w:r>
      <w:proofErr w:type="gramStart"/>
      <w:r>
        <w:t>св</w:t>
      </w:r>
      <w:proofErr w:type="gramEnd"/>
      <w:r>
        <w:t xml:space="preserve">ідчить про наявність </w:t>
      </w:r>
      <w:proofErr w:type="spellStart"/>
      <w:r>
        <w:t>зворотньої</w:t>
      </w:r>
      <w:proofErr w:type="spellEnd"/>
      <w:r>
        <w:t xml:space="preserve"> маркетингової послуги зі сторони покупця товарів. </w:t>
      </w:r>
    </w:p>
    <w:p w:rsidR="00286295" w:rsidRDefault="00286295" w:rsidP="000F30BD">
      <w:pPr>
        <w:spacing w:before="120" w:after="120"/>
        <w:ind w:firstLine="709"/>
        <w:jc w:val="both"/>
      </w:pPr>
      <w:r>
        <w:t xml:space="preserve">З одного боку, трактування цих платежів як </w:t>
      </w:r>
      <w:proofErr w:type="spellStart"/>
      <w:r>
        <w:t>безповоротньої</w:t>
      </w:r>
      <w:proofErr w:type="spellEnd"/>
      <w:r>
        <w:t xml:space="preserve"> фінансової допомоги, а не як плати за маркетингову послугу (якщо сторони не вбачають наявність маркетингової послуги), тягне ризик донарахування ПДВ покупцю товарів. </w:t>
      </w:r>
    </w:p>
    <w:p w:rsidR="00286295" w:rsidRDefault="0076187F" w:rsidP="000F30BD">
      <w:pPr>
        <w:spacing w:before="120" w:after="120"/>
        <w:ind w:firstLine="709"/>
        <w:jc w:val="both"/>
      </w:pPr>
      <w:r>
        <w:t xml:space="preserve">З іншого боку, якщо сторони </w:t>
      </w:r>
      <w:r w:rsidR="00A4627F">
        <w:t xml:space="preserve">договору поставки </w:t>
      </w:r>
      <w:r>
        <w:t>вважають, що сплата мотиваційного бонусу здійснюється у зв</w:t>
      </w:r>
      <w:r w:rsidRPr="00C879B8">
        <w:t>'</w:t>
      </w:r>
      <w:r>
        <w:t>язку з наданням маркетингової послуги покупцем відповідно до пп. 14.1.108 п. 14.1 ст. 14 ПКУ, продавець стикається з ризиком невизнання сформованого за такою операцією податкового кредиту, якщо податкові органи вважатимуть, що маркетингов</w:t>
      </w:r>
      <w:r w:rsidR="00AC1320">
        <w:t>а</w:t>
      </w:r>
      <w:r>
        <w:t xml:space="preserve"> послуг</w:t>
      </w:r>
      <w:r w:rsidR="00AC1320">
        <w:t>а</w:t>
      </w:r>
      <w:r>
        <w:t xml:space="preserve"> насправді не існує, а отже така послуга є нереальною. </w:t>
      </w:r>
    </w:p>
    <w:p w:rsidR="00F848E5" w:rsidRDefault="00AC1320" w:rsidP="000F30BD">
      <w:pPr>
        <w:spacing w:before="120" w:after="120"/>
        <w:ind w:firstLine="709"/>
        <w:jc w:val="both"/>
      </w:pPr>
      <w:r>
        <w:t xml:space="preserve">З цього витікає </w:t>
      </w:r>
      <w:r w:rsidR="00F848E5">
        <w:t>важливість розуміння суб</w:t>
      </w:r>
      <w:r w:rsidR="00F848E5" w:rsidRPr="00C879B8">
        <w:t>'</w:t>
      </w:r>
      <w:r w:rsidR="00F848E5">
        <w:t>єктами господарювання критеріїв, наявність яких свідчить про існування послуги покупця та маркетинговий характер цієї послуги.</w:t>
      </w:r>
    </w:p>
    <w:p w:rsidR="00AC1320" w:rsidRPr="0076187F" w:rsidRDefault="00F848E5" w:rsidP="000F30BD">
      <w:pPr>
        <w:spacing w:before="120" w:after="120"/>
        <w:ind w:firstLine="709"/>
        <w:jc w:val="both"/>
      </w:pPr>
      <w:r>
        <w:t xml:space="preserve">Компанії-члени Американської Торгівельної Палати в Україні виступають за формування </w:t>
      </w:r>
      <w:r w:rsidR="00D801F9">
        <w:t xml:space="preserve">єдиного підходу ДФС і ринку до трактування мотиваційних платежів і за </w:t>
      </w:r>
      <w:r w:rsidR="00D801F9">
        <w:lastRenderedPageBreak/>
        <w:t xml:space="preserve">розроблення (і) критеріїв, які вказують на наявність маркетингової послуги, та (іі) переліку документів, який підтверджує реальність маркетингової послуги. </w:t>
      </w:r>
    </w:p>
    <w:p w:rsidR="000F30BD" w:rsidRDefault="000F30BD" w:rsidP="000F30BD">
      <w:pPr>
        <w:spacing w:before="120" w:after="120"/>
        <w:ind w:firstLine="709"/>
        <w:jc w:val="both"/>
      </w:pPr>
      <w:r>
        <w:t xml:space="preserve"> </w:t>
      </w:r>
    </w:p>
    <w:p w:rsidR="000F30BD" w:rsidRDefault="000F30BD" w:rsidP="000F30BD">
      <w:pPr>
        <w:spacing w:before="120" w:after="120"/>
        <w:ind w:firstLine="709"/>
        <w:jc w:val="both"/>
      </w:pPr>
      <w:r>
        <w:t>У зв</w:t>
      </w:r>
      <w:r w:rsidRPr="00025B4D">
        <w:t>'</w:t>
      </w:r>
      <w:r>
        <w:t xml:space="preserve">язку з вищезазначеним, звертаємося до Вас із проханням </w:t>
      </w:r>
      <w:r w:rsidRPr="000025B1">
        <w:t>ро</w:t>
      </w:r>
      <w:r>
        <w:t xml:space="preserve">зглянути вищевказані аргументи і </w:t>
      </w:r>
      <w:r w:rsidRPr="000025B1">
        <w:t>надати чітк</w:t>
      </w:r>
      <w:r>
        <w:t>і</w:t>
      </w:r>
      <w:r w:rsidRPr="000025B1">
        <w:t xml:space="preserve"> та зрозуміл</w:t>
      </w:r>
      <w:r>
        <w:t>і</w:t>
      </w:r>
      <w:r w:rsidRPr="000025B1">
        <w:t xml:space="preserve"> </w:t>
      </w:r>
      <w:r>
        <w:t>відповіді на наступні питання:</w:t>
      </w:r>
    </w:p>
    <w:p w:rsidR="000F30BD" w:rsidRDefault="000F30BD" w:rsidP="000F30BD">
      <w:pPr>
        <w:pStyle w:val="ad"/>
        <w:numPr>
          <w:ilvl w:val="0"/>
          <w:numId w:val="10"/>
        </w:numPr>
        <w:spacing w:before="120" w:after="120"/>
        <w:ind w:left="0" w:firstLine="709"/>
        <w:contextualSpacing w:val="0"/>
        <w:jc w:val="both"/>
      </w:pPr>
      <w:r>
        <w:t>Чи завжди</w:t>
      </w:r>
      <w:r w:rsidR="00B61287">
        <w:t xml:space="preserve"> сплата мотиваційних </w:t>
      </w:r>
      <w:r>
        <w:t>(</w:t>
      </w:r>
      <w:r w:rsidR="00B61287">
        <w:t>компенсаційних</w:t>
      </w:r>
      <w:r>
        <w:t>, тощо) виплат (бонус</w:t>
      </w:r>
      <w:r w:rsidR="00B61287">
        <w:t>ів</w:t>
      </w:r>
      <w:r>
        <w:t>, премі</w:t>
      </w:r>
      <w:r w:rsidR="00B61287">
        <w:t>й</w:t>
      </w:r>
      <w:r>
        <w:t>, компенсаці</w:t>
      </w:r>
      <w:r w:rsidR="00B61287">
        <w:t>й</w:t>
      </w:r>
      <w:r>
        <w:t xml:space="preserve">, тощо) </w:t>
      </w:r>
      <w:r w:rsidR="00B61287">
        <w:t xml:space="preserve">свідчить про </w:t>
      </w:r>
      <w:r w:rsidR="008253F3">
        <w:t>наявність</w:t>
      </w:r>
      <w:r>
        <w:t xml:space="preserve"> </w:t>
      </w:r>
      <w:r w:rsidR="00B61287">
        <w:t xml:space="preserve">маркетингової </w:t>
      </w:r>
      <w:r>
        <w:t>послуги?</w:t>
      </w:r>
    </w:p>
    <w:p w:rsidR="000F30BD" w:rsidRDefault="000F30BD" w:rsidP="000F30BD">
      <w:pPr>
        <w:pStyle w:val="ad"/>
        <w:numPr>
          <w:ilvl w:val="0"/>
          <w:numId w:val="10"/>
        </w:numPr>
        <w:spacing w:before="120" w:after="120"/>
        <w:ind w:left="0" w:firstLine="709"/>
        <w:contextualSpacing w:val="0"/>
        <w:jc w:val="both"/>
      </w:pPr>
      <w:r>
        <w:t xml:space="preserve">Чи </w:t>
      </w:r>
      <w:r w:rsidR="00B32412">
        <w:t>відносяться</w:t>
      </w:r>
      <w:r>
        <w:t xml:space="preserve"> до плати за маркетингові послуги мотиваційні (компенсаційні, тощо) механізми, які передбачають не виплату грошових коштів, а зниження ціни товарів чи зарахування зустрічних вимог сторін?</w:t>
      </w:r>
    </w:p>
    <w:p w:rsidR="008253F3" w:rsidRDefault="008253F3" w:rsidP="008253F3">
      <w:pPr>
        <w:pStyle w:val="ad"/>
        <w:numPr>
          <w:ilvl w:val="0"/>
          <w:numId w:val="10"/>
        </w:numPr>
        <w:spacing w:before="120" w:after="120"/>
        <w:ind w:left="0" w:firstLine="709"/>
        <w:contextualSpacing w:val="0"/>
        <w:jc w:val="both"/>
      </w:pPr>
      <w:r>
        <w:t xml:space="preserve">Які критерії відмежування </w:t>
      </w:r>
      <w:proofErr w:type="spellStart"/>
      <w:r>
        <w:t>безповоротньої</w:t>
      </w:r>
      <w:proofErr w:type="spellEnd"/>
      <w:r>
        <w:t xml:space="preserve"> фінансової допомоги, яка сплачується за досягнення певних показників під час здійснення господарської діяльності, та плати за маркетингові послуги?</w:t>
      </w:r>
    </w:p>
    <w:p w:rsidR="008253F3" w:rsidRPr="00E96BEC" w:rsidRDefault="008253F3" w:rsidP="000F30BD">
      <w:pPr>
        <w:pStyle w:val="ad"/>
        <w:numPr>
          <w:ilvl w:val="0"/>
          <w:numId w:val="10"/>
        </w:numPr>
        <w:spacing w:before="120" w:after="120"/>
        <w:ind w:left="0" w:firstLine="709"/>
        <w:contextualSpacing w:val="0"/>
        <w:jc w:val="both"/>
      </w:pPr>
      <w:r>
        <w:t xml:space="preserve">Які документи повинні бути складені між сторонами договору (надавачем і отримувачем мотиваційної виплати) для </w:t>
      </w:r>
      <w:r w:rsidR="00B32412">
        <w:t>засвідчення реальності маркетингової послуги?</w:t>
      </w:r>
    </w:p>
    <w:p w:rsidR="00E96BEC" w:rsidRPr="000025B1" w:rsidRDefault="00E96BEC" w:rsidP="00E96BEC">
      <w:pPr>
        <w:pStyle w:val="ad"/>
        <w:spacing w:before="120" w:after="120"/>
        <w:ind w:left="0" w:firstLine="709"/>
        <w:contextualSpacing w:val="0"/>
        <w:jc w:val="both"/>
      </w:pPr>
      <w:r w:rsidRPr="00E96BEC">
        <w:t>У разі виникнення додаткових запитань з приводу положень листа, просимо уповноважити відповідальну особу, яка б могла зв’язатися з нами за телефоном 490-58-00 або електронною поштою oprokhorovych@chamber.ua, контактна особа – Олександр Прохорович, менеджер Палати з питань стратегічного розвитку (оподаткування та митна політика).</w:t>
      </w:r>
    </w:p>
    <w:p w:rsidR="00E96BEC" w:rsidRPr="00531003" w:rsidRDefault="00E96BEC" w:rsidP="00E96BEC">
      <w:pPr>
        <w:jc w:val="both"/>
        <w:rPr>
          <w:b/>
          <w:lang w:val="ru-RU"/>
        </w:rPr>
      </w:pPr>
    </w:p>
    <w:p w:rsidR="00E96BEC" w:rsidRPr="00531003" w:rsidRDefault="00E96BEC" w:rsidP="00E96BEC">
      <w:pPr>
        <w:jc w:val="both"/>
        <w:rPr>
          <w:b/>
          <w:lang w:val="ru-RU"/>
        </w:rPr>
      </w:pPr>
    </w:p>
    <w:p w:rsidR="00E96BEC" w:rsidRPr="006C2F7C" w:rsidRDefault="00E96BEC" w:rsidP="00E96BEC">
      <w:pPr>
        <w:jc w:val="both"/>
        <w:rPr>
          <w:b/>
        </w:rPr>
      </w:pPr>
      <w:r w:rsidRPr="006C2F7C">
        <w:rPr>
          <w:b/>
        </w:rPr>
        <w:t>З глибокою повагою та найкращими побажаннями,</w:t>
      </w:r>
    </w:p>
    <w:p w:rsidR="00E96BEC" w:rsidRPr="006C2F7C" w:rsidRDefault="00E96BEC" w:rsidP="00E96BEC">
      <w:pPr>
        <w:jc w:val="both"/>
      </w:pPr>
    </w:p>
    <w:p w:rsidR="00E96BEC" w:rsidRPr="006C2F7C" w:rsidRDefault="00E96BEC" w:rsidP="00E96BEC">
      <w:pPr>
        <w:jc w:val="both"/>
        <w:rPr>
          <w:b/>
        </w:rPr>
      </w:pPr>
      <w:r w:rsidRPr="006C2F7C">
        <w:rPr>
          <w:rStyle w:val="ab"/>
          <w:color w:val="000000"/>
        </w:rPr>
        <w:t>Президент</w:t>
      </w:r>
      <w:r w:rsidRPr="006C2F7C">
        <w:rPr>
          <w:rStyle w:val="ab"/>
          <w:color w:val="000000"/>
        </w:rPr>
        <w:tab/>
      </w:r>
      <w:r w:rsidRPr="006C2F7C">
        <w:rPr>
          <w:rStyle w:val="ab"/>
          <w:color w:val="000000"/>
        </w:rPr>
        <w:tab/>
      </w:r>
      <w:r w:rsidRPr="006C2F7C">
        <w:rPr>
          <w:rStyle w:val="ab"/>
          <w:color w:val="000000"/>
        </w:rPr>
        <w:tab/>
      </w:r>
      <w:r w:rsidRPr="006C2F7C">
        <w:rPr>
          <w:rStyle w:val="ab"/>
          <w:color w:val="000000"/>
        </w:rPr>
        <w:tab/>
      </w:r>
      <w:r w:rsidRPr="006C2F7C">
        <w:rPr>
          <w:b/>
        </w:rPr>
        <w:tab/>
      </w:r>
      <w:r w:rsidRPr="006C2F7C">
        <w:rPr>
          <w:b/>
        </w:rPr>
        <w:tab/>
      </w:r>
      <w:r w:rsidRPr="006C2F7C">
        <w:rPr>
          <w:b/>
        </w:rPr>
        <w:tab/>
      </w:r>
      <w:r w:rsidRPr="006C2F7C">
        <w:rPr>
          <w:b/>
        </w:rPr>
        <w:tab/>
      </w:r>
      <w:r w:rsidRPr="006C2F7C">
        <w:rPr>
          <w:b/>
        </w:rPr>
        <w:tab/>
      </w:r>
      <w:r w:rsidRPr="006C2F7C">
        <w:rPr>
          <w:b/>
        </w:rPr>
        <w:tab/>
        <w:t xml:space="preserve">      Андрій </w:t>
      </w:r>
      <w:proofErr w:type="spellStart"/>
      <w:r w:rsidRPr="006C2F7C">
        <w:rPr>
          <w:b/>
        </w:rPr>
        <w:t>Гундер</w:t>
      </w:r>
      <w:proofErr w:type="spellEnd"/>
      <w:r w:rsidRPr="006C2F7C">
        <w:rPr>
          <w:b/>
        </w:rPr>
        <w:t xml:space="preserve"> </w:t>
      </w:r>
    </w:p>
    <w:p w:rsidR="002D1292" w:rsidRPr="00C1019E" w:rsidRDefault="002D1292" w:rsidP="00C1019E">
      <w:bookmarkStart w:id="0" w:name="_GoBack"/>
      <w:bookmarkEnd w:id="0"/>
    </w:p>
    <w:sectPr w:rsidR="002D1292" w:rsidRPr="00C1019E" w:rsidSect="000F30BD">
      <w:headerReference w:type="even" r:id="rId13"/>
      <w:headerReference w:type="default" r:id="rId14"/>
      <w:footerReference w:type="even" r:id="rId15"/>
      <w:footerReference w:type="default" r:id="rId16"/>
      <w:headerReference w:type="first" r:id="rId17"/>
      <w:footerReference w:type="first" r:id="rId18"/>
      <w:pgSz w:w="11906" w:h="16838"/>
      <w:pgMar w:top="567" w:right="991" w:bottom="567"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3B" w:rsidRDefault="00CA713B" w:rsidP="00742BAD">
      <w:r>
        <w:separator/>
      </w:r>
    </w:p>
  </w:endnote>
  <w:endnote w:type="continuationSeparator" w:id="0">
    <w:p w:rsidR="00CA713B" w:rsidRDefault="00CA713B"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D" w:rsidRDefault="00920E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72" w:rsidRPr="00EA068F" w:rsidRDefault="00B57472" w:rsidP="00590E60">
    <w:pPr>
      <w:tabs>
        <w:tab w:val="left" w:pos="1170"/>
      </w:tabs>
      <w:ind w:left="1350" w:hanging="1350"/>
      <w:jc w:val="both"/>
      <w:rPr>
        <w:rFonts w:ascii="Arial" w:hAnsi="Arial" w:cs="Arial"/>
        <w:b/>
        <w:i/>
        <w:color w:val="244061"/>
        <w:sz w:val="16"/>
        <w:szCs w:val="16"/>
      </w:rPr>
    </w:pPr>
    <w:r w:rsidRPr="00EA068F">
      <w:rPr>
        <w:rFonts w:ascii="Arial" w:hAnsi="Arial" w:cs="Arial"/>
        <w:b/>
        <w:i/>
        <w:color w:val="244061"/>
        <w:sz w:val="16"/>
        <w:szCs w:val="16"/>
      </w:rPr>
      <w:t>_________________________________________________________________________________________________________________________</w:t>
    </w:r>
  </w:p>
  <w:p w:rsidR="00D33472" w:rsidRPr="00FD004B" w:rsidRDefault="00B57472" w:rsidP="00D33472">
    <w:pPr>
      <w:ind w:left="1560" w:hanging="1560"/>
      <w:jc w:val="both"/>
      <w:rPr>
        <w:rFonts w:ascii="Arial" w:hAnsi="Arial" w:cs="Arial"/>
        <w:i/>
        <w:color w:val="0F243E"/>
        <w:sz w:val="16"/>
        <w:szCs w:val="16"/>
      </w:rPr>
    </w:pPr>
    <w:r w:rsidRPr="00B35E9D">
      <w:rPr>
        <w:rFonts w:ascii="Arial" w:hAnsi="Arial" w:cs="Arial"/>
        <w:b/>
        <w:i/>
        <w:color w:val="0F243E"/>
        <w:sz w:val="16"/>
        <w:szCs w:val="16"/>
      </w:rPr>
      <w:t>Рада директорів</w:t>
    </w:r>
    <w:r w:rsidRPr="00B35E9D">
      <w:rPr>
        <w:rFonts w:ascii="Arial" w:hAnsi="Arial" w:cs="Arial"/>
        <w:i/>
        <w:color w:val="0F243E"/>
        <w:sz w:val="16"/>
        <w:szCs w:val="16"/>
      </w:rPr>
      <w:t xml:space="preserve">: </w:t>
    </w:r>
    <w:r w:rsidR="007C508D" w:rsidRPr="007C508D">
      <w:rPr>
        <w:rFonts w:ascii="Arial" w:hAnsi="Arial" w:cs="Arial"/>
        <w:i/>
        <w:color w:val="0F243E"/>
        <w:sz w:val="16"/>
        <w:szCs w:val="16"/>
      </w:rPr>
      <w:t xml:space="preserve"> </w:t>
    </w:r>
    <w:proofErr w:type="spellStart"/>
    <w:r w:rsidR="00F80688" w:rsidRPr="00F80688">
      <w:rPr>
        <w:rFonts w:ascii="Arial" w:hAnsi="Arial" w:cs="Arial"/>
        <w:b/>
        <w:i/>
        <w:color w:val="0F243E"/>
        <w:sz w:val="16"/>
        <w:szCs w:val="16"/>
      </w:rPr>
      <w:t>Грехем</w:t>
    </w:r>
    <w:proofErr w:type="spellEnd"/>
    <w:r w:rsidR="00F80688" w:rsidRPr="00F80688">
      <w:rPr>
        <w:rFonts w:ascii="Arial" w:hAnsi="Arial" w:cs="Arial"/>
        <w:b/>
        <w:i/>
        <w:color w:val="0F243E"/>
        <w:sz w:val="16"/>
        <w:szCs w:val="16"/>
      </w:rPr>
      <w:t xml:space="preserve"> </w:t>
    </w:r>
    <w:proofErr w:type="spellStart"/>
    <w:r w:rsidR="00F80688" w:rsidRPr="00F80688">
      <w:rPr>
        <w:rFonts w:ascii="Arial" w:hAnsi="Arial" w:cs="Arial"/>
        <w:b/>
        <w:i/>
        <w:color w:val="0F243E"/>
        <w:sz w:val="16"/>
        <w:szCs w:val="16"/>
      </w:rPr>
      <w:t>Тайлі</w:t>
    </w:r>
    <w:proofErr w:type="spellEnd"/>
    <w:r w:rsidR="00F80688" w:rsidRPr="00F80688">
      <w:rPr>
        <w:rFonts w:ascii="Arial" w:hAnsi="Arial" w:cs="Arial"/>
        <w:b/>
        <w:i/>
        <w:color w:val="0F243E"/>
        <w:sz w:val="16"/>
        <w:szCs w:val="16"/>
      </w:rPr>
      <w:t xml:space="preserve">, </w:t>
    </w:r>
    <w:r w:rsidR="00F80688" w:rsidRPr="00F80688">
      <w:rPr>
        <w:rFonts w:ascii="Arial" w:hAnsi="Arial" w:cs="Arial"/>
        <w:i/>
        <w:color w:val="0F243E"/>
        <w:sz w:val="16"/>
        <w:szCs w:val="16"/>
      </w:rPr>
      <w:t>“</w:t>
    </w:r>
    <w:proofErr w:type="spellStart"/>
    <w:r w:rsidR="00F80688" w:rsidRPr="00F80688">
      <w:rPr>
        <w:rFonts w:ascii="Arial" w:hAnsi="Arial" w:cs="Arial"/>
        <w:i/>
        <w:color w:val="0F243E"/>
        <w:sz w:val="16"/>
        <w:szCs w:val="16"/>
      </w:rPr>
      <w:t>Шелл</w:t>
    </w:r>
    <w:proofErr w:type="spellEnd"/>
    <w:r w:rsidR="00F80688" w:rsidRPr="00F80688">
      <w:rPr>
        <w:rFonts w:ascii="Arial" w:hAnsi="Arial" w:cs="Arial"/>
        <w:i/>
        <w:color w:val="0F243E"/>
        <w:sz w:val="16"/>
        <w:szCs w:val="16"/>
      </w:rPr>
      <w:t>”</w:t>
    </w:r>
    <w:r w:rsidR="00F80688" w:rsidRPr="00F80688">
      <w:rPr>
        <w:rFonts w:ascii="Arial" w:hAnsi="Arial" w:cs="Arial"/>
        <w:b/>
        <w:i/>
        <w:color w:val="0F243E"/>
        <w:sz w:val="16"/>
        <w:szCs w:val="16"/>
      </w:rPr>
      <w:t xml:space="preserve"> – Голова; </w:t>
    </w:r>
    <w:proofErr w:type="spellStart"/>
    <w:r w:rsidR="00F80688" w:rsidRPr="00F80688">
      <w:rPr>
        <w:rFonts w:ascii="Arial" w:hAnsi="Arial" w:cs="Arial"/>
        <w:b/>
        <w:i/>
        <w:color w:val="0F243E"/>
        <w:sz w:val="16"/>
        <w:szCs w:val="16"/>
      </w:rPr>
      <w:t>Шевкі</w:t>
    </w:r>
    <w:proofErr w:type="spellEnd"/>
    <w:r w:rsidR="00F80688" w:rsidRPr="00F80688">
      <w:rPr>
        <w:rFonts w:ascii="Arial" w:hAnsi="Arial" w:cs="Arial"/>
        <w:b/>
        <w:i/>
        <w:color w:val="0F243E"/>
        <w:sz w:val="16"/>
        <w:szCs w:val="16"/>
      </w:rPr>
      <w:t xml:space="preserve"> </w:t>
    </w:r>
    <w:proofErr w:type="spellStart"/>
    <w:r w:rsidR="00F80688" w:rsidRPr="00F80688">
      <w:rPr>
        <w:rFonts w:ascii="Arial" w:hAnsi="Arial" w:cs="Arial"/>
        <w:b/>
        <w:i/>
        <w:color w:val="0F243E"/>
        <w:sz w:val="16"/>
        <w:szCs w:val="16"/>
      </w:rPr>
      <w:t>Аджунер</w:t>
    </w:r>
    <w:proofErr w:type="spellEnd"/>
    <w:r w:rsidR="00F80688" w:rsidRPr="00F80688">
      <w:rPr>
        <w:rFonts w:ascii="Arial" w:hAnsi="Arial" w:cs="Arial"/>
        <w:b/>
        <w:i/>
        <w:color w:val="0F243E"/>
        <w:sz w:val="16"/>
        <w:szCs w:val="16"/>
      </w:rPr>
      <w:t xml:space="preserve">, </w:t>
    </w:r>
    <w:r w:rsidR="00F80688" w:rsidRPr="00F80688">
      <w:rPr>
        <w:rFonts w:ascii="Arial" w:hAnsi="Arial" w:cs="Arial"/>
        <w:i/>
        <w:color w:val="0F243E"/>
        <w:sz w:val="16"/>
        <w:szCs w:val="16"/>
      </w:rPr>
      <w:t>Європейський банк реконструкції та розвитку</w:t>
    </w:r>
    <w:r w:rsidR="00F80688" w:rsidRPr="00F80688">
      <w:rPr>
        <w:rFonts w:ascii="Arial" w:hAnsi="Arial" w:cs="Arial"/>
        <w:b/>
        <w:i/>
        <w:color w:val="0F243E"/>
        <w:sz w:val="16"/>
        <w:szCs w:val="16"/>
      </w:rPr>
      <w:t xml:space="preserve"> – Заступник голови; Стівен Фішер, </w:t>
    </w:r>
    <w:r w:rsidR="00F80688" w:rsidRPr="00F80688">
      <w:rPr>
        <w:rFonts w:ascii="Arial" w:hAnsi="Arial" w:cs="Arial"/>
        <w:i/>
        <w:color w:val="0F243E"/>
        <w:sz w:val="16"/>
        <w:szCs w:val="16"/>
      </w:rPr>
      <w:t>"</w:t>
    </w:r>
    <w:proofErr w:type="spellStart"/>
    <w:r w:rsidR="00F80688" w:rsidRPr="00F80688">
      <w:rPr>
        <w:rFonts w:ascii="Arial" w:hAnsi="Arial" w:cs="Arial"/>
        <w:i/>
        <w:color w:val="0F243E"/>
        <w:sz w:val="16"/>
        <w:szCs w:val="16"/>
      </w:rPr>
      <w:t>Сітібанк</w:t>
    </w:r>
    <w:proofErr w:type="spellEnd"/>
    <w:r w:rsidR="00F80688" w:rsidRPr="00F80688">
      <w:rPr>
        <w:rFonts w:ascii="Arial" w:hAnsi="Arial" w:cs="Arial"/>
        <w:i/>
        <w:color w:val="0F243E"/>
        <w:sz w:val="16"/>
        <w:szCs w:val="16"/>
      </w:rPr>
      <w:t>"</w:t>
    </w:r>
    <w:r w:rsidR="00F80688" w:rsidRPr="00F80688">
      <w:rPr>
        <w:rFonts w:ascii="Arial" w:hAnsi="Arial" w:cs="Arial"/>
        <w:b/>
        <w:i/>
        <w:color w:val="0F243E"/>
        <w:sz w:val="16"/>
        <w:szCs w:val="16"/>
      </w:rPr>
      <w:t xml:space="preserve"> – Заступник голови; Жан-Поль </w:t>
    </w:r>
    <w:proofErr w:type="spellStart"/>
    <w:r w:rsidR="00F80688" w:rsidRPr="00F80688">
      <w:rPr>
        <w:rFonts w:ascii="Arial" w:hAnsi="Arial" w:cs="Arial"/>
        <w:b/>
        <w:i/>
        <w:color w:val="0F243E"/>
        <w:sz w:val="16"/>
        <w:szCs w:val="16"/>
      </w:rPr>
      <w:t>Шоєр</w:t>
    </w:r>
    <w:proofErr w:type="spellEnd"/>
    <w:r w:rsidR="00F80688" w:rsidRPr="00F80688">
      <w:rPr>
        <w:rFonts w:ascii="Arial" w:hAnsi="Arial" w:cs="Arial"/>
        <w:b/>
        <w:i/>
        <w:color w:val="0F243E"/>
        <w:sz w:val="16"/>
        <w:szCs w:val="16"/>
      </w:rPr>
      <w:t xml:space="preserve">, </w:t>
    </w:r>
    <w:r w:rsidR="00F80688" w:rsidRPr="00F80688">
      <w:rPr>
        <w:rFonts w:ascii="Arial" w:hAnsi="Arial" w:cs="Arial"/>
        <w:i/>
        <w:color w:val="0F243E"/>
        <w:sz w:val="16"/>
        <w:szCs w:val="16"/>
      </w:rPr>
      <w:t>“</w:t>
    </w:r>
    <w:proofErr w:type="spellStart"/>
    <w:r w:rsidR="00F80688" w:rsidRPr="00F80688">
      <w:rPr>
        <w:rFonts w:ascii="Arial" w:hAnsi="Arial" w:cs="Arial"/>
        <w:i/>
        <w:color w:val="0F243E"/>
        <w:sz w:val="16"/>
        <w:szCs w:val="16"/>
      </w:rPr>
      <w:t>Санофі-Авентіс</w:t>
    </w:r>
    <w:proofErr w:type="spellEnd"/>
    <w:r w:rsidR="00F80688" w:rsidRPr="00F80688">
      <w:rPr>
        <w:rFonts w:ascii="Arial" w:hAnsi="Arial" w:cs="Arial"/>
        <w:i/>
        <w:color w:val="0F243E"/>
        <w:sz w:val="16"/>
        <w:szCs w:val="16"/>
      </w:rPr>
      <w:t xml:space="preserve"> Україна”</w:t>
    </w:r>
    <w:r w:rsidR="00F80688" w:rsidRPr="00F80688">
      <w:rPr>
        <w:rFonts w:ascii="Arial" w:hAnsi="Arial" w:cs="Arial"/>
        <w:b/>
        <w:i/>
        <w:color w:val="0F243E"/>
        <w:sz w:val="16"/>
        <w:szCs w:val="16"/>
      </w:rPr>
      <w:t xml:space="preserve"> – Скарбник; Антуан </w:t>
    </w:r>
    <w:proofErr w:type="spellStart"/>
    <w:r w:rsidR="00F80688" w:rsidRPr="00F80688">
      <w:rPr>
        <w:rFonts w:ascii="Arial" w:hAnsi="Arial" w:cs="Arial"/>
        <w:b/>
        <w:i/>
        <w:color w:val="0F243E"/>
        <w:sz w:val="16"/>
        <w:szCs w:val="16"/>
      </w:rPr>
      <w:t>Брун</w:t>
    </w:r>
    <w:proofErr w:type="spellEnd"/>
    <w:r w:rsidR="00F80688" w:rsidRPr="00F80688">
      <w:rPr>
        <w:rFonts w:ascii="Arial" w:hAnsi="Arial" w:cs="Arial"/>
        <w:b/>
        <w:i/>
        <w:color w:val="0F243E"/>
        <w:sz w:val="16"/>
        <w:szCs w:val="16"/>
      </w:rPr>
      <w:t xml:space="preserve">, </w:t>
    </w:r>
    <w:r w:rsidR="00F80688" w:rsidRPr="00F80688">
      <w:rPr>
        <w:rFonts w:ascii="Arial" w:hAnsi="Arial" w:cs="Arial"/>
        <w:i/>
        <w:color w:val="0F243E"/>
        <w:sz w:val="16"/>
        <w:szCs w:val="16"/>
      </w:rPr>
      <w:t>“</w:t>
    </w:r>
    <w:proofErr w:type="spellStart"/>
    <w:r w:rsidR="00F80688" w:rsidRPr="00F80688">
      <w:rPr>
        <w:rFonts w:ascii="Arial" w:hAnsi="Arial" w:cs="Arial"/>
        <w:i/>
        <w:color w:val="0F243E"/>
        <w:sz w:val="16"/>
        <w:szCs w:val="16"/>
      </w:rPr>
      <w:t>Проктер</w:t>
    </w:r>
    <w:proofErr w:type="spellEnd"/>
    <w:r w:rsidR="00F80688" w:rsidRPr="00F80688">
      <w:rPr>
        <w:rFonts w:ascii="Arial" w:hAnsi="Arial" w:cs="Arial"/>
        <w:i/>
        <w:color w:val="0F243E"/>
        <w:sz w:val="16"/>
        <w:szCs w:val="16"/>
      </w:rPr>
      <w:t xml:space="preserve"> </w:t>
    </w:r>
    <w:proofErr w:type="spellStart"/>
    <w:r w:rsidR="00F80688" w:rsidRPr="00F80688">
      <w:rPr>
        <w:rFonts w:ascii="Arial" w:hAnsi="Arial" w:cs="Arial"/>
        <w:i/>
        <w:color w:val="0F243E"/>
        <w:sz w:val="16"/>
        <w:szCs w:val="16"/>
      </w:rPr>
      <w:t>енд</w:t>
    </w:r>
    <w:proofErr w:type="spellEnd"/>
    <w:r w:rsidR="00F80688" w:rsidRPr="00F80688">
      <w:rPr>
        <w:rFonts w:ascii="Arial" w:hAnsi="Arial" w:cs="Arial"/>
        <w:i/>
        <w:color w:val="0F243E"/>
        <w:sz w:val="16"/>
        <w:szCs w:val="16"/>
      </w:rPr>
      <w:t xml:space="preserve"> </w:t>
    </w:r>
    <w:proofErr w:type="spellStart"/>
    <w:r w:rsidR="00F80688" w:rsidRPr="00F80688">
      <w:rPr>
        <w:rFonts w:ascii="Arial" w:hAnsi="Arial" w:cs="Arial"/>
        <w:i/>
        <w:color w:val="0F243E"/>
        <w:sz w:val="16"/>
        <w:szCs w:val="16"/>
      </w:rPr>
      <w:t>Гембл</w:t>
    </w:r>
    <w:proofErr w:type="spellEnd"/>
    <w:r w:rsidR="00F80688" w:rsidRPr="00F80688">
      <w:rPr>
        <w:rFonts w:ascii="Arial" w:hAnsi="Arial" w:cs="Arial"/>
        <w:i/>
        <w:color w:val="0F243E"/>
        <w:sz w:val="16"/>
        <w:szCs w:val="16"/>
      </w:rPr>
      <w:t xml:space="preserve"> Україна” </w:t>
    </w:r>
    <w:r w:rsidR="00F80688" w:rsidRPr="00F80688">
      <w:rPr>
        <w:rFonts w:ascii="Arial" w:hAnsi="Arial" w:cs="Arial"/>
        <w:b/>
        <w:i/>
        <w:color w:val="0F243E"/>
        <w:sz w:val="16"/>
        <w:szCs w:val="16"/>
      </w:rPr>
      <w:t xml:space="preserve">– Секретар; Надія Васильєва, </w:t>
    </w:r>
    <w:r w:rsidR="00F80688" w:rsidRPr="00F80688">
      <w:rPr>
        <w:rFonts w:ascii="Arial" w:hAnsi="Arial" w:cs="Arial"/>
        <w:i/>
        <w:color w:val="0F243E"/>
        <w:sz w:val="16"/>
        <w:szCs w:val="16"/>
      </w:rPr>
      <w:t xml:space="preserve">“Майкрософт Україна”; </w:t>
    </w:r>
    <w:proofErr w:type="spellStart"/>
    <w:r w:rsidR="00F80688" w:rsidRPr="00F80688">
      <w:rPr>
        <w:rFonts w:ascii="Arial" w:hAnsi="Arial" w:cs="Arial"/>
        <w:b/>
        <w:i/>
        <w:color w:val="0F243E"/>
        <w:sz w:val="16"/>
        <w:szCs w:val="16"/>
      </w:rPr>
      <w:t>Роджер</w:t>
    </w:r>
    <w:proofErr w:type="spellEnd"/>
    <w:r w:rsidR="00F80688" w:rsidRPr="00F80688">
      <w:rPr>
        <w:rFonts w:ascii="Arial" w:hAnsi="Arial" w:cs="Arial"/>
        <w:b/>
        <w:i/>
        <w:color w:val="0F243E"/>
        <w:sz w:val="16"/>
        <w:szCs w:val="16"/>
      </w:rPr>
      <w:t xml:space="preserve"> </w:t>
    </w:r>
    <w:proofErr w:type="spellStart"/>
    <w:r w:rsidR="00F80688" w:rsidRPr="00F80688">
      <w:rPr>
        <w:rFonts w:ascii="Arial" w:hAnsi="Arial" w:cs="Arial"/>
        <w:b/>
        <w:i/>
        <w:color w:val="0F243E"/>
        <w:sz w:val="16"/>
        <w:szCs w:val="16"/>
      </w:rPr>
      <w:t>Гонтле</w:t>
    </w:r>
    <w:proofErr w:type="spellEnd"/>
    <w:r w:rsidR="00F80688" w:rsidRPr="00F80688">
      <w:rPr>
        <w:rFonts w:ascii="Arial" w:hAnsi="Arial" w:cs="Arial"/>
        <w:b/>
        <w:i/>
        <w:color w:val="0F243E"/>
        <w:sz w:val="16"/>
        <w:szCs w:val="16"/>
      </w:rPr>
      <w:t xml:space="preserve">, </w:t>
    </w:r>
    <w:r w:rsidR="00F80688" w:rsidRPr="00F80688">
      <w:rPr>
        <w:rFonts w:ascii="Arial" w:hAnsi="Arial" w:cs="Arial"/>
        <w:i/>
        <w:color w:val="0F243E"/>
        <w:sz w:val="16"/>
        <w:szCs w:val="16"/>
      </w:rPr>
      <w:t xml:space="preserve">“Кока-Кола Україна </w:t>
    </w:r>
    <w:proofErr w:type="spellStart"/>
    <w:r w:rsidR="00F80688" w:rsidRPr="00F80688">
      <w:rPr>
        <w:rFonts w:ascii="Arial" w:hAnsi="Arial" w:cs="Arial"/>
        <w:i/>
        <w:color w:val="0F243E"/>
        <w:sz w:val="16"/>
        <w:szCs w:val="16"/>
      </w:rPr>
      <w:t>Лімітед</w:t>
    </w:r>
    <w:proofErr w:type="spellEnd"/>
    <w:r w:rsidR="00F80688" w:rsidRPr="00F80688">
      <w:rPr>
        <w:rFonts w:ascii="Arial" w:hAnsi="Arial" w:cs="Arial"/>
        <w:i/>
        <w:color w:val="0F243E"/>
        <w:sz w:val="16"/>
        <w:szCs w:val="16"/>
      </w:rPr>
      <w:t>”;</w:t>
    </w:r>
    <w:r w:rsidR="00F80688" w:rsidRPr="00F80688">
      <w:rPr>
        <w:rFonts w:ascii="Arial" w:hAnsi="Arial" w:cs="Arial"/>
        <w:b/>
        <w:i/>
        <w:color w:val="0F243E"/>
        <w:sz w:val="16"/>
        <w:szCs w:val="16"/>
      </w:rPr>
      <w:t xml:space="preserve"> </w:t>
    </w:r>
    <w:proofErr w:type="spellStart"/>
    <w:r w:rsidR="00F80688" w:rsidRPr="00F80688">
      <w:rPr>
        <w:rFonts w:ascii="Arial" w:hAnsi="Arial" w:cs="Arial"/>
        <w:b/>
        <w:i/>
        <w:color w:val="0F243E"/>
        <w:sz w:val="16"/>
        <w:szCs w:val="16"/>
      </w:rPr>
      <w:t>Пенко</w:t>
    </w:r>
    <w:proofErr w:type="spellEnd"/>
    <w:r w:rsidR="00F80688" w:rsidRPr="00F80688">
      <w:rPr>
        <w:rFonts w:ascii="Arial" w:hAnsi="Arial" w:cs="Arial"/>
        <w:b/>
        <w:i/>
        <w:color w:val="0F243E"/>
        <w:sz w:val="16"/>
        <w:szCs w:val="16"/>
      </w:rPr>
      <w:t xml:space="preserve"> </w:t>
    </w:r>
    <w:proofErr w:type="spellStart"/>
    <w:r w:rsidR="00F80688" w:rsidRPr="00F80688">
      <w:rPr>
        <w:rFonts w:ascii="Arial" w:hAnsi="Arial" w:cs="Arial"/>
        <w:b/>
        <w:i/>
        <w:color w:val="0F243E"/>
        <w:sz w:val="16"/>
        <w:szCs w:val="16"/>
      </w:rPr>
      <w:t>Дінев</w:t>
    </w:r>
    <w:proofErr w:type="spellEnd"/>
    <w:r w:rsidR="00F80688" w:rsidRPr="00F80688">
      <w:rPr>
        <w:rFonts w:ascii="Arial" w:hAnsi="Arial" w:cs="Arial"/>
        <w:b/>
        <w:i/>
        <w:color w:val="0F243E"/>
        <w:sz w:val="16"/>
        <w:szCs w:val="16"/>
      </w:rPr>
      <w:t xml:space="preserve">, </w:t>
    </w:r>
    <w:r w:rsidR="00F80688" w:rsidRPr="00F80688">
      <w:rPr>
        <w:rFonts w:ascii="Arial" w:hAnsi="Arial" w:cs="Arial"/>
        <w:i/>
        <w:color w:val="0F243E"/>
        <w:sz w:val="16"/>
        <w:szCs w:val="16"/>
      </w:rPr>
      <w:t>“IBM Україна”;</w:t>
    </w:r>
    <w:r w:rsidR="00F80688" w:rsidRPr="00F80688">
      <w:rPr>
        <w:rFonts w:ascii="Arial" w:hAnsi="Arial" w:cs="Arial"/>
        <w:b/>
        <w:i/>
        <w:color w:val="0F243E"/>
        <w:sz w:val="16"/>
        <w:szCs w:val="16"/>
      </w:rPr>
      <w:t xml:space="preserve"> Ленна </w:t>
    </w:r>
    <w:proofErr w:type="spellStart"/>
    <w:r w:rsidR="00F80688" w:rsidRPr="00F80688">
      <w:rPr>
        <w:rFonts w:ascii="Arial" w:hAnsi="Arial" w:cs="Arial"/>
        <w:b/>
        <w:i/>
        <w:color w:val="0F243E"/>
        <w:sz w:val="16"/>
        <w:szCs w:val="16"/>
      </w:rPr>
      <w:t>Кожарни</w:t>
    </w:r>
    <w:proofErr w:type="spellEnd"/>
    <w:r w:rsidR="00F80688" w:rsidRPr="00F80688">
      <w:rPr>
        <w:rFonts w:ascii="Arial" w:hAnsi="Arial" w:cs="Arial"/>
        <w:b/>
        <w:i/>
        <w:color w:val="0F243E"/>
        <w:sz w:val="16"/>
        <w:szCs w:val="16"/>
      </w:rPr>
      <w:t xml:space="preserve">, </w:t>
    </w:r>
    <w:proofErr w:type="spellStart"/>
    <w:r w:rsidR="00F80688" w:rsidRPr="00F80688">
      <w:rPr>
        <w:rFonts w:ascii="Arial" w:hAnsi="Arial" w:cs="Arial"/>
        <w:i/>
        <w:color w:val="0F243E"/>
        <w:sz w:val="16"/>
        <w:szCs w:val="16"/>
      </w:rPr>
      <w:t>Horizon</w:t>
    </w:r>
    <w:proofErr w:type="spellEnd"/>
    <w:r w:rsidR="00F80688" w:rsidRPr="00F80688">
      <w:rPr>
        <w:rFonts w:ascii="Arial" w:hAnsi="Arial" w:cs="Arial"/>
        <w:i/>
        <w:color w:val="0F243E"/>
        <w:sz w:val="16"/>
        <w:szCs w:val="16"/>
      </w:rPr>
      <w:t xml:space="preserve"> </w:t>
    </w:r>
    <w:proofErr w:type="spellStart"/>
    <w:r w:rsidR="00F80688" w:rsidRPr="00F80688">
      <w:rPr>
        <w:rFonts w:ascii="Arial" w:hAnsi="Arial" w:cs="Arial"/>
        <w:i/>
        <w:color w:val="0F243E"/>
        <w:sz w:val="16"/>
        <w:szCs w:val="16"/>
      </w:rPr>
      <w:t>Capital</w:t>
    </w:r>
    <w:proofErr w:type="spellEnd"/>
    <w:r w:rsidR="00F80688" w:rsidRPr="00F80688">
      <w:rPr>
        <w:rFonts w:ascii="Arial" w:hAnsi="Arial" w:cs="Arial"/>
        <w:i/>
        <w:color w:val="0F243E"/>
        <w:sz w:val="16"/>
        <w:szCs w:val="16"/>
      </w:rPr>
      <w:t>;</w:t>
    </w:r>
    <w:r w:rsidR="00F80688" w:rsidRPr="00F80688">
      <w:rPr>
        <w:rFonts w:ascii="Arial" w:hAnsi="Arial" w:cs="Arial"/>
        <w:b/>
        <w:i/>
        <w:color w:val="0F243E"/>
        <w:sz w:val="16"/>
        <w:szCs w:val="16"/>
      </w:rPr>
      <w:t xml:space="preserve"> </w:t>
    </w:r>
    <w:r w:rsidR="0056346F" w:rsidRPr="0056346F">
      <w:rPr>
        <w:rFonts w:ascii="Arial" w:hAnsi="Arial" w:cs="Arial"/>
        <w:b/>
        <w:i/>
        <w:color w:val="0F243E"/>
        <w:sz w:val="16"/>
        <w:szCs w:val="16"/>
      </w:rPr>
      <w:t xml:space="preserve">Олег </w:t>
    </w:r>
    <w:proofErr w:type="spellStart"/>
    <w:r w:rsidR="0056346F" w:rsidRPr="0056346F">
      <w:rPr>
        <w:rFonts w:ascii="Arial" w:hAnsi="Arial" w:cs="Arial"/>
        <w:b/>
        <w:i/>
        <w:color w:val="0F243E"/>
        <w:sz w:val="16"/>
        <w:szCs w:val="16"/>
      </w:rPr>
      <w:t>Тимків</w:t>
    </w:r>
    <w:proofErr w:type="spellEnd"/>
    <w:r w:rsidR="0056346F" w:rsidRPr="0056346F">
      <w:rPr>
        <w:rFonts w:ascii="Arial" w:hAnsi="Arial" w:cs="Arial"/>
        <w:b/>
        <w:i/>
        <w:color w:val="0F243E"/>
        <w:sz w:val="16"/>
        <w:szCs w:val="16"/>
      </w:rPr>
      <w:t xml:space="preserve">, </w:t>
    </w:r>
    <w:proofErr w:type="spellStart"/>
    <w:r w:rsidR="0056346F" w:rsidRPr="0056346F">
      <w:rPr>
        <w:rFonts w:ascii="Arial" w:hAnsi="Arial" w:cs="Arial"/>
        <w:i/>
        <w:color w:val="0F243E"/>
        <w:sz w:val="16"/>
        <w:szCs w:val="16"/>
      </w:rPr>
      <w:t>PwC</w:t>
    </w:r>
    <w:proofErr w:type="spellEnd"/>
    <w:r w:rsidR="0056346F" w:rsidRPr="0056346F">
      <w:rPr>
        <w:rFonts w:ascii="Arial" w:hAnsi="Arial" w:cs="Arial"/>
        <w:i/>
        <w:color w:val="0F243E"/>
        <w:sz w:val="16"/>
        <w:szCs w:val="16"/>
      </w:rPr>
      <w:t>;</w:t>
    </w:r>
    <w:r w:rsidR="0056346F" w:rsidRPr="0056346F">
      <w:rPr>
        <w:rFonts w:ascii="Arial" w:hAnsi="Arial" w:cs="Arial"/>
        <w:b/>
        <w:i/>
        <w:color w:val="0F243E"/>
        <w:sz w:val="16"/>
        <w:szCs w:val="16"/>
      </w:rPr>
      <w:t xml:space="preserve"> </w:t>
    </w:r>
    <w:proofErr w:type="spellStart"/>
    <w:r w:rsidR="00F80688" w:rsidRPr="00F80688">
      <w:rPr>
        <w:rFonts w:ascii="Arial" w:hAnsi="Arial" w:cs="Arial"/>
        <w:b/>
        <w:i/>
        <w:color w:val="0F243E"/>
        <w:sz w:val="16"/>
        <w:szCs w:val="16"/>
      </w:rPr>
      <w:t>Гжегож</w:t>
    </w:r>
    <w:proofErr w:type="spellEnd"/>
    <w:r w:rsidR="00F80688" w:rsidRPr="00F80688">
      <w:rPr>
        <w:rFonts w:ascii="Arial" w:hAnsi="Arial" w:cs="Arial"/>
        <w:b/>
        <w:i/>
        <w:color w:val="0F243E"/>
        <w:sz w:val="16"/>
        <w:szCs w:val="16"/>
      </w:rPr>
      <w:t xml:space="preserve"> Хмелярський, </w:t>
    </w:r>
    <w:proofErr w:type="spellStart"/>
    <w:r w:rsidR="00F80688" w:rsidRPr="00F80688">
      <w:rPr>
        <w:rFonts w:ascii="Arial" w:hAnsi="Arial" w:cs="Arial"/>
        <w:i/>
        <w:color w:val="0F243E"/>
        <w:sz w:val="16"/>
        <w:szCs w:val="16"/>
      </w:rPr>
      <w:t>’МакДональдз</w:t>
    </w:r>
    <w:proofErr w:type="spellEnd"/>
    <w:r w:rsidR="00F80688" w:rsidRPr="00F80688">
      <w:rPr>
        <w:rFonts w:ascii="Arial" w:hAnsi="Arial" w:cs="Arial"/>
        <w:i/>
        <w:color w:val="0F243E"/>
        <w:sz w:val="16"/>
        <w:szCs w:val="16"/>
      </w:rPr>
      <w:t xml:space="preserve"> </w:t>
    </w:r>
    <w:proofErr w:type="spellStart"/>
    <w:r w:rsidR="00F80688" w:rsidRPr="00F80688">
      <w:rPr>
        <w:rFonts w:ascii="Arial" w:hAnsi="Arial" w:cs="Arial"/>
        <w:i/>
        <w:color w:val="0F243E"/>
        <w:sz w:val="16"/>
        <w:szCs w:val="16"/>
      </w:rPr>
      <w:t>Юкрейн</w:t>
    </w:r>
    <w:proofErr w:type="spellEnd"/>
    <w:r w:rsidR="00F80688" w:rsidRPr="00F80688">
      <w:rPr>
        <w:rFonts w:ascii="Arial" w:hAnsi="Arial" w:cs="Arial"/>
        <w:i/>
        <w:color w:val="0F243E"/>
        <w:sz w:val="16"/>
        <w:szCs w:val="16"/>
      </w:rPr>
      <w:t xml:space="preserve">”; </w:t>
    </w:r>
    <w:r w:rsidR="00F80688" w:rsidRPr="00F80688">
      <w:rPr>
        <w:rFonts w:ascii="Arial" w:hAnsi="Arial" w:cs="Arial"/>
        <w:b/>
        <w:i/>
        <w:color w:val="0F243E"/>
        <w:sz w:val="16"/>
        <w:szCs w:val="16"/>
      </w:rPr>
      <w:t xml:space="preserve">Петро Чернишов, </w:t>
    </w:r>
    <w:r w:rsidR="00F80688" w:rsidRPr="00F80688">
      <w:rPr>
        <w:rFonts w:ascii="Arial" w:hAnsi="Arial" w:cs="Arial"/>
        <w:i/>
        <w:color w:val="0F243E"/>
        <w:sz w:val="16"/>
        <w:szCs w:val="16"/>
      </w:rPr>
      <w:t>Київстар;</w:t>
    </w:r>
    <w:r w:rsidR="00F80688" w:rsidRPr="00F80688">
      <w:rPr>
        <w:rFonts w:ascii="Arial" w:hAnsi="Arial" w:cs="Arial"/>
        <w:b/>
        <w:i/>
        <w:color w:val="0F243E"/>
        <w:sz w:val="16"/>
        <w:szCs w:val="16"/>
      </w:rPr>
      <w:t xml:space="preserve"> Сергій Чорний, </w:t>
    </w:r>
    <w:r w:rsidR="00F80688" w:rsidRPr="00F80688">
      <w:rPr>
        <w:rFonts w:ascii="Arial" w:hAnsi="Arial" w:cs="Arial"/>
        <w:i/>
        <w:color w:val="0F243E"/>
        <w:sz w:val="16"/>
        <w:szCs w:val="16"/>
      </w:rPr>
      <w:t>“</w:t>
    </w:r>
    <w:proofErr w:type="spellStart"/>
    <w:r w:rsidR="00F80688" w:rsidRPr="00F80688">
      <w:rPr>
        <w:rFonts w:ascii="Arial" w:hAnsi="Arial" w:cs="Arial"/>
        <w:i/>
        <w:color w:val="0F243E"/>
        <w:sz w:val="16"/>
        <w:szCs w:val="16"/>
      </w:rPr>
      <w:t>Бейкер</w:t>
    </w:r>
    <w:proofErr w:type="spellEnd"/>
    <w:r w:rsidR="00F80688" w:rsidRPr="00F80688">
      <w:rPr>
        <w:rFonts w:ascii="Arial" w:hAnsi="Arial" w:cs="Arial"/>
        <w:i/>
        <w:color w:val="0F243E"/>
        <w:sz w:val="16"/>
        <w:szCs w:val="16"/>
      </w:rPr>
      <w:t xml:space="preserve"> і </w:t>
    </w:r>
    <w:proofErr w:type="spellStart"/>
    <w:r w:rsidR="00F80688" w:rsidRPr="00F80688">
      <w:rPr>
        <w:rFonts w:ascii="Arial" w:hAnsi="Arial" w:cs="Arial"/>
        <w:i/>
        <w:color w:val="0F243E"/>
        <w:sz w:val="16"/>
        <w:szCs w:val="16"/>
      </w:rPr>
      <w:t>Макензі</w:t>
    </w:r>
    <w:proofErr w:type="spellEnd"/>
    <w:r w:rsidR="00F80688" w:rsidRPr="00F80688">
      <w:rPr>
        <w:rFonts w:ascii="Arial" w:hAnsi="Arial" w:cs="Arial"/>
        <w:i/>
        <w:color w:val="0F243E"/>
        <w:sz w:val="16"/>
        <w:szCs w:val="16"/>
      </w:rPr>
      <w:t>”;</w:t>
    </w:r>
    <w:r w:rsidR="00F80688" w:rsidRPr="00F80688">
      <w:rPr>
        <w:rFonts w:ascii="Arial" w:hAnsi="Arial" w:cs="Arial"/>
        <w:b/>
        <w:i/>
        <w:color w:val="0F243E"/>
        <w:sz w:val="16"/>
        <w:szCs w:val="16"/>
      </w:rPr>
      <w:t xml:space="preserve"> Євген Шевченко, </w:t>
    </w:r>
    <w:proofErr w:type="spellStart"/>
    <w:r w:rsidR="00F80688" w:rsidRPr="00F80688">
      <w:rPr>
        <w:rFonts w:ascii="Arial" w:hAnsi="Arial" w:cs="Arial"/>
        <w:i/>
        <w:color w:val="0F243E"/>
        <w:sz w:val="16"/>
        <w:szCs w:val="16"/>
      </w:rPr>
      <w:t>Carlsberg</w:t>
    </w:r>
    <w:proofErr w:type="spellEnd"/>
    <w:r w:rsidR="00F80688" w:rsidRPr="00F80688">
      <w:rPr>
        <w:rFonts w:ascii="Arial" w:hAnsi="Arial" w:cs="Arial"/>
        <w:i/>
        <w:color w:val="0F243E"/>
        <w:sz w:val="16"/>
        <w:szCs w:val="16"/>
      </w:rPr>
      <w:t>;</w:t>
    </w:r>
    <w:r w:rsidR="00F80688" w:rsidRPr="00F80688">
      <w:rPr>
        <w:rFonts w:ascii="Arial" w:hAnsi="Arial" w:cs="Arial"/>
        <w:b/>
        <w:i/>
        <w:color w:val="0F243E"/>
        <w:sz w:val="16"/>
        <w:szCs w:val="16"/>
      </w:rPr>
      <w:t xml:space="preserve"> Мартін </w:t>
    </w:r>
    <w:proofErr w:type="spellStart"/>
    <w:r w:rsidR="00F80688" w:rsidRPr="00F80688">
      <w:rPr>
        <w:rFonts w:ascii="Arial" w:hAnsi="Arial" w:cs="Arial"/>
        <w:b/>
        <w:i/>
        <w:color w:val="0F243E"/>
        <w:sz w:val="16"/>
        <w:szCs w:val="16"/>
      </w:rPr>
      <w:t>Шульдт</w:t>
    </w:r>
    <w:proofErr w:type="spellEnd"/>
    <w:r w:rsidR="00F80688" w:rsidRPr="00F80688">
      <w:rPr>
        <w:rFonts w:ascii="Arial" w:hAnsi="Arial" w:cs="Arial"/>
        <w:b/>
        <w:i/>
        <w:color w:val="0F243E"/>
        <w:sz w:val="16"/>
        <w:szCs w:val="16"/>
      </w:rPr>
      <w:t>, "</w:t>
    </w:r>
    <w:proofErr w:type="spellStart"/>
    <w:r w:rsidR="00F80688" w:rsidRPr="00F80688">
      <w:rPr>
        <w:rFonts w:ascii="Arial" w:hAnsi="Arial" w:cs="Arial"/>
        <w:i/>
        <w:color w:val="0F243E"/>
        <w:sz w:val="16"/>
        <w:szCs w:val="16"/>
      </w:rPr>
      <w:t>Каргілл</w:t>
    </w:r>
    <w:proofErr w:type="spellEnd"/>
    <w:r w:rsidR="00F80688" w:rsidRPr="00F80688">
      <w:rPr>
        <w:rFonts w:ascii="Arial" w:hAnsi="Arial" w:cs="Arial"/>
        <w:i/>
        <w:color w:val="0F243E"/>
        <w:sz w:val="16"/>
        <w:szCs w:val="16"/>
      </w:rPr>
      <w:t>";</w:t>
    </w:r>
    <w:r w:rsidR="00F80688" w:rsidRPr="00F80688">
      <w:rPr>
        <w:rFonts w:ascii="Arial" w:hAnsi="Arial" w:cs="Arial"/>
        <w:b/>
        <w:i/>
        <w:color w:val="0F243E"/>
        <w:sz w:val="16"/>
        <w:szCs w:val="16"/>
      </w:rPr>
      <w:t xml:space="preserve"> Мартін </w:t>
    </w:r>
    <w:proofErr w:type="spellStart"/>
    <w:r w:rsidR="00F80688" w:rsidRPr="00F80688">
      <w:rPr>
        <w:rFonts w:ascii="Arial" w:hAnsi="Arial" w:cs="Arial"/>
        <w:b/>
        <w:i/>
        <w:color w:val="0F243E"/>
        <w:sz w:val="16"/>
        <w:szCs w:val="16"/>
      </w:rPr>
      <w:t>Шумахер</w:t>
    </w:r>
    <w:proofErr w:type="spellEnd"/>
    <w:r w:rsidR="00F80688" w:rsidRPr="00F80688">
      <w:rPr>
        <w:rFonts w:ascii="Arial" w:hAnsi="Arial" w:cs="Arial"/>
        <w:b/>
        <w:i/>
        <w:color w:val="0F243E"/>
        <w:sz w:val="16"/>
        <w:szCs w:val="16"/>
      </w:rPr>
      <w:t xml:space="preserve">, </w:t>
    </w:r>
    <w:r w:rsidR="00F80688" w:rsidRPr="00F80688">
      <w:rPr>
        <w:rFonts w:ascii="Arial" w:hAnsi="Arial" w:cs="Arial"/>
        <w:i/>
        <w:color w:val="0F243E"/>
        <w:sz w:val="16"/>
        <w:szCs w:val="16"/>
      </w:rPr>
      <w:t xml:space="preserve">"МЕТРО Кеш </w:t>
    </w:r>
    <w:proofErr w:type="spellStart"/>
    <w:r w:rsidR="00F80688" w:rsidRPr="00F80688">
      <w:rPr>
        <w:rFonts w:ascii="Arial" w:hAnsi="Arial" w:cs="Arial"/>
        <w:i/>
        <w:color w:val="0F243E"/>
        <w:sz w:val="16"/>
        <w:szCs w:val="16"/>
      </w:rPr>
      <w:t>енд</w:t>
    </w:r>
    <w:proofErr w:type="spellEnd"/>
    <w:r w:rsidR="00F80688" w:rsidRPr="00F80688">
      <w:rPr>
        <w:rFonts w:ascii="Arial" w:hAnsi="Arial" w:cs="Arial"/>
        <w:i/>
        <w:color w:val="0F243E"/>
        <w:sz w:val="16"/>
        <w:szCs w:val="16"/>
      </w:rPr>
      <w:t xml:space="preserve"> </w:t>
    </w:r>
    <w:proofErr w:type="spellStart"/>
    <w:r w:rsidR="00F80688" w:rsidRPr="00F80688">
      <w:rPr>
        <w:rFonts w:ascii="Arial" w:hAnsi="Arial" w:cs="Arial"/>
        <w:i/>
        <w:color w:val="0F243E"/>
        <w:sz w:val="16"/>
        <w:szCs w:val="16"/>
      </w:rPr>
      <w:t>Кері</w:t>
    </w:r>
    <w:proofErr w:type="spellEnd"/>
    <w:r w:rsidR="00F80688" w:rsidRPr="00F80688">
      <w:rPr>
        <w:rFonts w:ascii="Arial" w:hAnsi="Arial" w:cs="Arial"/>
        <w:i/>
        <w:color w:val="0F243E"/>
        <w:sz w:val="16"/>
        <w:szCs w:val="16"/>
      </w:rPr>
      <w:t xml:space="preserve"> Україна".</w:t>
    </w:r>
  </w:p>
  <w:p w:rsidR="004C3FCF" w:rsidRPr="00C35D47" w:rsidRDefault="00CB32DD" w:rsidP="004C3FCF">
    <w:pPr>
      <w:ind w:left="1560" w:hanging="1560"/>
      <w:jc w:val="both"/>
      <w:rPr>
        <w:rFonts w:ascii="Arial" w:hAnsi="Arial" w:cs="Arial"/>
        <w:b/>
        <w:i/>
        <w:color w:val="0F243E"/>
        <w:sz w:val="16"/>
        <w:szCs w:val="16"/>
      </w:rPr>
    </w:pPr>
    <w:r>
      <w:rPr>
        <w:rFonts w:ascii="Arial" w:hAnsi="Arial" w:cs="Arial"/>
        <w:b/>
        <w:i/>
        <w:color w:val="0F243E"/>
        <w:sz w:val="16"/>
        <w:szCs w:val="16"/>
        <w:lang w:val="ru-RU"/>
      </w:rPr>
      <w:t>П</w:t>
    </w:r>
    <w:r>
      <w:rPr>
        <w:rFonts w:ascii="Arial" w:hAnsi="Arial" w:cs="Arial"/>
        <w:b/>
        <w:i/>
        <w:color w:val="0F243E"/>
        <w:sz w:val="16"/>
        <w:szCs w:val="16"/>
      </w:rPr>
      <w:t>резидент</w:t>
    </w:r>
    <w:r w:rsidR="004C3FCF">
      <w:rPr>
        <w:rFonts w:ascii="Arial" w:hAnsi="Arial" w:cs="Arial"/>
        <w:b/>
        <w:i/>
        <w:color w:val="0F243E"/>
        <w:sz w:val="16"/>
        <w:szCs w:val="16"/>
      </w:rPr>
      <w:t xml:space="preserve">: </w:t>
    </w:r>
    <w:r>
      <w:rPr>
        <w:rFonts w:ascii="Arial" w:hAnsi="Arial" w:cs="Arial"/>
        <w:b/>
        <w:i/>
        <w:color w:val="0F243E"/>
        <w:sz w:val="16"/>
        <w:szCs w:val="16"/>
        <w:lang w:val="ru-RU"/>
      </w:rPr>
      <w:t xml:space="preserve">          </w:t>
    </w:r>
    <w:r w:rsidR="004C3FCF">
      <w:rPr>
        <w:rFonts w:ascii="Arial" w:hAnsi="Arial" w:cs="Arial"/>
        <w:b/>
        <w:i/>
        <w:color w:val="0F243E"/>
        <w:sz w:val="16"/>
        <w:szCs w:val="16"/>
      </w:rPr>
      <w:t xml:space="preserve"> </w:t>
    </w:r>
    <w:r>
      <w:rPr>
        <w:rFonts w:ascii="Arial" w:hAnsi="Arial" w:cs="Arial"/>
        <w:b/>
        <w:i/>
        <w:color w:val="0F243E"/>
        <w:sz w:val="16"/>
        <w:szCs w:val="16"/>
      </w:rPr>
      <w:t xml:space="preserve">Андрій </w:t>
    </w:r>
    <w:proofErr w:type="spellStart"/>
    <w:r>
      <w:rPr>
        <w:rFonts w:ascii="Arial" w:hAnsi="Arial" w:cs="Arial"/>
        <w:b/>
        <w:i/>
        <w:color w:val="0F243E"/>
        <w:sz w:val="16"/>
        <w:szCs w:val="16"/>
      </w:rPr>
      <w:t>Гундер</w:t>
    </w:r>
    <w:proofErr w:type="spellEnd"/>
  </w:p>
  <w:p w:rsidR="00B57472" w:rsidRPr="00EA068F" w:rsidRDefault="00B57472"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D" w:rsidRDefault="00920E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3B" w:rsidRDefault="00CA713B" w:rsidP="00742BAD">
      <w:r>
        <w:separator/>
      </w:r>
    </w:p>
  </w:footnote>
  <w:footnote w:type="continuationSeparator" w:id="0">
    <w:p w:rsidR="00CA713B" w:rsidRDefault="00CA713B" w:rsidP="00742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D" w:rsidRDefault="00CA713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50" o:spid="_x0000_s2050" type="#_x0000_t136" style="position:absolute;margin-left:0;margin-top:0;width:492.5pt;height:19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10" w:rsidRDefault="00CA713B" w:rsidP="000F30BD">
    <w:pPr>
      <w:pStyle w:val="a3"/>
      <w:ind w:left="-567"/>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51" o:spid="_x0000_s2051" type="#_x0000_t136" style="position:absolute;left:0;text-align:left;margin-left:0;margin-top:0;width:492.5pt;height:19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F30BD">
      <w:rPr>
        <w:noProof/>
      </w:rPr>
      <w:drawing>
        <wp:inline distT="0" distB="0" distL="0" distR="0">
          <wp:extent cx="6829425" cy="704850"/>
          <wp:effectExtent l="0" t="0" r="9525" b="0"/>
          <wp:docPr id="1" name="Рисунок 1" descr="Без-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назви-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704850"/>
                  </a:xfrm>
                  <a:prstGeom prst="rect">
                    <a:avLst/>
                  </a:prstGeom>
                  <a:noFill/>
                  <a:ln>
                    <a:noFill/>
                  </a:ln>
                </pic:spPr>
              </pic:pic>
            </a:graphicData>
          </a:graphic>
        </wp:inline>
      </w:drawing>
    </w:r>
  </w:p>
  <w:p w:rsidR="00712510" w:rsidRPr="00712510" w:rsidRDefault="00712510" w:rsidP="00712510">
    <w:pPr>
      <w:pStyle w:val="a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D" w:rsidRDefault="00CA713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49" o:spid="_x0000_s2049" type="#_x0000_t136" style="position:absolute;margin-left:0;margin-top:0;width:492.5pt;height:19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43320BD"/>
    <w:multiLevelType w:val="hybridMultilevel"/>
    <w:tmpl w:val="442E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20617E"/>
    <w:multiLevelType w:val="hybridMultilevel"/>
    <w:tmpl w:val="DAD2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A734A19"/>
    <w:multiLevelType w:val="hybridMultilevel"/>
    <w:tmpl w:val="E814E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B9D5256"/>
    <w:multiLevelType w:val="hybridMultilevel"/>
    <w:tmpl w:val="053C3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A4A4198"/>
    <w:multiLevelType w:val="hybridMultilevel"/>
    <w:tmpl w:val="90CC55E6"/>
    <w:lvl w:ilvl="0" w:tplc="F580C51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1"/>
  </w:num>
  <w:num w:numId="2">
    <w:abstractNumId w:val="0"/>
  </w:num>
  <w:num w:numId="3">
    <w:abstractNumId w:val="8"/>
  </w:num>
  <w:num w:numId="4">
    <w:abstractNumId w:val="3"/>
  </w:num>
  <w:num w:numId="5">
    <w:abstractNumId w:val="9"/>
  </w:num>
  <w:num w:numId="6">
    <w:abstractNumId w:val="5"/>
  </w:num>
  <w:num w:numId="7">
    <w:abstractNumId w:val="2"/>
  </w:num>
  <w:num w:numId="8">
    <w:abstractNumId w:val="7"/>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2094A"/>
    <w:rsid w:val="000209B7"/>
    <w:rsid w:val="0004037E"/>
    <w:rsid w:val="000426AB"/>
    <w:rsid w:val="000429DF"/>
    <w:rsid w:val="000563D0"/>
    <w:rsid w:val="00065140"/>
    <w:rsid w:val="000712AD"/>
    <w:rsid w:val="000713D1"/>
    <w:rsid w:val="00072CB3"/>
    <w:rsid w:val="00090086"/>
    <w:rsid w:val="000A5203"/>
    <w:rsid w:val="000B0DBE"/>
    <w:rsid w:val="000D18EA"/>
    <w:rsid w:val="000E3826"/>
    <w:rsid w:val="000E63EE"/>
    <w:rsid w:val="000F30BD"/>
    <w:rsid w:val="001121F8"/>
    <w:rsid w:val="001144A8"/>
    <w:rsid w:val="001368E3"/>
    <w:rsid w:val="0014059B"/>
    <w:rsid w:val="00165464"/>
    <w:rsid w:val="00173309"/>
    <w:rsid w:val="00182929"/>
    <w:rsid w:val="001A49ED"/>
    <w:rsid w:val="001B1E0E"/>
    <w:rsid w:val="001C5DFB"/>
    <w:rsid w:val="001F2EDF"/>
    <w:rsid w:val="00201D61"/>
    <w:rsid w:val="00204B14"/>
    <w:rsid w:val="00230124"/>
    <w:rsid w:val="002424FC"/>
    <w:rsid w:val="002722B6"/>
    <w:rsid w:val="002819F1"/>
    <w:rsid w:val="00286295"/>
    <w:rsid w:val="00293BCD"/>
    <w:rsid w:val="002A1E61"/>
    <w:rsid w:val="002B416F"/>
    <w:rsid w:val="002B41E3"/>
    <w:rsid w:val="002B60F0"/>
    <w:rsid w:val="002D1292"/>
    <w:rsid w:val="002E1592"/>
    <w:rsid w:val="002F10D6"/>
    <w:rsid w:val="00310407"/>
    <w:rsid w:val="00311B6E"/>
    <w:rsid w:val="0031780C"/>
    <w:rsid w:val="00326293"/>
    <w:rsid w:val="003323AC"/>
    <w:rsid w:val="003335FB"/>
    <w:rsid w:val="00336BB2"/>
    <w:rsid w:val="0036110F"/>
    <w:rsid w:val="00377540"/>
    <w:rsid w:val="00385169"/>
    <w:rsid w:val="00386D3A"/>
    <w:rsid w:val="003979A2"/>
    <w:rsid w:val="003A1F50"/>
    <w:rsid w:val="003C1500"/>
    <w:rsid w:val="003E256D"/>
    <w:rsid w:val="003E4E18"/>
    <w:rsid w:val="003F0939"/>
    <w:rsid w:val="003F7D10"/>
    <w:rsid w:val="00410837"/>
    <w:rsid w:val="00420ED4"/>
    <w:rsid w:val="0045328F"/>
    <w:rsid w:val="00465F45"/>
    <w:rsid w:val="00472201"/>
    <w:rsid w:val="00487357"/>
    <w:rsid w:val="004A043D"/>
    <w:rsid w:val="004B4D55"/>
    <w:rsid w:val="004B64F6"/>
    <w:rsid w:val="004C3FCF"/>
    <w:rsid w:val="00531003"/>
    <w:rsid w:val="00545DBA"/>
    <w:rsid w:val="00547C35"/>
    <w:rsid w:val="00555217"/>
    <w:rsid w:val="0056346F"/>
    <w:rsid w:val="00567698"/>
    <w:rsid w:val="00570FD0"/>
    <w:rsid w:val="00581BFA"/>
    <w:rsid w:val="00590E60"/>
    <w:rsid w:val="005A27B1"/>
    <w:rsid w:val="005C0201"/>
    <w:rsid w:val="005D0C5B"/>
    <w:rsid w:val="005D7303"/>
    <w:rsid w:val="005F1110"/>
    <w:rsid w:val="00612DEE"/>
    <w:rsid w:val="00642A4C"/>
    <w:rsid w:val="0064737E"/>
    <w:rsid w:val="00682652"/>
    <w:rsid w:val="00682C77"/>
    <w:rsid w:val="0068417E"/>
    <w:rsid w:val="006A0F1F"/>
    <w:rsid w:val="006A48BA"/>
    <w:rsid w:val="006A63D0"/>
    <w:rsid w:val="006D63E3"/>
    <w:rsid w:val="00712510"/>
    <w:rsid w:val="00742BAD"/>
    <w:rsid w:val="0076187F"/>
    <w:rsid w:val="00765CFE"/>
    <w:rsid w:val="007939AA"/>
    <w:rsid w:val="007A2437"/>
    <w:rsid w:val="007C2209"/>
    <w:rsid w:val="007C4A88"/>
    <w:rsid w:val="007C508D"/>
    <w:rsid w:val="007E6323"/>
    <w:rsid w:val="007F3122"/>
    <w:rsid w:val="007F381B"/>
    <w:rsid w:val="00803852"/>
    <w:rsid w:val="008135B8"/>
    <w:rsid w:val="00822E86"/>
    <w:rsid w:val="008253F3"/>
    <w:rsid w:val="00826CC3"/>
    <w:rsid w:val="00837CAC"/>
    <w:rsid w:val="008406CF"/>
    <w:rsid w:val="008509D2"/>
    <w:rsid w:val="00851029"/>
    <w:rsid w:val="0085755E"/>
    <w:rsid w:val="00876D67"/>
    <w:rsid w:val="008A6C42"/>
    <w:rsid w:val="008C32A0"/>
    <w:rsid w:val="008C457F"/>
    <w:rsid w:val="008D7BE7"/>
    <w:rsid w:val="008E18A2"/>
    <w:rsid w:val="00912808"/>
    <w:rsid w:val="00920E9D"/>
    <w:rsid w:val="00980DE8"/>
    <w:rsid w:val="009A0B4F"/>
    <w:rsid w:val="009D064C"/>
    <w:rsid w:val="009D1CA0"/>
    <w:rsid w:val="009D325B"/>
    <w:rsid w:val="00A01FE2"/>
    <w:rsid w:val="00A11672"/>
    <w:rsid w:val="00A14BCE"/>
    <w:rsid w:val="00A30D0B"/>
    <w:rsid w:val="00A43A89"/>
    <w:rsid w:val="00A4627F"/>
    <w:rsid w:val="00A6453B"/>
    <w:rsid w:val="00A70CC1"/>
    <w:rsid w:val="00A752C8"/>
    <w:rsid w:val="00A93288"/>
    <w:rsid w:val="00AA5274"/>
    <w:rsid w:val="00AA754D"/>
    <w:rsid w:val="00AB64F3"/>
    <w:rsid w:val="00AC1320"/>
    <w:rsid w:val="00AD0C4E"/>
    <w:rsid w:val="00AD4AC3"/>
    <w:rsid w:val="00AF3B32"/>
    <w:rsid w:val="00B32412"/>
    <w:rsid w:val="00B33EF2"/>
    <w:rsid w:val="00B35E9D"/>
    <w:rsid w:val="00B37528"/>
    <w:rsid w:val="00B5115E"/>
    <w:rsid w:val="00B52F2E"/>
    <w:rsid w:val="00B57472"/>
    <w:rsid w:val="00B61287"/>
    <w:rsid w:val="00B65B5F"/>
    <w:rsid w:val="00B71FE4"/>
    <w:rsid w:val="00B73268"/>
    <w:rsid w:val="00B8254B"/>
    <w:rsid w:val="00BA16F8"/>
    <w:rsid w:val="00BA7398"/>
    <w:rsid w:val="00BB48EA"/>
    <w:rsid w:val="00BD2FF7"/>
    <w:rsid w:val="00BE65BC"/>
    <w:rsid w:val="00BF4A2A"/>
    <w:rsid w:val="00C1019E"/>
    <w:rsid w:val="00C129D5"/>
    <w:rsid w:val="00C13862"/>
    <w:rsid w:val="00C13893"/>
    <w:rsid w:val="00C34541"/>
    <w:rsid w:val="00C35D47"/>
    <w:rsid w:val="00C40FA3"/>
    <w:rsid w:val="00C534D2"/>
    <w:rsid w:val="00C879B8"/>
    <w:rsid w:val="00C976E7"/>
    <w:rsid w:val="00CA713B"/>
    <w:rsid w:val="00CB32DD"/>
    <w:rsid w:val="00CB68E2"/>
    <w:rsid w:val="00CC666B"/>
    <w:rsid w:val="00CD7CB4"/>
    <w:rsid w:val="00D001ED"/>
    <w:rsid w:val="00D040F5"/>
    <w:rsid w:val="00D049FA"/>
    <w:rsid w:val="00D22916"/>
    <w:rsid w:val="00D304C3"/>
    <w:rsid w:val="00D33472"/>
    <w:rsid w:val="00D67749"/>
    <w:rsid w:val="00D801F9"/>
    <w:rsid w:val="00D865DE"/>
    <w:rsid w:val="00D942BF"/>
    <w:rsid w:val="00E10551"/>
    <w:rsid w:val="00E114C1"/>
    <w:rsid w:val="00E1793E"/>
    <w:rsid w:val="00E25243"/>
    <w:rsid w:val="00E441CD"/>
    <w:rsid w:val="00E54F78"/>
    <w:rsid w:val="00E616CC"/>
    <w:rsid w:val="00E83BB7"/>
    <w:rsid w:val="00E9331F"/>
    <w:rsid w:val="00E96BEC"/>
    <w:rsid w:val="00EA068F"/>
    <w:rsid w:val="00EA2D5C"/>
    <w:rsid w:val="00EC0D5E"/>
    <w:rsid w:val="00EC2270"/>
    <w:rsid w:val="00ED2E7E"/>
    <w:rsid w:val="00ED4439"/>
    <w:rsid w:val="00EE0ADE"/>
    <w:rsid w:val="00F0296B"/>
    <w:rsid w:val="00F02E8D"/>
    <w:rsid w:val="00F12354"/>
    <w:rsid w:val="00F35C5A"/>
    <w:rsid w:val="00F36AD4"/>
    <w:rsid w:val="00F3741E"/>
    <w:rsid w:val="00F6789E"/>
    <w:rsid w:val="00F73E5F"/>
    <w:rsid w:val="00F765C3"/>
    <w:rsid w:val="00F80688"/>
    <w:rsid w:val="00F8309D"/>
    <w:rsid w:val="00F848E5"/>
    <w:rsid w:val="00F84F00"/>
    <w:rsid w:val="00F84F30"/>
    <w:rsid w:val="00F855F2"/>
    <w:rsid w:val="00F9346C"/>
    <w:rsid w:val="00FA613B"/>
    <w:rsid w:val="00FA6945"/>
    <w:rsid w:val="00FA6E91"/>
    <w:rsid w:val="00FC2E1C"/>
    <w:rsid w:val="00FD004B"/>
    <w:rsid w:val="00FD6E6F"/>
    <w:rsid w:val="00FE21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paragraph" w:styleId="ac">
    <w:name w:val="Normal (Web)"/>
    <w:basedOn w:val="a"/>
    <w:uiPriority w:val="99"/>
    <w:unhideWhenUsed/>
    <w:rsid w:val="000F30BD"/>
    <w:pPr>
      <w:spacing w:before="100" w:beforeAutospacing="1" w:after="100" w:afterAutospacing="1"/>
    </w:pPr>
  </w:style>
  <w:style w:type="paragraph" w:styleId="ad">
    <w:name w:val="List Paragraph"/>
    <w:basedOn w:val="a"/>
    <w:uiPriority w:val="34"/>
    <w:qFormat/>
    <w:rsid w:val="000F30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paragraph" w:styleId="ac">
    <w:name w:val="Normal (Web)"/>
    <w:basedOn w:val="a"/>
    <w:uiPriority w:val="99"/>
    <w:unhideWhenUsed/>
    <w:rsid w:val="000F30BD"/>
    <w:pPr>
      <w:spacing w:before="100" w:beforeAutospacing="1" w:after="100" w:afterAutospacing="1"/>
    </w:pPr>
  </w:style>
  <w:style w:type="paragraph" w:styleId="ad">
    <w:name w:val="List Paragraph"/>
    <w:basedOn w:val="a"/>
    <w:uiPriority w:val="34"/>
    <w:qFormat/>
    <w:rsid w:val="000F3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2" ma:contentTypeDescription="Create a new document." ma:contentTypeScope="" ma:versionID="ed75cbe085cebeb3605ca86b17cd5be4">
  <xsd:schema xmlns:xsd="http://www.w3.org/2001/XMLSchema" xmlns:xs="http://www.w3.org/2001/XMLSchema" xmlns:p="http://schemas.microsoft.com/office/2006/metadata/properties" xmlns:ns2="533765e8-fc3d-49d5-8fa6-1eaf5adb3810" targetNamespace="http://schemas.microsoft.com/office/2006/metadata/properties" ma:root="true" ma:fieldsID="d01182984250551bdd643db69317dd08" ns2:_="">
    <xsd:import namespace="533765e8-fc3d-49d5-8fa6-1eaf5adb381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6C68-CB8E-4CE2-9FE1-BBB85EF5B356}">
  <ds:schemaRefs>
    <ds:schemaRef ds:uri="http://schemas.microsoft.com/sharepoint/v3/contenttype/forms"/>
  </ds:schemaRefs>
</ds:datastoreItem>
</file>

<file path=customXml/itemProps2.xml><?xml version="1.0" encoding="utf-8"?>
<ds:datastoreItem xmlns:ds="http://schemas.openxmlformats.org/officeDocument/2006/customXml" ds:itemID="{4C14A407-2C26-46BC-86E0-8B48FA3499AE}">
  <ds:schemaRefs>
    <ds:schemaRef ds:uri="http://schemas.microsoft.com/office/2006/metadata/longProperties"/>
  </ds:schemaRefs>
</ds:datastoreItem>
</file>

<file path=customXml/itemProps3.xml><?xml version="1.0" encoding="utf-8"?>
<ds:datastoreItem xmlns:ds="http://schemas.openxmlformats.org/officeDocument/2006/customXml" ds:itemID="{85CA1A4E-57AD-4204-8ADA-4F707873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5EE69-0D57-459F-BE03-1CF3FDA8553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12A512C-3E39-4AD2-92F3-A6298388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3936</Words>
  <Characters>2245</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Novik</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Oleksandr Prokhorovych</cp:lastModifiedBy>
  <cp:revision>9</cp:revision>
  <cp:lastPrinted>2014-11-11T14:45:00Z</cp:lastPrinted>
  <dcterms:created xsi:type="dcterms:W3CDTF">2016-01-29T08:04:00Z</dcterms:created>
  <dcterms:modified xsi:type="dcterms:W3CDTF">2016-04-19T13:39:00Z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ies>
</file>