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B3" w:rsidRPr="00824FB3" w:rsidRDefault="00824FB3" w:rsidP="00824FB3">
      <w:pPr>
        <w:spacing w:after="0" w:line="240" w:lineRule="auto"/>
        <w:jc w:val="center"/>
        <w:rPr>
          <w:rFonts w:ascii="Arial" w:hAnsi="Arial" w:cs="Arial"/>
          <w:b/>
          <w:sz w:val="24"/>
          <w:szCs w:val="24"/>
          <w:lang w:val="ru-RU"/>
        </w:rPr>
      </w:pPr>
      <w:bookmarkStart w:id="0" w:name="_GoBack"/>
      <w:bookmarkEnd w:id="0"/>
      <w:r w:rsidRPr="00824FB3">
        <w:rPr>
          <w:rFonts w:ascii="Arial" w:hAnsi="Arial" w:cs="Arial"/>
          <w:b/>
          <w:sz w:val="24"/>
          <w:szCs w:val="24"/>
          <w:lang w:val="ru-RU"/>
        </w:rPr>
        <w:t xml:space="preserve">КОМЕНТАРІ ТА ПРОПОЗИЦІЇ </w:t>
      </w:r>
    </w:p>
    <w:p w:rsidR="00824FB3" w:rsidRPr="00824FB3" w:rsidRDefault="00824FB3" w:rsidP="00824FB3">
      <w:pPr>
        <w:spacing w:after="0" w:line="240" w:lineRule="auto"/>
        <w:jc w:val="center"/>
        <w:rPr>
          <w:rFonts w:ascii="Arial" w:hAnsi="Arial" w:cs="Arial"/>
          <w:b/>
          <w:sz w:val="24"/>
          <w:szCs w:val="24"/>
          <w:lang w:val="ru-RU"/>
        </w:rPr>
      </w:pPr>
      <w:r w:rsidRPr="00824FB3">
        <w:rPr>
          <w:rFonts w:ascii="Arial" w:hAnsi="Arial" w:cs="Arial"/>
          <w:b/>
          <w:sz w:val="24"/>
          <w:szCs w:val="24"/>
          <w:lang w:val="ru-RU"/>
        </w:rPr>
        <w:t>ЩОДО ЗАПРОПОНОВАНОГО ПРОЕКТУ</w:t>
      </w:r>
    </w:p>
    <w:p w:rsidR="00824FB3" w:rsidRPr="00824FB3" w:rsidRDefault="00824FB3" w:rsidP="00824FB3">
      <w:pPr>
        <w:spacing w:after="0" w:line="240" w:lineRule="auto"/>
        <w:jc w:val="center"/>
        <w:rPr>
          <w:rFonts w:ascii="Arial" w:hAnsi="Arial" w:cs="Arial"/>
          <w:b/>
          <w:sz w:val="24"/>
          <w:szCs w:val="24"/>
          <w:lang w:val="ru-RU"/>
        </w:rPr>
      </w:pPr>
      <w:r w:rsidRPr="00824FB3">
        <w:rPr>
          <w:rFonts w:ascii="Arial" w:hAnsi="Arial" w:cs="Arial"/>
          <w:b/>
          <w:sz w:val="24"/>
          <w:szCs w:val="24"/>
          <w:lang w:val="ru-RU"/>
        </w:rPr>
        <w:t xml:space="preserve"> ГОСПОДАРСЬКОГО ПРОЦЕСУАЛЬНОГО КОДЕКСУ УКРАЇНИ</w:t>
      </w:r>
    </w:p>
    <w:p w:rsidR="00824FB3" w:rsidRPr="00824FB3" w:rsidRDefault="00824FB3" w:rsidP="00824FB3">
      <w:pPr>
        <w:spacing w:after="0" w:line="240" w:lineRule="auto"/>
        <w:jc w:val="center"/>
        <w:rPr>
          <w:rFonts w:ascii="Arial" w:hAnsi="Arial" w:cs="Arial"/>
          <w:b/>
          <w:sz w:val="24"/>
          <w:szCs w:val="24"/>
          <w:lang w:val="ru-RU"/>
        </w:rPr>
      </w:pPr>
    </w:p>
    <w:tbl>
      <w:tblPr>
        <w:tblStyle w:val="TableGrid"/>
        <w:tblW w:w="0" w:type="auto"/>
        <w:tblLook w:val="04A0" w:firstRow="1" w:lastRow="0" w:firstColumn="1" w:lastColumn="0" w:noHBand="0" w:noVBand="1"/>
      </w:tblPr>
      <w:tblGrid>
        <w:gridCol w:w="1276"/>
        <w:gridCol w:w="4977"/>
        <w:gridCol w:w="4749"/>
        <w:gridCol w:w="4124"/>
      </w:tblGrid>
      <w:tr w:rsidR="00824FB3" w:rsidRPr="00824FB3" w:rsidTr="004C41EA">
        <w:tc>
          <w:tcPr>
            <w:tcW w:w="1276" w:type="dxa"/>
            <w:shd w:val="clear" w:color="auto" w:fill="9CC2E5" w:themeFill="accent1" w:themeFillTint="99"/>
          </w:tcPr>
          <w:p w:rsidR="00824FB3" w:rsidRPr="00824FB3" w:rsidRDefault="00824FB3" w:rsidP="004C41EA">
            <w:pPr>
              <w:jc w:val="center"/>
              <w:rPr>
                <w:rFonts w:ascii="Arial" w:hAnsi="Arial" w:cs="Arial"/>
                <w:b/>
                <w:sz w:val="24"/>
                <w:szCs w:val="24"/>
              </w:rPr>
            </w:pPr>
            <w:r w:rsidRPr="00824FB3">
              <w:rPr>
                <w:rFonts w:ascii="Arial" w:hAnsi="Arial" w:cs="Arial"/>
                <w:b/>
                <w:sz w:val="24"/>
                <w:szCs w:val="24"/>
              </w:rPr>
              <w:t>НОРМА</w:t>
            </w:r>
          </w:p>
        </w:tc>
        <w:tc>
          <w:tcPr>
            <w:tcW w:w="4977" w:type="dxa"/>
            <w:shd w:val="clear" w:color="auto" w:fill="9CC2E5" w:themeFill="accent1" w:themeFillTint="99"/>
          </w:tcPr>
          <w:p w:rsidR="00824FB3" w:rsidRPr="00824FB3" w:rsidRDefault="00824FB3" w:rsidP="004C41EA">
            <w:pPr>
              <w:jc w:val="center"/>
              <w:rPr>
                <w:rFonts w:ascii="Arial" w:hAnsi="Arial" w:cs="Arial"/>
                <w:b/>
                <w:sz w:val="24"/>
                <w:szCs w:val="24"/>
              </w:rPr>
            </w:pPr>
            <w:r w:rsidRPr="00824FB3">
              <w:rPr>
                <w:rFonts w:ascii="Arial" w:hAnsi="Arial" w:cs="Arial"/>
                <w:b/>
                <w:sz w:val="24"/>
                <w:szCs w:val="24"/>
                <w:lang w:val="ru-RU"/>
              </w:rPr>
              <w:t>ЗАПРОПОНОВАНА РЕДАКЦІЯ</w:t>
            </w:r>
          </w:p>
        </w:tc>
        <w:tc>
          <w:tcPr>
            <w:tcW w:w="4749" w:type="dxa"/>
            <w:shd w:val="clear" w:color="auto" w:fill="9CC2E5" w:themeFill="accent1" w:themeFillTint="99"/>
          </w:tcPr>
          <w:p w:rsidR="00824FB3" w:rsidRPr="00824FB3" w:rsidRDefault="00824FB3" w:rsidP="004C41EA">
            <w:pPr>
              <w:jc w:val="center"/>
              <w:rPr>
                <w:rFonts w:ascii="Arial" w:hAnsi="Arial" w:cs="Arial"/>
                <w:b/>
                <w:sz w:val="24"/>
                <w:szCs w:val="24"/>
              </w:rPr>
            </w:pPr>
            <w:r w:rsidRPr="00824FB3">
              <w:rPr>
                <w:rFonts w:ascii="Arial" w:hAnsi="Arial" w:cs="Arial"/>
                <w:b/>
                <w:sz w:val="24"/>
                <w:szCs w:val="24"/>
              </w:rPr>
              <w:t>КОМЕНТАРІ</w:t>
            </w:r>
          </w:p>
        </w:tc>
        <w:tc>
          <w:tcPr>
            <w:tcW w:w="4124" w:type="dxa"/>
            <w:shd w:val="clear" w:color="auto" w:fill="9CC2E5" w:themeFill="accent1" w:themeFillTint="99"/>
          </w:tcPr>
          <w:p w:rsidR="00824FB3" w:rsidRPr="00824FB3" w:rsidRDefault="00824FB3" w:rsidP="004C41EA">
            <w:pPr>
              <w:jc w:val="center"/>
              <w:rPr>
                <w:rFonts w:ascii="Arial" w:hAnsi="Arial" w:cs="Arial"/>
                <w:b/>
                <w:sz w:val="24"/>
                <w:szCs w:val="24"/>
              </w:rPr>
            </w:pPr>
            <w:r w:rsidRPr="00824FB3">
              <w:rPr>
                <w:rFonts w:ascii="Arial" w:hAnsi="Arial" w:cs="Arial"/>
                <w:b/>
                <w:sz w:val="24"/>
                <w:szCs w:val="24"/>
              </w:rPr>
              <w:t>ПРОПОЗИЦІЯ</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t xml:space="preserve">Абзац 2 </w:t>
            </w:r>
          </w:p>
          <w:p w:rsidR="00824FB3" w:rsidRPr="00E45347" w:rsidRDefault="00824FB3" w:rsidP="004C41EA">
            <w:pPr>
              <w:rPr>
                <w:rFonts w:ascii="Arial" w:hAnsi="Arial" w:cs="Arial"/>
                <w:sz w:val="20"/>
                <w:szCs w:val="20"/>
              </w:rPr>
            </w:pPr>
            <w:r w:rsidRPr="00E45347">
              <w:rPr>
                <w:rFonts w:ascii="Arial" w:hAnsi="Arial" w:cs="Arial"/>
                <w:sz w:val="20"/>
                <w:szCs w:val="20"/>
              </w:rPr>
              <w:t xml:space="preserve">п. 12 </w:t>
            </w:r>
          </w:p>
          <w:p w:rsidR="00824FB3" w:rsidRPr="00E45347" w:rsidRDefault="00824FB3" w:rsidP="004C41EA">
            <w:pPr>
              <w:rPr>
                <w:rFonts w:ascii="Arial" w:hAnsi="Arial" w:cs="Arial"/>
                <w:sz w:val="20"/>
                <w:szCs w:val="20"/>
              </w:rPr>
            </w:pPr>
            <w:r w:rsidRPr="00E45347">
              <w:rPr>
                <w:rFonts w:ascii="Arial" w:hAnsi="Arial" w:cs="Arial"/>
                <w:sz w:val="20"/>
                <w:szCs w:val="20"/>
              </w:rPr>
              <w:t>статті 6</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Інші особи реєструють офіційні електронні адреси в Єдиній судовій інформаційній (автоматизованій) системі в добровільному порядку.</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 xml:space="preserve">Не встановлено порядок направлення судових документів особам, які не будуть зареєстрованими в Єдиній судовій інформаційній (автоматизованій) системи зважаючи на пункт 11 статті 6, яким встановлений обовʼязок суду направляти судові документи учасникам процесу в електронній формі з застосуванням Єдиної судової інформаційної (автоматизованої) системи. </w:t>
            </w:r>
          </w:p>
          <w:p w:rsidR="00824FB3" w:rsidRPr="00E45347" w:rsidRDefault="00824FB3" w:rsidP="004C41EA">
            <w:pPr>
              <w:rPr>
                <w:rFonts w:ascii="Arial" w:hAnsi="Arial" w:cs="Arial"/>
                <w:sz w:val="20"/>
                <w:szCs w:val="20"/>
              </w:rPr>
            </w:pP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 xml:space="preserve">Необхідно конкретизувати порядок направлення судових документів особам, якими не зареєстровано офіційні електронні адреси в Єдиній судовій інформаційній (автоматизованій) системі. </w:t>
            </w:r>
          </w:p>
          <w:p w:rsidR="00824FB3" w:rsidRPr="00E45347" w:rsidRDefault="00824FB3" w:rsidP="004C41EA">
            <w:pPr>
              <w:rPr>
                <w:rFonts w:ascii="Arial" w:hAnsi="Arial" w:cs="Arial"/>
                <w:sz w:val="20"/>
                <w:szCs w:val="20"/>
              </w:rPr>
            </w:pPr>
            <w:r w:rsidRPr="00E45347">
              <w:rPr>
                <w:rFonts w:ascii="Arial" w:hAnsi="Arial" w:cs="Arial"/>
                <w:sz w:val="20"/>
                <w:szCs w:val="20"/>
              </w:rPr>
              <w:t>Пропонуємо визначити, що направлення судової кореспонденції особам, які не мають в Єдиній судовій інформаційній (автоматизованій) системі офіційних електронних адрес здійснюється за їх електронними адресами, зазначеними у позовній заяві, або засобами поштового зв’язку – за їх відсутності.</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t>Стаття 8</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рівності всіх фізичних осіб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Доцільність включення вказаних положень сумнівна, з огляду на суб’єктний склад учасників господарського спору</w:t>
            </w:r>
          </w:p>
          <w:p w:rsidR="00824FB3" w:rsidRPr="00E45347" w:rsidRDefault="00824FB3" w:rsidP="004C41EA">
            <w:pPr>
              <w:rPr>
                <w:rFonts w:ascii="Arial" w:hAnsi="Arial" w:cs="Arial"/>
                <w:sz w:val="20"/>
                <w:szCs w:val="20"/>
              </w:rPr>
            </w:pP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виключити</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t>Стаття 9</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захисту особистого та сімейного життя людини,</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Доцільність включення вказаних положень сумнівна, з огляду на правовідносини, які є предметом дослідження  господарському спорі</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виключити</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t>Стаття 16</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Суд визначає в межах, встановлених цим Кодексом, порядок здійснення провадження у справі відповідно до принципу пропорційності, враховуючи завдання господарського судочинства, особливості предмету спору, ціну позову, складність справи, значення вирішення спору для сторін, час, необхідний для вчинення тих чи інших дій, розмір судових витрат та інших витрат сторін, пов’язаних із відповідними процесуальними діями.</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Не зрозуміло  практичне призначення та реалізація вказаної норми.</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Конкретизувати мету застосування/виключити</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t xml:space="preserve">П. 12 ч. 1 ст. 21 </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«відкриття провадження у справі про банкрутство»</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 xml:space="preserve"> Не відповідає визначенням, наданим у ст. 6 Закону України «Про відновлення платоспроможності боржника або визнання його банкрутом»</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 xml:space="preserve">Привести у відповідність до ст. 6 Закону України «Про відновлення платоспроможності боржника або визнання його банкрутом», вказавши </w:t>
            </w:r>
            <w:r w:rsidRPr="00E45347">
              <w:rPr>
                <w:rFonts w:ascii="Arial" w:hAnsi="Arial" w:cs="Arial"/>
                <w:sz w:val="20"/>
                <w:szCs w:val="20"/>
              </w:rPr>
              <w:lastRenderedPageBreak/>
              <w:t>«порушення провадження у справі про банкрутство»</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lastRenderedPageBreak/>
              <w:t>Ч. 2 ст. 21</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Господарські суди розглядають також інші справи, віднесені законом до юрисдикції господарських судів.</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Відсилочна норма</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виключити</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t>ч. 1 ст. 31</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за участю присяжних у господарських справах, які призначаються у випадках та в порядку, визначених законом, з числа осіб, що володіють значним професійним досвідом у сфері господарської діяльності, до якої відноситься відповідний спір. Присяжні у господарських справах користуються правами судді, за виключеннями, встановленими законом.</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Враховуючи специфіку господарських правовідносин, наявність яких підтверджується письмовими доказами, можливість призначення судом експертів для вирішення не юридичних питань вважаємо залучення присяжних до вирішення господарських спорів безпідставним.</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виключити</w:t>
            </w:r>
          </w:p>
        </w:tc>
      </w:tr>
      <w:tr w:rsidR="00824FB3" w:rsidRPr="00E45347" w:rsidTr="004C41EA">
        <w:trPr>
          <w:trHeight w:val="2437"/>
        </w:trPr>
        <w:tc>
          <w:tcPr>
            <w:tcW w:w="1276" w:type="dxa"/>
          </w:tcPr>
          <w:p w:rsidR="00824FB3" w:rsidRPr="00E45347" w:rsidRDefault="00824FB3" w:rsidP="004C41EA">
            <w:pPr>
              <w:rPr>
                <w:rFonts w:ascii="Arial" w:hAnsi="Arial" w:cs="Arial"/>
                <w:sz w:val="20"/>
                <w:szCs w:val="20"/>
              </w:rPr>
            </w:pPr>
          </w:p>
          <w:p w:rsidR="00824FB3" w:rsidRPr="00E45347" w:rsidRDefault="00824FB3" w:rsidP="004C41EA">
            <w:pPr>
              <w:rPr>
                <w:rFonts w:ascii="Arial" w:hAnsi="Arial" w:cs="Arial"/>
                <w:sz w:val="20"/>
                <w:szCs w:val="20"/>
              </w:rPr>
            </w:pPr>
          </w:p>
          <w:p w:rsidR="00824FB3" w:rsidRPr="00E45347" w:rsidRDefault="00824FB3" w:rsidP="004C41EA">
            <w:pPr>
              <w:rPr>
                <w:rFonts w:ascii="Arial" w:hAnsi="Arial" w:cs="Arial"/>
                <w:sz w:val="20"/>
                <w:szCs w:val="20"/>
              </w:rPr>
            </w:pPr>
            <w:r w:rsidRPr="00E45347">
              <w:rPr>
                <w:rFonts w:ascii="Arial" w:hAnsi="Arial" w:cs="Arial"/>
                <w:sz w:val="20"/>
                <w:szCs w:val="20"/>
              </w:rPr>
              <w:t>Ч. 6 ст. 40</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Якщо цим Кодексом передбачено обов'язок учасника справи надсилати копії процесуальних та інших документів, письмових доказів чи інших матеріалів іншим учасникам справи, такі документи можуть направлятись вказаним особам з використанням Єдиної судової інформаційної (автоматизованої) системи в електронній формі, крім випадків, коли інший учасник не зареєстрований в цій системі</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Не встановлено порядок направлення копій процесуальних документів у випадку якщо учасник процесу не зареєстрований в Єдиній судовій інформаційній (автоматизованій) системі</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Пропонуємо визначити, що направлення судової кореспонденції особам, які не мають в Єдиній судовій інформаційній (автоматизованій) системі офіційних електронних адрес здійснюється за їх електронними адресами, зазначеними у позовній заяві, або засобами поштового зв’язку – за їх відсутності.</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t>Ч. 2 ст. 40</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В залежності від конкретних обставин суд може визнати зловживанням процесуальними правами дії, які суперечать завданню господарського судочинства</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Не визначено правові наслідки визнання судом зловживання стороною процесуальними правами</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 xml:space="preserve">Вважаємо, що необхідно встановити відповідальність за таке зловживання у вигляді штрафу. </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t>ч. 1 ст. 99</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Експертиза проводиться у судовому засіданні</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 xml:space="preserve">Можливість проведення експертизи в судовому засіданні сумнівна, оскільки її проведення потребує часу, засобів та т.і </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виключити</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t>Ч. 1 ст. 137</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Заява про забезпечення позову розглядається судом, у провадженні якого перебуває справа, або до якого має бути поданий позов, не пізніше двох днів з дня її надходження у судовому засіданні без повідомлення відповідача та інших учасників справи.</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 xml:space="preserve">Призначати розгляд справи та проводити судове засідання без повідомлення учасників справи недоцільно. </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 xml:space="preserve">Відкоригувати, зазначити  про можливість розгляду зави про забезпечення позову як в судовому засіданні так без його проведення, в залежності від необхідності, і в залежності від порядку розгляду становити необхідність та порядок повідомлення учасників спору </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t>Ч. 9 Ст. 234</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 xml:space="preserve">У спорі, що виник при укладанні або зміні договору, в резолютивній частині вказується </w:t>
            </w:r>
            <w:r w:rsidRPr="00E45347">
              <w:rPr>
                <w:rFonts w:ascii="Arial" w:hAnsi="Arial" w:cs="Arial"/>
                <w:sz w:val="20"/>
                <w:szCs w:val="20"/>
              </w:rPr>
              <w:lastRenderedPageBreak/>
              <w:t>рішення з кожної спірної умови договору, а у спорі про спонукання укласти договір-умови, на яких сторони зобов'язані укласти договір, з посиланням на поданий позивачем проект договору.</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lastRenderedPageBreak/>
              <w:t xml:space="preserve">При розгляду спору щодо спонукання укласти договір суд не зобов’язаний приймати </w:t>
            </w:r>
            <w:r w:rsidRPr="00E45347">
              <w:rPr>
                <w:rFonts w:ascii="Arial" w:hAnsi="Arial" w:cs="Arial"/>
                <w:sz w:val="20"/>
                <w:szCs w:val="20"/>
              </w:rPr>
              <w:lastRenderedPageBreak/>
              <w:t>положення договору запропоновані виключно позивачем. Отже дане викладення є некоректним</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lastRenderedPageBreak/>
              <w:t>Пропонуємо зазначити «з посиланням на прийнятний проект договору».</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lastRenderedPageBreak/>
              <w:t>ч. 2 ст. 238</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Питання про внесення виправлень вирішується в судовому засіданні без повідомлення учасників справи, про що постановляється ухвала.</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Призначати розгляд справи та проводити судове засідання без повідомлення учасників справи недоцільно.</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Відкоригувати, зазначити  про можливість розгляду питання про внесення виправлень в судове рішення як в судовому засіданні так без його проведення, в залежності від необхідності, і в залежності від порядку розгляду становити необхідність та порядок повідомлення учасників спору.</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t>Абз 2 ч. 1 ст. 249</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або розгляду справи без повідомлення та виклику учасників справи, зазначений строк обчислюється з дня складення повного судового рішення</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Після слова «справи» пропущене слово «відбувся»</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 xml:space="preserve">Доповнити речення словом «відбувся» після слова «справи» </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t>Ст. 272</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23) про відмову у прийнятті заяви про скасування рішення третейського суду;</w:t>
            </w:r>
          </w:p>
          <w:p w:rsidR="00824FB3" w:rsidRPr="00E45347" w:rsidRDefault="00824FB3" w:rsidP="004C41EA">
            <w:pPr>
              <w:rPr>
                <w:rFonts w:ascii="Arial" w:hAnsi="Arial" w:cs="Arial"/>
                <w:sz w:val="20"/>
                <w:szCs w:val="20"/>
              </w:rPr>
            </w:pPr>
            <w:r w:rsidRPr="00E45347">
              <w:rPr>
                <w:rFonts w:ascii="Arial" w:hAnsi="Arial" w:cs="Arial"/>
                <w:sz w:val="20"/>
                <w:szCs w:val="20"/>
              </w:rPr>
              <w:t xml:space="preserve"> 24) про повернення заяви про скасування рішення третейського суду;</w:t>
            </w:r>
          </w:p>
          <w:p w:rsidR="00824FB3" w:rsidRPr="00E45347" w:rsidRDefault="00824FB3" w:rsidP="004C41EA">
            <w:pPr>
              <w:rPr>
                <w:rFonts w:ascii="Arial" w:hAnsi="Arial" w:cs="Arial"/>
                <w:sz w:val="20"/>
                <w:szCs w:val="20"/>
              </w:rPr>
            </w:pPr>
            <w:r w:rsidRPr="00E45347">
              <w:rPr>
                <w:rFonts w:ascii="Arial" w:hAnsi="Arial" w:cs="Arial"/>
                <w:sz w:val="20"/>
                <w:szCs w:val="20"/>
              </w:rPr>
              <w:t>25) про повернення заяви про видачу виконавчого документа за рішенням третейського суду без розгляду;</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Ст. 24 проекту Кодексу установлено, що суд апеляційної інстанції розглядає у першій інстанції справи щодо оскарження рішень третейських судів та про видачу виконавчих листів на примусове виконання рішень третейських судів, відповідно існують суперечності щодо повноважень суду першої інстанції та правомірності його дій у випадку оскарження до суду першої інстанції рішення третейського суду.</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виключити</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t>Глава 2, 3</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Касаційне провадження, ПЕРЕГЛЯД СУДОВИХ РІШЕНЬ ВЕРХОВНИМ СУДОМ УКРАЇНИ</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Враховуючи прийняття Закону України «Про судоустрій та статус суддів» у новій редакції положення вказаних глав підлягають приведенню у відповідність  до відповідних норм наведеного Закону</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Викласти глави 2 та 3 ХПК України з врахуванням положень Закону України «Про судоустрій та статус суддів» у новій редакції після його остаточного прийняття</w:t>
            </w:r>
          </w:p>
        </w:tc>
      </w:tr>
      <w:tr w:rsidR="00824FB3" w:rsidRPr="00E45347" w:rsidTr="004C41EA">
        <w:tc>
          <w:tcPr>
            <w:tcW w:w="1276" w:type="dxa"/>
          </w:tcPr>
          <w:p w:rsidR="00824FB3" w:rsidRPr="00E45347" w:rsidRDefault="00824FB3" w:rsidP="004C41EA">
            <w:pPr>
              <w:rPr>
                <w:rFonts w:ascii="Arial" w:hAnsi="Arial" w:cs="Arial"/>
                <w:sz w:val="20"/>
                <w:szCs w:val="20"/>
              </w:rPr>
            </w:pPr>
            <w:r w:rsidRPr="00E45347">
              <w:rPr>
                <w:rFonts w:ascii="Arial" w:hAnsi="Arial" w:cs="Arial"/>
                <w:sz w:val="20"/>
                <w:szCs w:val="20"/>
              </w:rPr>
              <w:t>Ч. 1 ст. 326</w:t>
            </w:r>
          </w:p>
        </w:tc>
        <w:tc>
          <w:tcPr>
            <w:tcW w:w="4977" w:type="dxa"/>
          </w:tcPr>
          <w:p w:rsidR="00824FB3" w:rsidRPr="00E45347" w:rsidRDefault="00824FB3" w:rsidP="004C41EA">
            <w:pPr>
              <w:rPr>
                <w:rFonts w:ascii="Arial" w:hAnsi="Arial" w:cs="Arial"/>
                <w:sz w:val="20"/>
                <w:szCs w:val="20"/>
              </w:rPr>
            </w:pPr>
            <w:r w:rsidRPr="00E45347">
              <w:rPr>
                <w:rFonts w:ascii="Arial" w:hAnsi="Arial" w:cs="Arial"/>
                <w:sz w:val="20"/>
                <w:szCs w:val="20"/>
              </w:rPr>
              <w:t>Протягом п'яти днів після набрання судовим рішенням законної сили надсилається стягувачу рекомендованим чи цінним листом тим господарським судом, у якому знаходиться справа.</w:t>
            </w:r>
          </w:p>
        </w:tc>
        <w:tc>
          <w:tcPr>
            <w:tcW w:w="4749" w:type="dxa"/>
          </w:tcPr>
          <w:p w:rsidR="00824FB3" w:rsidRPr="00E45347" w:rsidRDefault="00824FB3" w:rsidP="004C41EA">
            <w:pPr>
              <w:rPr>
                <w:rFonts w:ascii="Arial" w:hAnsi="Arial" w:cs="Arial"/>
                <w:sz w:val="20"/>
                <w:szCs w:val="20"/>
              </w:rPr>
            </w:pPr>
            <w:r w:rsidRPr="00E45347">
              <w:rPr>
                <w:rFonts w:ascii="Arial" w:hAnsi="Arial" w:cs="Arial"/>
                <w:sz w:val="20"/>
                <w:szCs w:val="20"/>
              </w:rPr>
              <w:t>Після слова «сили» пропущене слово «наказ».</w:t>
            </w:r>
          </w:p>
          <w:p w:rsidR="00824FB3" w:rsidRPr="00E45347" w:rsidRDefault="00824FB3" w:rsidP="004C41EA">
            <w:pPr>
              <w:rPr>
                <w:rFonts w:ascii="Arial" w:hAnsi="Arial" w:cs="Arial"/>
                <w:sz w:val="20"/>
                <w:szCs w:val="20"/>
              </w:rPr>
            </w:pPr>
            <w:r w:rsidRPr="00E45347">
              <w:rPr>
                <w:rFonts w:ascii="Arial" w:hAnsi="Arial" w:cs="Arial"/>
                <w:sz w:val="20"/>
                <w:szCs w:val="20"/>
              </w:rPr>
              <w:t xml:space="preserve">Крім того, оскільки проектом кодексу передбачена можливість видачі наказу на виконання рішення третейського суду судом апеляційної інстанції дане положення бажано уточити з метою уникнення непорозуміння з боку учасників спору </w:t>
            </w:r>
          </w:p>
        </w:tc>
        <w:tc>
          <w:tcPr>
            <w:tcW w:w="4124" w:type="dxa"/>
          </w:tcPr>
          <w:p w:rsidR="00824FB3" w:rsidRPr="00E45347" w:rsidRDefault="00824FB3" w:rsidP="004C41EA">
            <w:pPr>
              <w:rPr>
                <w:rFonts w:ascii="Arial" w:hAnsi="Arial" w:cs="Arial"/>
                <w:sz w:val="20"/>
                <w:szCs w:val="20"/>
              </w:rPr>
            </w:pPr>
            <w:r w:rsidRPr="00E45347">
              <w:rPr>
                <w:rFonts w:ascii="Arial" w:hAnsi="Arial" w:cs="Arial"/>
                <w:sz w:val="20"/>
                <w:szCs w:val="20"/>
              </w:rPr>
              <w:t>Доповнити речення словом «наказ» після слова «сили».</w:t>
            </w:r>
          </w:p>
          <w:p w:rsidR="00824FB3" w:rsidRPr="00E45347" w:rsidRDefault="00824FB3" w:rsidP="004C41EA">
            <w:pPr>
              <w:rPr>
                <w:rFonts w:ascii="Arial" w:hAnsi="Arial" w:cs="Arial"/>
                <w:sz w:val="20"/>
                <w:szCs w:val="20"/>
              </w:rPr>
            </w:pPr>
            <w:r w:rsidRPr="00E45347">
              <w:rPr>
                <w:rFonts w:ascii="Arial" w:hAnsi="Arial" w:cs="Arial"/>
                <w:sz w:val="20"/>
                <w:szCs w:val="20"/>
              </w:rPr>
              <w:t>Зазначити суд якої саме інстанції у яких випадках надсилає наказ.</w:t>
            </w:r>
          </w:p>
        </w:tc>
      </w:tr>
    </w:tbl>
    <w:p w:rsidR="00824FB3" w:rsidRPr="00E45347" w:rsidRDefault="00824FB3" w:rsidP="00824FB3">
      <w:pPr>
        <w:rPr>
          <w:rFonts w:ascii="Arial" w:hAnsi="Arial" w:cs="Arial"/>
          <w:sz w:val="20"/>
          <w:szCs w:val="20"/>
        </w:rPr>
      </w:pPr>
    </w:p>
    <w:p w:rsidR="00824FB3" w:rsidRPr="00824FB3" w:rsidRDefault="00824FB3" w:rsidP="00824FB3"/>
    <w:sectPr w:rsidR="00824FB3" w:rsidRPr="00824FB3" w:rsidSect="005C22A0">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A0"/>
    <w:rsid w:val="000815D9"/>
    <w:rsid w:val="000A66E7"/>
    <w:rsid w:val="000B54E0"/>
    <w:rsid w:val="000B6BD5"/>
    <w:rsid w:val="001A54A0"/>
    <w:rsid w:val="002001E6"/>
    <w:rsid w:val="002C3650"/>
    <w:rsid w:val="002D591F"/>
    <w:rsid w:val="00316522"/>
    <w:rsid w:val="005C22A0"/>
    <w:rsid w:val="0077520B"/>
    <w:rsid w:val="00824FB3"/>
    <w:rsid w:val="008C0C9C"/>
    <w:rsid w:val="008F6DBB"/>
    <w:rsid w:val="00937BF3"/>
    <w:rsid w:val="009506F3"/>
    <w:rsid w:val="00AE5098"/>
    <w:rsid w:val="00B17B38"/>
    <w:rsid w:val="00C33A32"/>
    <w:rsid w:val="00CD4406"/>
    <w:rsid w:val="00D372CC"/>
    <w:rsid w:val="00E235CB"/>
    <w:rsid w:val="00E45347"/>
    <w:rsid w:val="00E52D2F"/>
    <w:rsid w:val="00E550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B0E4-2B64-4F34-AD85-29E18F0F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5295</Words>
  <Characters>3019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Чернявская</dc:creator>
  <cp:lastModifiedBy>Olena Stepanova</cp:lastModifiedBy>
  <cp:revision>2</cp:revision>
  <dcterms:created xsi:type="dcterms:W3CDTF">2016-06-21T13:58:00Z</dcterms:created>
  <dcterms:modified xsi:type="dcterms:W3CDTF">2016-06-21T13:58:00Z</dcterms:modified>
</cp:coreProperties>
</file>