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D8" w:rsidRPr="00675A25" w:rsidRDefault="00981BD8">
      <w:pPr>
        <w:rPr>
          <w:rFonts w:ascii="Times New Roman" w:hAnsi="Times New Roman" w:cs="Times New Roman"/>
          <w:sz w:val="24"/>
          <w:szCs w:val="24"/>
        </w:rPr>
      </w:pPr>
    </w:p>
    <w:p w:rsidR="00981BD8" w:rsidRPr="00675A25" w:rsidRDefault="00981BD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10881" w:type="dxa"/>
        <w:tblLook w:val="04A0" w:firstRow="1" w:lastRow="0" w:firstColumn="1" w:lastColumn="0" w:noHBand="0" w:noVBand="1"/>
      </w:tblPr>
      <w:tblGrid>
        <w:gridCol w:w="4786"/>
        <w:gridCol w:w="6095"/>
      </w:tblGrid>
      <w:tr w:rsidR="000D796E" w:rsidRPr="00675A25" w:rsidTr="000D796E">
        <w:tc>
          <w:tcPr>
            <w:tcW w:w="4786" w:type="dxa"/>
            <w:shd w:val="clear" w:color="auto" w:fill="auto"/>
          </w:tcPr>
          <w:p w:rsidR="000D796E" w:rsidRPr="00675A25" w:rsidRDefault="000D796E" w:rsidP="000D7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sz w:val="24"/>
                <w:szCs w:val="24"/>
              </w:rPr>
              <w:t>№ 16-</w:t>
            </w:r>
          </w:p>
          <w:p w:rsidR="000D796E" w:rsidRPr="00675A25" w:rsidRDefault="000D796E" w:rsidP="000D7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sz w:val="24"/>
                <w:szCs w:val="24"/>
              </w:rPr>
              <w:t>Від «___»</w:t>
            </w:r>
            <w:r w:rsidR="006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липня</w:t>
            </w:r>
            <w:proofErr w:type="spellEnd"/>
            <w:r w:rsidR="006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A25">
              <w:rPr>
                <w:rFonts w:ascii="Times New Roman" w:hAnsi="Times New Roman" w:cs="Times New Roman"/>
                <w:sz w:val="24"/>
                <w:szCs w:val="24"/>
              </w:rPr>
              <w:t>2016 року</w:t>
            </w:r>
          </w:p>
          <w:p w:rsidR="000D796E" w:rsidRPr="00675A25" w:rsidRDefault="000D796E" w:rsidP="000D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6E" w:rsidRPr="00675A25" w:rsidRDefault="000D796E" w:rsidP="000D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D796E" w:rsidRPr="00675A25" w:rsidRDefault="00A06539" w:rsidP="00A06539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Голові Державної фіскальної </w:t>
            </w:r>
            <w:r w:rsidR="000D796E" w:rsidRPr="00675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служби України</w:t>
            </w:r>
          </w:p>
          <w:p w:rsidR="000D796E" w:rsidRPr="00675A25" w:rsidRDefault="000D796E" w:rsidP="00A06539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Р.М. </w:t>
            </w:r>
            <w:proofErr w:type="spellStart"/>
            <w:r w:rsidRPr="00675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Насірову</w:t>
            </w:r>
            <w:proofErr w:type="spellEnd"/>
          </w:p>
          <w:p w:rsidR="00675A25" w:rsidRPr="00675A25" w:rsidRDefault="00675A25" w:rsidP="00A06539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A25" w:rsidRPr="00675A25" w:rsidRDefault="00675A25" w:rsidP="00675A25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>Копія:</w:t>
            </w:r>
          </w:p>
          <w:p w:rsidR="00675A25" w:rsidRPr="00675A25" w:rsidRDefault="00675A25" w:rsidP="00675A25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>Голові Комітету Верховної Ради України з питань податкової та митної політики</w:t>
            </w:r>
          </w:p>
          <w:p w:rsidR="00675A25" w:rsidRPr="00675A25" w:rsidRDefault="00675A25" w:rsidP="00675A25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пані </w:t>
            </w:r>
            <w:proofErr w:type="spellStart"/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>Южаніній</w:t>
            </w:r>
            <w:proofErr w:type="spellEnd"/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  <w:p w:rsidR="00675A25" w:rsidRPr="00675A25" w:rsidRDefault="00675A25" w:rsidP="00675A25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A25" w:rsidRPr="00675A25" w:rsidRDefault="00675A25" w:rsidP="00675A25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>Першому заступнику голови Комітету Верховної Ради України з питань податкової та митної політики</w:t>
            </w:r>
          </w:p>
          <w:p w:rsidR="00675A25" w:rsidRPr="00675A25" w:rsidRDefault="00675A25" w:rsidP="00675A25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пану </w:t>
            </w:r>
            <w:proofErr w:type="spellStart"/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>Журжію</w:t>
            </w:r>
            <w:proofErr w:type="spellEnd"/>
            <w:r w:rsidRPr="0067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</w:tbl>
    <w:p w:rsidR="006B7A8A" w:rsidRPr="00675A25" w:rsidRDefault="00675A25" w:rsidP="00675A25">
      <w:pPr>
        <w:rPr>
          <w:rFonts w:ascii="Times New Roman" w:hAnsi="Times New Roman" w:cs="Times New Roman"/>
          <w:i/>
          <w:sz w:val="24"/>
          <w:szCs w:val="24"/>
        </w:rPr>
      </w:pPr>
      <w:r w:rsidRPr="00675A25">
        <w:rPr>
          <w:rFonts w:ascii="Times New Roman" w:hAnsi="Times New Roman" w:cs="Times New Roman"/>
          <w:i/>
          <w:sz w:val="24"/>
          <w:szCs w:val="24"/>
        </w:rPr>
        <w:t>Щодо використання РРО в електронній комерції</w:t>
      </w:r>
    </w:p>
    <w:p w:rsidR="00754B16" w:rsidRPr="00675A25" w:rsidRDefault="00754B16" w:rsidP="00CE0E8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0E85" w:rsidRPr="00675A25" w:rsidRDefault="00924984" w:rsidP="00CE0E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A25">
        <w:rPr>
          <w:rFonts w:ascii="Times New Roman" w:hAnsi="Times New Roman" w:cs="Times New Roman"/>
          <w:b/>
          <w:i/>
          <w:sz w:val="24"/>
          <w:szCs w:val="24"/>
        </w:rPr>
        <w:t>Шановний Романе Михайловичу</w:t>
      </w:r>
      <w:r w:rsidR="00CE0E85" w:rsidRPr="00675A2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A25">
        <w:rPr>
          <w:rFonts w:ascii="Times New Roman" w:hAnsi="Times New Roman" w:cs="Times New Roman"/>
          <w:sz w:val="24"/>
          <w:szCs w:val="24"/>
        </w:rPr>
        <w:t xml:space="preserve">Від імені Ради директорів Американської торгівельної палати в Україні (далі – Палата) та компаній-членів висловлюємо Вам глибоку повагу та подяку за тривалий конструктивний діалог із бізнес-спільнотою. 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sz w:val="24"/>
          <w:szCs w:val="24"/>
        </w:rPr>
        <w:t xml:space="preserve">Просимо Вас надати роз’яснення щодо нижче описаного проблемного питання, з яким у своїй роботі стикаються компанії-члени Палати, щодо </w:t>
      </w:r>
      <w:r w:rsidRPr="00675A25">
        <w:rPr>
          <w:rFonts w:ascii="Times New Roman" w:hAnsi="Times New Roman" w:cs="Times New Roman"/>
          <w:b/>
          <w:sz w:val="24"/>
          <w:szCs w:val="24"/>
        </w:rPr>
        <w:t>порядку проведення розрахункових операцій в безготівковій формі із застосуванням платіжних карток при продажу товарів з використанням мережі Інтернет.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Суб’єкти господарювання (Надалі – Компанії) здійснюють продаж товарів, в тому числі, з використанням мережі Інтернет. При цьому оплата за товари, що придбаються з використанням мережі Інтернет, здійснюється покупцями онлайн на веб-сайті Компаній з використанням платіжних карток. Відвантаження товарів здійснюється зі складу Компаній іншому суб’єкту господарювання, що надає кур’єрські послуги (надалі- кур’єрська служба) для подальшої доставки товару покупцю відразу, або на наступний день після авторизації платіжної карти банком, що надає Компанії послуги еквайрингу (надалі – Банк).  Отримання грошових коштів щодо відшкодування платежів за платіжними картками здійснюється на поточний рахунок Компанії Банком як до, так і після відвантаження товарів покупцям. При отриманні товару покупцем, разом із товаром передається розрахунковий документ встановленої форми на п</w:t>
      </w: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овну суму проведеної операції. 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Оскільки у місці отримання товарів операції з готівкових розрахунків не здійснюються, реєстратори розрахункових операцій та розрахункові книжки не застосовуються відповідно до пункту 12) статті 9 Закону України «Про застосування реєстраторів розрахункових операцій у сфері торгівлі, громадського харчування та послуг» №265/95 від 6 липня 1995 року (далі – Закон про РРО):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Реєстратори розрахункових операцій та розрахункові книжки не застосовуються: … 12) якщо в місці отримання товарів (надання послуг)</w:t>
      </w:r>
      <w:r w:rsidRPr="00675A2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операції з  розрахунків у готівковій формі не здійснюються</w:t>
      </w:r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(оптова торгівля тощо).».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іншого боку, відповідно до статті 3 Закону про РРО, </w:t>
      </w:r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«суб’єкти   господарювання,   які   здійснюють розрахункові  операції  </w:t>
      </w:r>
      <w:r w:rsidRPr="00675A2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  готівковій та/або в безготівковій формі</w:t>
      </w:r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(із застосуванням платіжних карток, платіжних </w:t>
      </w:r>
      <w:proofErr w:type="spellStart"/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чеків</w:t>
      </w:r>
      <w:proofErr w:type="spellEnd"/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жетонів тощо) при   продажу   товарів   (наданні   послуг)   у  сфері  торгівлі, громадського  харчування  та  послуг, а також операції з приймання готівки  для  подальшого  її  переказу зобов’язані: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проводити  розрахункові  операції</w:t>
      </w:r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на  повну  суму покупки (надання послуги) через зареєстровані, опломбовані у встановленому порядку  та  переведені  у  фіскальний  режим  роботи  </w:t>
      </w:r>
      <w:r w:rsidRPr="00675A2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реєстратори розрахункових операцій</w:t>
      </w:r>
      <w:r w:rsidRPr="00675A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з роздрукуванням відповідних  розрахункових документів …;»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Таким чином, виникає суперечлива ситуація: з одного боку, відповідно до пункту 12) статті 9 Закону РРО не застосовується, оскільки у місці отримання товарів операції з готівкових розрахунків не здійснюються, але з іншого боку,  відповідно до статті 3 Закону про РРО,  суб’єкти   господарювання  повинні провести  розрахункові  операції  на  повну  суму покупки через реєстратори розрахункових операцій з роздрукуванням відповідних  розрахункових документів.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Виходячи з вищевикладеного, від імені Палати просимо Вас надати роз’яснення</w:t>
      </w: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щодо такої ситуації (приклад):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Покупець сплатив замовлення з використанням платіжної карти (відбулась авторизація платіжної карти Банком) на веб-сайті Компанії 15.06.2016 р. Відвантаження товару зі складу Компанії кур’єрській службі для подальшої передачі товару Покупцю відбулося 15.06.2016 р. Грошові кошти щодо відшкодування платежу за платіжною карткою надійшли на поточний</w:t>
      </w:r>
      <w:r w:rsidRPr="00675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рахунок Компанії 16.06.2016 р.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Просимо Вас підтвердити, що оскільки у вищенаведеній ситуації в місці отримання товарів (під час передачі товару Покупцю кур’єрською службою) операції з готівкових розрахунків не здійснюються, відповідно до пункту 12) статті 9 Закону про РРО,  реєстратори розрахункових операцій та розраху</w:t>
      </w:r>
      <w:r w:rsidRPr="00675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нкові книжки не застосовуються.</w:t>
      </w:r>
    </w:p>
    <w:p w:rsidR="00675A25" w:rsidRPr="00675A25" w:rsidRDefault="00675A25" w:rsidP="00675A25">
      <w:pPr>
        <w:spacing w:before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Також просимо Вас надати роз’яснення щодо пункту 1) статті 3 Закону про РРО:  для виконання цього пункту, чи має Законодавець на увазі виключно операції з приймання  від  покупця  готівкових коштів,  платіжних карток, платіжних </w:t>
      </w:r>
      <w:proofErr w:type="spellStart"/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чеків</w:t>
      </w:r>
      <w:proofErr w:type="spellEnd"/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жетонів тощо, та  видачу   готівкових  коштів  за повернутий  покупцем  товар   (ненадану   послугу) </w:t>
      </w:r>
      <w:r w:rsidRPr="00675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місцем реалізації   товарів   (послуг)</w:t>
      </w:r>
      <w:r w:rsidRPr="00675A25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675A25" w:rsidRPr="00075E2F" w:rsidRDefault="00075E2F" w:rsidP="00075E2F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E2F">
        <w:rPr>
          <w:rFonts w:ascii="Times New Roman" w:hAnsi="Times New Roman" w:cs="Times New Roman"/>
          <w:sz w:val="24"/>
          <w:szCs w:val="24"/>
        </w:rPr>
        <w:t>У разі виникнення додаткових запитань з приводу положень листа, будь ласка, звертайтесь до Олександра Прохоровича, менеджера з питань стратегічного розвитку Палати (оподаткування та митна політика), за телефоном 490-5800 або електронною поштою (oprokhorovych@chamber.ua).</w:t>
      </w:r>
    </w:p>
    <w:p w:rsidR="00675A25" w:rsidRDefault="00675A25" w:rsidP="005254BE">
      <w:pPr>
        <w:tabs>
          <w:tab w:val="left" w:pos="90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A655C" w:rsidRPr="00675A25" w:rsidRDefault="006A655C" w:rsidP="005254BE">
      <w:pPr>
        <w:tabs>
          <w:tab w:val="left" w:pos="90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25">
        <w:rPr>
          <w:rFonts w:ascii="Times New Roman" w:hAnsi="Times New Roman" w:cs="Times New Roman"/>
          <w:b/>
          <w:sz w:val="24"/>
          <w:szCs w:val="24"/>
        </w:rPr>
        <w:t>З повагою,</w:t>
      </w:r>
    </w:p>
    <w:p w:rsidR="000D796E" w:rsidRPr="00675A25" w:rsidRDefault="000D796E" w:rsidP="006A655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655C" w:rsidRPr="00675A25" w:rsidRDefault="006A655C" w:rsidP="006A655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25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  <w:r w:rsidRPr="00675A25">
        <w:rPr>
          <w:rFonts w:ascii="Times New Roman" w:hAnsi="Times New Roman" w:cs="Times New Roman"/>
          <w:b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sz w:val="24"/>
          <w:szCs w:val="24"/>
        </w:rPr>
        <w:tab/>
      </w:r>
      <w:r w:rsidRPr="00675A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752DDA" w:rsidRPr="00675A2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75A25">
        <w:rPr>
          <w:rFonts w:ascii="Times New Roman" w:hAnsi="Times New Roman" w:cs="Times New Roman"/>
          <w:b/>
          <w:sz w:val="24"/>
          <w:szCs w:val="24"/>
        </w:rPr>
        <w:t xml:space="preserve">Андрій </w:t>
      </w:r>
      <w:proofErr w:type="spellStart"/>
      <w:r w:rsidRPr="00675A25">
        <w:rPr>
          <w:rFonts w:ascii="Times New Roman" w:hAnsi="Times New Roman" w:cs="Times New Roman"/>
          <w:b/>
          <w:sz w:val="24"/>
          <w:szCs w:val="24"/>
        </w:rPr>
        <w:t>Гундер</w:t>
      </w:r>
      <w:proofErr w:type="spellEnd"/>
    </w:p>
    <w:p w:rsidR="000D796E" w:rsidRPr="00675A25" w:rsidRDefault="000D796E" w:rsidP="006A655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6E" w:rsidRPr="00675A25" w:rsidRDefault="000D796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D796E" w:rsidRPr="00675A25" w:rsidSect="00A304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707" w:bottom="1418" w:left="709" w:header="56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72" w:rsidRDefault="00C97172">
      <w:pPr>
        <w:spacing w:after="0" w:line="240" w:lineRule="auto"/>
      </w:pPr>
      <w:r>
        <w:separator/>
      </w:r>
    </w:p>
  </w:endnote>
  <w:endnote w:type="continuationSeparator" w:id="0">
    <w:p w:rsidR="00C97172" w:rsidRDefault="00C9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83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14D67" w:rsidRPr="00614D67" w:rsidRDefault="00CB56B0">
        <w:pPr>
          <w:pStyle w:val="Footer"/>
          <w:jc w:val="center"/>
          <w:rPr>
            <w:rFonts w:ascii="Times New Roman" w:hAnsi="Times New Roman" w:cs="Times New Roman"/>
          </w:rPr>
        </w:pPr>
        <w:r w:rsidRPr="00614D67">
          <w:rPr>
            <w:rFonts w:ascii="Times New Roman" w:hAnsi="Times New Roman" w:cs="Times New Roman"/>
          </w:rPr>
          <w:fldChar w:fldCharType="begin"/>
        </w:r>
        <w:r w:rsidRPr="00614D67">
          <w:rPr>
            <w:rFonts w:ascii="Times New Roman" w:hAnsi="Times New Roman" w:cs="Times New Roman"/>
          </w:rPr>
          <w:instrText xml:space="preserve"> PAGE   \* MERGEFORMAT </w:instrText>
        </w:r>
        <w:r w:rsidRPr="00614D67">
          <w:rPr>
            <w:rFonts w:ascii="Times New Roman" w:hAnsi="Times New Roman" w:cs="Times New Roman"/>
          </w:rPr>
          <w:fldChar w:fldCharType="separate"/>
        </w:r>
        <w:r w:rsidR="00075E2F">
          <w:rPr>
            <w:rFonts w:ascii="Times New Roman" w:hAnsi="Times New Roman" w:cs="Times New Roman"/>
            <w:noProof/>
          </w:rPr>
          <w:t>2</w:t>
        </w:r>
        <w:r w:rsidRPr="00614D6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4D67" w:rsidRDefault="00C97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B9" w:rsidRPr="00EA068F" w:rsidRDefault="00680EB9" w:rsidP="00680EB9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</w:t>
    </w:r>
  </w:p>
  <w:p w:rsidR="00EE69A6" w:rsidRPr="00FD004B" w:rsidRDefault="00EE69A6" w:rsidP="00EE69A6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Грехем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“Санофі-Авентіс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’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Київстар;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5C7271" w:rsidRPr="00EE69A6" w:rsidRDefault="00EE69A6" w:rsidP="00EE69A6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  <w:lang w:val="ru-RU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72" w:rsidRDefault="00C97172">
      <w:pPr>
        <w:spacing w:after="0" w:line="240" w:lineRule="auto"/>
      </w:pPr>
      <w:r>
        <w:separator/>
      </w:r>
    </w:p>
  </w:footnote>
  <w:footnote w:type="continuationSeparator" w:id="0">
    <w:p w:rsidR="00C97172" w:rsidRDefault="00C9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Default="00C97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6" o:spid="_x0000_s2050" type="#_x0000_t136" style="position:absolute;margin-left:0;margin-top:0;width:412.1pt;height:2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Default="00C971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7" o:spid="_x0000_s2051" type="#_x0000_t136" style="position:absolute;margin-left:0;margin-top:0;width:412.1pt;height:24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Default="00680EB9">
    <w:pPr>
      <w:pStyle w:val="Header"/>
    </w:pPr>
    <w:r>
      <w:rPr>
        <w:noProof/>
        <w:lang w:eastAsia="uk-UA"/>
      </w:rPr>
      <w:drawing>
        <wp:inline distT="0" distB="0" distL="0" distR="0" wp14:anchorId="085F4599" wp14:editId="49FDAD7D">
          <wp:extent cx="6831965" cy="698500"/>
          <wp:effectExtent l="0" t="0" r="6985" b="6350"/>
          <wp:docPr id="1" name="Picture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96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1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5" o:spid="_x0000_s2049" type="#_x0000_t136" style="position:absolute;margin-left:0;margin-top:0;width:412.1pt;height:24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A200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2D44BF6"/>
    <w:lvl w:ilvl="0">
      <w:numFmt w:val="bullet"/>
      <w:lvlText w:val="*"/>
      <w:lvlJc w:val="left"/>
    </w:lvl>
  </w:abstractNum>
  <w:abstractNum w:abstractNumId="2">
    <w:nsid w:val="07EE58A9"/>
    <w:multiLevelType w:val="hybridMultilevel"/>
    <w:tmpl w:val="40BA823A"/>
    <w:lvl w:ilvl="0" w:tplc="5AEC8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86"/>
    <w:multiLevelType w:val="singleLevel"/>
    <w:tmpl w:val="D8C4772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515219A"/>
    <w:multiLevelType w:val="singleLevel"/>
    <w:tmpl w:val="92A4275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DCF51CB"/>
    <w:multiLevelType w:val="hybridMultilevel"/>
    <w:tmpl w:val="3F74B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67C6"/>
    <w:multiLevelType w:val="hybridMultilevel"/>
    <w:tmpl w:val="B22AA99C"/>
    <w:lvl w:ilvl="0" w:tplc="5AEC8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D74116"/>
    <w:multiLevelType w:val="hybridMultilevel"/>
    <w:tmpl w:val="5AAE3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93C14"/>
    <w:multiLevelType w:val="singleLevel"/>
    <w:tmpl w:val="3A7E576C"/>
    <w:lvl w:ilvl="0">
      <w:start w:val="2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4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7"/>
    <w:rsid w:val="000042DA"/>
    <w:rsid w:val="00075E2F"/>
    <w:rsid w:val="0008297B"/>
    <w:rsid w:val="000D796E"/>
    <w:rsid w:val="000E0F7A"/>
    <w:rsid w:val="000F463E"/>
    <w:rsid w:val="0016495D"/>
    <w:rsid w:val="00166019"/>
    <w:rsid w:val="001D1D6C"/>
    <w:rsid w:val="001F06E5"/>
    <w:rsid w:val="002162D2"/>
    <w:rsid w:val="002B4859"/>
    <w:rsid w:val="00344154"/>
    <w:rsid w:val="00482BA2"/>
    <w:rsid w:val="004910E4"/>
    <w:rsid w:val="004B7639"/>
    <w:rsid w:val="0050590A"/>
    <w:rsid w:val="005254BE"/>
    <w:rsid w:val="005B39DE"/>
    <w:rsid w:val="005C7271"/>
    <w:rsid w:val="005D4A14"/>
    <w:rsid w:val="0063127E"/>
    <w:rsid w:val="006575CD"/>
    <w:rsid w:val="00675A25"/>
    <w:rsid w:val="00677AD7"/>
    <w:rsid w:val="00680EB9"/>
    <w:rsid w:val="006A655C"/>
    <w:rsid w:val="006B7A8A"/>
    <w:rsid w:val="006D658F"/>
    <w:rsid w:val="0071383F"/>
    <w:rsid w:val="0072292F"/>
    <w:rsid w:val="00752DDA"/>
    <w:rsid w:val="00754014"/>
    <w:rsid w:val="00754B16"/>
    <w:rsid w:val="00757CC9"/>
    <w:rsid w:val="007B21B0"/>
    <w:rsid w:val="007C6378"/>
    <w:rsid w:val="008940F8"/>
    <w:rsid w:val="00894E97"/>
    <w:rsid w:val="00924984"/>
    <w:rsid w:val="00932EA4"/>
    <w:rsid w:val="00981BD8"/>
    <w:rsid w:val="009960D3"/>
    <w:rsid w:val="009E0373"/>
    <w:rsid w:val="00A06539"/>
    <w:rsid w:val="00A30425"/>
    <w:rsid w:val="00A5171E"/>
    <w:rsid w:val="00A51B03"/>
    <w:rsid w:val="00AC286F"/>
    <w:rsid w:val="00B147B3"/>
    <w:rsid w:val="00B450D6"/>
    <w:rsid w:val="00B45E6B"/>
    <w:rsid w:val="00C3202E"/>
    <w:rsid w:val="00C473DC"/>
    <w:rsid w:val="00C90685"/>
    <w:rsid w:val="00C97172"/>
    <w:rsid w:val="00CB56B0"/>
    <w:rsid w:val="00CE0E85"/>
    <w:rsid w:val="00CE3DB5"/>
    <w:rsid w:val="00D14D7C"/>
    <w:rsid w:val="00D21D2B"/>
    <w:rsid w:val="00E03516"/>
    <w:rsid w:val="00E50AE6"/>
    <w:rsid w:val="00EA0617"/>
    <w:rsid w:val="00EA7794"/>
    <w:rsid w:val="00EC2DB7"/>
    <w:rsid w:val="00EE69A6"/>
    <w:rsid w:val="00F16360"/>
    <w:rsid w:val="00FD5CA4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D7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D7"/>
    <w:rPr>
      <w:lang w:val="uk-UA"/>
    </w:rPr>
  </w:style>
  <w:style w:type="paragraph" w:customStyle="1" w:styleId="Style15">
    <w:name w:val="Style15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customStyle="1" w:styleId="FontStyle32">
    <w:name w:val="Font Style32"/>
    <w:basedOn w:val="DefaultParagraphFont"/>
    <w:uiPriority w:val="99"/>
    <w:rsid w:val="00677AD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677A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2">
    <w:name w:val="Style12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7">
    <w:name w:val="Style17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8">
    <w:name w:val="Style1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9">
    <w:name w:val="Style9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5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styleId="Hyperlink">
    <w:name w:val="Hyperlink"/>
    <w:uiPriority w:val="99"/>
    <w:unhideWhenUsed/>
    <w:rsid w:val="00E50A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F49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49D5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78"/>
    <w:rPr>
      <w:rFonts w:ascii="Tahoma" w:hAnsi="Tahoma" w:cs="Tahoma"/>
      <w:sz w:val="16"/>
      <w:szCs w:val="16"/>
      <w:lang w:val="uk-UA"/>
    </w:rPr>
  </w:style>
  <w:style w:type="paragraph" w:customStyle="1" w:styleId="Normal1">
    <w:name w:val="Normal1"/>
    <w:basedOn w:val="Normal"/>
    <w:rsid w:val="006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uiPriority w:val="99"/>
    <w:unhideWhenUsed/>
    <w:rsid w:val="006B7A8A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D7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D7"/>
    <w:rPr>
      <w:lang w:val="uk-UA"/>
    </w:rPr>
  </w:style>
  <w:style w:type="paragraph" w:customStyle="1" w:styleId="Style15">
    <w:name w:val="Style15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customStyle="1" w:styleId="FontStyle32">
    <w:name w:val="Font Style32"/>
    <w:basedOn w:val="DefaultParagraphFont"/>
    <w:uiPriority w:val="99"/>
    <w:rsid w:val="00677AD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677A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2">
    <w:name w:val="Style12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7">
    <w:name w:val="Style17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8">
    <w:name w:val="Style1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9">
    <w:name w:val="Style9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5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styleId="Hyperlink">
    <w:name w:val="Hyperlink"/>
    <w:uiPriority w:val="99"/>
    <w:unhideWhenUsed/>
    <w:rsid w:val="00E50A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F49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49D5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78"/>
    <w:rPr>
      <w:rFonts w:ascii="Tahoma" w:hAnsi="Tahoma" w:cs="Tahoma"/>
      <w:sz w:val="16"/>
      <w:szCs w:val="16"/>
      <w:lang w:val="uk-UA"/>
    </w:rPr>
  </w:style>
  <w:style w:type="paragraph" w:customStyle="1" w:styleId="Normal1">
    <w:name w:val="Normal1"/>
    <w:basedOn w:val="Normal"/>
    <w:rsid w:val="006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Bullet">
    <w:name w:val="List Bullet"/>
    <w:basedOn w:val="Normal"/>
    <w:uiPriority w:val="99"/>
    <w:unhideWhenUsed/>
    <w:rsid w:val="006B7A8A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C591-6477-4782-9C43-F3BC333C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kbpsmsclicon PH/UA</dc:creator>
  <cp:lastModifiedBy>Tetiana Sytnyk</cp:lastModifiedBy>
  <cp:revision>3</cp:revision>
  <cp:lastPrinted>2016-06-13T08:26:00Z</cp:lastPrinted>
  <dcterms:created xsi:type="dcterms:W3CDTF">2016-07-05T07:48:00Z</dcterms:created>
  <dcterms:modified xsi:type="dcterms:W3CDTF">2016-07-05T08:01:00Z</dcterms:modified>
</cp:coreProperties>
</file>