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46" w:rsidRDefault="00975646" w:rsidP="0097564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Порівняльна таблиця </w:t>
      </w:r>
    </w:p>
    <w:p w:rsidR="00975646" w:rsidRDefault="00975646" w:rsidP="00975646">
      <w:pPr>
        <w:spacing w:after="0" w:line="240" w:lineRule="auto"/>
        <w:jc w:val="center"/>
        <w:rPr>
          <w:rFonts w:ascii="Times New Roman" w:hAnsi="Times New Roman" w:cs="Times New Roman"/>
          <w:b/>
          <w:sz w:val="26"/>
          <w:szCs w:val="26"/>
          <w:lang w:val="ru-RU"/>
        </w:rPr>
      </w:pPr>
      <w:r>
        <w:rPr>
          <w:rFonts w:ascii="Times New Roman" w:hAnsi="Times New Roman" w:cs="Times New Roman"/>
          <w:b/>
          <w:sz w:val="26"/>
          <w:szCs w:val="26"/>
        </w:rPr>
        <w:t xml:space="preserve">до проекту </w:t>
      </w:r>
      <w:r>
        <w:rPr>
          <w:rFonts w:ascii="Times New Roman" w:hAnsi="Times New Roman" w:cs="Times New Roman"/>
          <w:b/>
          <w:sz w:val="26"/>
          <w:szCs w:val="26"/>
          <w:lang w:val="ru-RU"/>
        </w:rPr>
        <w:t>Закону «Про ринок електрично</w:t>
      </w:r>
      <w:r>
        <w:rPr>
          <w:rFonts w:ascii="Times New Roman" w:hAnsi="Times New Roman" w:cs="Times New Roman"/>
          <w:b/>
          <w:sz w:val="26"/>
          <w:szCs w:val="26"/>
        </w:rPr>
        <w:t>ї енергії України</w:t>
      </w:r>
      <w:r>
        <w:rPr>
          <w:rFonts w:ascii="Times New Roman" w:hAnsi="Times New Roman" w:cs="Times New Roman"/>
          <w:b/>
          <w:sz w:val="26"/>
          <w:szCs w:val="26"/>
          <w:lang w:val="ru-RU"/>
        </w:rPr>
        <w:t>»</w:t>
      </w:r>
      <w:r>
        <w:rPr>
          <w:rFonts w:ascii="Times New Roman" w:hAnsi="Times New Roman" w:cs="Times New Roman"/>
          <w:b/>
          <w:sz w:val="26"/>
          <w:szCs w:val="26"/>
          <w:lang w:val="ru-RU" w:eastAsia="zh-CN"/>
        </w:rPr>
        <w:t xml:space="preserve"> </w:t>
      </w:r>
    </w:p>
    <w:p w:rsidR="00975646" w:rsidRDefault="00975646" w:rsidP="00975646">
      <w:pPr>
        <w:spacing w:after="0" w:line="240" w:lineRule="auto"/>
        <w:jc w:val="center"/>
        <w:rPr>
          <w:rFonts w:ascii="Times New Roman" w:hAnsi="Times New Roman" w:cs="Times New Roman"/>
          <w:sz w:val="26"/>
          <w:szCs w:val="26"/>
          <w:lang w:eastAsia="zh-CN"/>
        </w:rPr>
      </w:pPr>
      <w:r>
        <w:rPr>
          <w:rFonts w:ascii="Times New Roman" w:hAnsi="Times New Roman" w:cs="Times New Roman"/>
          <w:b/>
          <w:sz w:val="26"/>
          <w:szCs w:val="26"/>
          <w:lang w:eastAsia="zh-CN"/>
        </w:rPr>
        <w:t xml:space="preserve">(реєстраційний № </w:t>
      </w:r>
      <w:r>
        <w:rPr>
          <w:rFonts w:ascii="Times New Roman" w:hAnsi="Times New Roman" w:cs="Times New Roman"/>
          <w:b/>
          <w:color w:val="333333"/>
          <w:sz w:val="26"/>
          <w:szCs w:val="26"/>
          <w:shd w:val="clear" w:color="auto" w:fill="FFFFFF"/>
        </w:rPr>
        <w:t>4196 від 10.03.2016</w:t>
      </w:r>
      <w:r>
        <w:rPr>
          <w:rFonts w:ascii="Times New Roman" w:hAnsi="Times New Roman" w:cs="Times New Roman"/>
          <w:b/>
          <w:sz w:val="26"/>
          <w:szCs w:val="26"/>
          <w:lang w:eastAsia="zh-CN"/>
        </w:rPr>
        <w:t xml:space="preserve"> (надалі – Проект № 4196)</w:t>
      </w:r>
    </w:p>
    <w:p w:rsidR="00975646" w:rsidRDefault="00975646" w:rsidP="00975646">
      <w:pPr>
        <w:jc w:val="both"/>
        <w:rPr>
          <w:rFonts w:ascii="Times New Roman" w:hAnsi="Times New Roman" w:cs="Times New Roman"/>
          <w:sz w:val="26"/>
          <w:szCs w:val="26"/>
        </w:rPr>
      </w:pPr>
    </w:p>
    <w:tbl>
      <w:tblPr>
        <w:tblStyle w:val="a5"/>
        <w:tblW w:w="14992" w:type="dxa"/>
        <w:tblInd w:w="0" w:type="dxa"/>
        <w:tblLook w:val="04A0" w:firstRow="1" w:lastRow="0" w:firstColumn="1" w:lastColumn="0" w:noHBand="0" w:noVBand="1"/>
      </w:tblPr>
      <w:tblGrid>
        <w:gridCol w:w="7621"/>
        <w:gridCol w:w="7371"/>
      </w:tblGrid>
      <w:tr w:rsidR="00975646" w:rsidTr="00975646">
        <w:trPr>
          <w:trHeight w:val="496"/>
        </w:trPr>
        <w:tc>
          <w:tcPr>
            <w:tcW w:w="7621" w:type="dxa"/>
            <w:tcBorders>
              <w:top w:val="single" w:sz="4" w:space="0" w:color="auto"/>
              <w:left w:val="single" w:sz="4" w:space="0" w:color="auto"/>
              <w:bottom w:val="single" w:sz="4" w:space="0" w:color="auto"/>
              <w:right w:val="single" w:sz="4" w:space="0" w:color="auto"/>
            </w:tcBorders>
            <w:hideMark/>
          </w:tcPr>
          <w:p w:rsidR="00975646" w:rsidRDefault="00975646">
            <w:pPr>
              <w:jc w:val="center"/>
              <w:rPr>
                <w:rFonts w:ascii="Times New Roman" w:hAnsi="Times New Roman" w:cs="Times New Roman"/>
                <w:b/>
                <w:sz w:val="26"/>
                <w:szCs w:val="26"/>
              </w:rPr>
            </w:pPr>
            <w:r>
              <w:rPr>
                <w:rFonts w:ascii="Times New Roman" w:hAnsi="Times New Roman" w:cs="Times New Roman"/>
                <w:b/>
                <w:sz w:val="26"/>
                <w:szCs w:val="26"/>
              </w:rPr>
              <w:t>Редакція Проекту № 4196</w:t>
            </w:r>
          </w:p>
        </w:tc>
        <w:tc>
          <w:tcPr>
            <w:tcW w:w="7371" w:type="dxa"/>
            <w:tcBorders>
              <w:top w:val="single" w:sz="4" w:space="0" w:color="auto"/>
              <w:left w:val="single" w:sz="4" w:space="0" w:color="auto"/>
              <w:bottom w:val="single" w:sz="4" w:space="0" w:color="auto"/>
              <w:right w:val="single" w:sz="4" w:space="0" w:color="auto"/>
            </w:tcBorders>
            <w:hideMark/>
          </w:tcPr>
          <w:p w:rsidR="00975646" w:rsidRDefault="00975646" w:rsidP="00C7329E">
            <w:pPr>
              <w:jc w:val="center"/>
              <w:rPr>
                <w:rFonts w:ascii="Times New Roman" w:hAnsi="Times New Roman" w:cs="Times New Roman"/>
                <w:b/>
                <w:sz w:val="26"/>
                <w:szCs w:val="26"/>
              </w:rPr>
            </w:pPr>
            <w:bookmarkStart w:id="0" w:name="_GoBack"/>
            <w:r w:rsidRPr="00C7329E">
              <w:rPr>
                <w:rFonts w:ascii="Times New Roman" w:hAnsi="Times New Roman" w:cs="Times New Roman"/>
                <w:b/>
                <w:color w:val="000000" w:themeColor="text1"/>
                <w:sz w:val="26"/>
                <w:szCs w:val="26"/>
              </w:rPr>
              <w:t>Пропозиції «</w:t>
            </w:r>
            <w:r w:rsidR="00C7329E" w:rsidRPr="00C7329E">
              <w:rPr>
                <w:rFonts w:ascii="Times New Roman" w:eastAsia="Calibri" w:hAnsi="Times New Roman" w:cs="Times New Roman"/>
                <w:b/>
                <w:sz w:val="26"/>
                <w:szCs w:val="26"/>
              </w:rPr>
              <w:t>Американськ</w:t>
            </w:r>
            <w:r w:rsidR="00C7329E" w:rsidRPr="00C7329E">
              <w:rPr>
                <w:rFonts w:ascii="Times New Roman" w:eastAsia="Calibri" w:hAnsi="Times New Roman" w:cs="Times New Roman"/>
                <w:b/>
                <w:sz w:val="26"/>
                <w:szCs w:val="26"/>
              </w:rPr>
              <w:t>ої</w:t>
            </w:r>
            <w:r w:rsidR="00C7329E" w:rsidRPr="00C7329E">
              <w:rPr>
                <w:rFonts w:ascii="Times New Roman" w:eastAsia="Calibri" w:hAnsi="Times New Roman" w:cs="Times New Roman"/>
                <w:b/>
                <w:sz w:val="26"/>
                <w:szCs w:val="26"/>
              </w:rPr>
              <w:t xml:space="preserve"> торгівельн</w:t>
            </w:r>
            <w:r w:rsidR="00C7329E" w:rsidRPr="00C7329E">
              <w:rPr>
                <w:rFonts w:ascii="Times New Roman" w:eastAsia="Calibri" w:hAnsi="Times New Roman" w:cs="Times New Roman"/>
                <w:b/>
                <w:sz w:val="26"/>
                <w:szCs w:val="26"/>
              </w:rPr>
              <w:t>ої</w:t>
            </w:r>
            <w:r w:rsidR="00C7329E" w:rsidRPr="00C7329E">
              <w:rPr>
                <w:rFonts w:ascii="Times New Roman" w:eastAsia="Calibri" w:hAnsi="Times New Roman" w:cs="Times New Roman"/>
                <w:b/>
                <w:sz w:val="26"/>
                <w:szCs w:val="26"/>
              </w:rPr>
              <w:t xml:space="preserve"> палат</w:t>
            </w:r>
            <w:r w:rsidR="00C7329E" w:rsidRPr="00C7329E">
              <w:rPr>
                <w:rFonts w:ascii="Times New Roman" w:eastAsia="Calibri" w:hAnsi="Times New Roman" w:cs="Times New Roman"/>
                <w:b/>
                <w:sz w:val="26"/>
                <w:szCs w:val="26"/>
              </w:rPr>
              <w:t>и</w:t>
            </w:r>
            <w:r w:rsidR="00C7329E" w:rsidRPr="00C7329E">
              <w:rPr>
                <w:rFonts w:ascii="Times New Roman" w:eastAsia="Calibri" w:hAnsi="Times New Roman" w:cs="Times New Roman"/>
                <w:b/>
                <w:sz w:val="26"/>
                <w:szCs w:val="26"/>
              </w:rPr>
              <w:t xml:space="preserve"> в Україні</w:t>
            </w:r>
            <w:r w:rsidRPr="00C7329E">
              <w:rPr>
                <w:rFonts w:ascii="Times New Roman" w:hAnsi="Times New Roman" w:cs="Times New Roman"/>
                <w:b/>
                <w:color w:val="000000" w:themeColor="text1"/>
                <w:sz w:val="26"/>
                <w:szCs w:val="26"/>
              </w:rPr>
              <w:t xml:space="preserve">» </w:t>
            </w:r>
            <w:proofErr w:type="gramStart"/>
            <w:r w:rsidRPr="00C7329E">
              <w:rPr>
                <w:rFonts w:ascii="Times New Roman" w:hAnsi="Times New Roman" w:cs="Times New Roman"/>
                <w:b/>
                <w:color w:val="000000" w:themeColor="text1"/>
                <w:sz w:val="26"/>
                <w:szCs w:val="26"/>
              </w:rPr>
              <w:t>до</w:t>
            </w:r>
            <w:proofErr w:type="gramEnd"/>
            <w:r w:rsidRPr="00C7329E">
              <w:rPr>
                <w:rFonts w:ascii="Times New Roman" w:hAnsi="Times New Roman" w:cs="Times New Roman"/>
                <w:b/>
                <w:color w:val="000000" w:themeColor="text1"/>
                <w:sz w:val="26"/>
                <w:szCs w:val="26"/>
              </w:rPr>
              <w:t xml:space="preserve"> </w:t>
            </w:r>
            <w:r w:rsidRPr="00C7329E">
              <w:rPr>
                <w:rFonts w:ascii="Times New Roman" w:hAnsi="Times New Roman" w:cs="Times New Roman"/>
                <w:b/>
                <w:sz w:val="26"/>
                <w:szCs w:val="26"/>
              </w:rPr>
              <w:t>Проекту</w:t>
            </w:r>
            <w:r>
              <w:rPr>
                <w:rFonts w:ascii="Times New Roman" w:hAnsi="Times New Roman" w:cs="Times New Roman"/>
                <w:b/>
                <w:sz w:val="26"/>
                <w:szCs w:val="26"/>
              </w:rPr>
              <w:t xml:space="preserve"> </w:t>
            </w:r>
            <w:bookmarkEnd w:id="0"/>
            <w:r>
              <w:rPr>
                <w:rFonts w:ascii="Times New Roman" w:hAnsi="Times New Roman" w:cs="Times New Roman"/>
                <w:b/>
                <w:sz w:val="26"/>
                <w:szCs w:val="26"/>
              </w:rPr>
              <w:t>№ 4196</w:t>
            </w:r>
          </w:p>
        </w:tc>
      </w:tr>
      <w:tr w:rsidR="00975646" w:rsidTr="00975646">
        <w:tc>
          <w:tcPr>
            <w:tcW w:w="7621" w:type="dxa"/>
            <w:tcBorders>
              <w:top w:val="single" w:sz="4" w:space="0" w:color="auto"/>
              <w:left w:val="single" w:sz="4" w:space="0" w:color="auto"/>
              <w:bottom w:val="single" w:sz="4" w:space="0" w:color="auto"/>
              <w:right w:val="single" w:sz="4" w:space="0" w:color="auto"/>
            </w:tcBorders>
          </w:tcPr>
          <w:p w:rsidR="00975646" w:rsidRDefault="00975646">
            <w:pPr>
              <w:pStyle w:val="a3"/>
              <w:ind w:left="-14" w:firstLine="14"/>
              <w:jc w:val="both"/>
              <w:rPr>
                <w:rFonts w:ascii="Times New Roman" w:hAnsi="Times New Roman" w:cs="Times New Roman"/>
                <w:b/>
                <w:bCs/>
                <w:color w:val="000000" w:themeColor="text1"/>
                <w:sz w:val="26"/>
                <w:szCs w:val="26"/>
                <w:lang w:eastAsia="en-US"/>
              </w:rPr>
            </w:pPr>
            <w:r>
              <w:rPr>
                <w:rFonts w:ascii="Times New Roman" w:hAnsi="Times New Roman" w:cs="Times New Roman"/>
                <w:b/>
                <w:bCs/>
                <w:color w:val="000000" w:themeColor="text1"/>
                <w:sz w:val="26"/>
                <w:szCs w:val="26"/>
                <w:lang w:eastAsia="en-US"/>
              </w:rPr>
              <w:t xml:space="preserve">Стаття 71. Особливості участі </w:t>
            </w:r>
            <w:proofErr w:type="gramStart"/>
            <w:r>
              <w:rPr>
                <w:rFonts w:ascii="Times New Roman" w:hAnsi="Times New Roman" w:cs="Times New Roman"/>
                <w:b/>
                <w:bCs/>
                <w:color w:val="000000" w:themeColor="text1"/>
                <w:sz w:val="26"/>
                <w:szCs w:val="26"/>
                <w:lang w:eastAsia="en-US"/>
              </w:rPr>
              <w:t>у</w:t>
            </w:r>
            <w:proofErr w:type="gramEnd"/>
            <w:r>
              <w:rPr>
                <w:rFonts w:ascii="Times New Roman" w:hAnsi="Times New Roman" w:cs="Times New Roman"/>
                <w:b/>
                <w:bCs/>
                <w:color w:val="000000" w:themeColor="text1"/>
                <w:sz w:val="26"/>
                <w:szCs w:val="26"/>
                <w:lang w:eastAsia="en-US"/>
              </w:rPr>
              <w:t xml:space="preserve"> ринку електричної енергії виробників електричної енергії, яким встановлено "зелений" тариф</w:t>
            </w:r>
          </w:p>
          <w:p w:rsidR="00975646" w:rsidRDefault="00975646" w:rsidP="00A50ED1">
            <w:pPr>
              <w:numPr>
                <w:ilvl w:val="0"/>
                <w:numId w:val="1"/>
              </w:numPr>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Електрична енергія, вироблена на об'єктах електроенергетики, що використовують відновлювані джерела енергії (а з використанням гідроенергії – вироблену лише мікр</w:t>
            </w:r>
            <w:proofErr w:type="gramStart"/>
            <w:r>
              <w:rPr>
                <w:rFonts w:ascii="Times New Roman" w:eastAsia="Times New Roman" w:hAnsi="Times New Roman" w:cs="Times New Roman"/>
                <w:sz w:val="26"/>
                <w:szCs w:val="26"/>
                <w:lang w:eastAsia="uk-UA"/>
              </w:rPr>
              <w:t>о-</w:t>
            </w:r>
            <w:proofErr w:type="gramEnd"/>
            <w:r>
              <w:rPr>
                <w:rFonts w:ascii="Times New Roman" w:eastAsia="Times New Roman" w:hAnsi="Times New Roman" w:cs="Times New Roman"/>
                <w:sz w:val="26"/>
                <w:szCs w:val="26"/>
                <w:lang w:eastAsia="uk-UA"/>
              </w:rPr>
              <w:t xml:space="preserve">, міні- та малими гідроелектростанціями), може бути продана її виробниками за двосторонніми договорами, на ринку "на добу наперед" та внутрішньодобовому ринку та на балансуючому ринку за цінами, що склалися на відповідних ринках, або за «зеленим» тарифом встановленим відповідно </w:t>
            </w:r>
            <w:proofErr w:type="gramStart"/>
            <w:r>
              <w:rPr>
                <w:rFonts w:ascii="Times New Roman" w:eastAsia="Times New Roman" w:hAnsi="Times New Roman" w:cs="Times New Roman"/>
                <w:sz w:val="26"/>
                <w:szCs w:val="26"/>
                <w:lang w:eastAsia="uk-UA"/>
              </w:rPr>
              <w:t>до</w:t>
            </w:r>
            <w:proofErr w:type="gramEnd"/>
            <w:r>
              <w:rPr>
                <w:rFonts w:ascii="Times New Roman" w:eastAsia="Times New Roman" w:hAnsi="Times New Roman" w:cs="Times New Roman"/>
                <w:sz w:val="26"/>
                <w:szCs w:val="26"/>
                <w:lang w:eastAsia="uk-UA"/>
              </w:rPr>
              <w:t xml:space="preserve"> закону.</w:t>
            </w:r>
          </w:p>
          <w:p w:rsidR="00975646" w:rsidRDefault="00975646">
            <w:pPr>
              <w:jc w:val="both"/>
              <w:rPr>
                <w:rFonts w:ascii="Times New Roman" w:eastAsia="Times New Roman" w:hAnsi="Times New Roman" w:cs="Times New Roman"/>
                <w:sz w:val="26"/>
                <w:szCs w:val="26"/>
                <w:lang w:eastAsia="uk-UA"/>
              </w:rPr>
            </w:pPr>
          </w:p>
          <w:p w:rsidR="00975646" w:rsidRDefault="00975646">
            <w:pPr>
              <w:jc w:val="both"/>
              <w:rPr>
                <w:rFonts w:ascii="Times New Roman" w:eastAsia="Times New Roman" w:hAnsi="Times New Roman" w:cs="Times New Roman"/>
                <w:sz w:val="26"/>
                <w:szCs w:val="26"/>
                <w:lang w:eastAsia="uk-UA"/>
              </w:rPr>
            </w:pPr>
          </w:p>
          <w:p w:rsidR="00975646" w:rsidRDefault="00975646" w:rsidP="00A50ED1">
            <w:pPr>
              <w:pStyle w:val="a3"/>
              <w:numPr>
                <w:ilvl w:val="0"/>
                <w:numId w:val="2"/>
              </w:numPr>
              <w:ind w:left="0"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відновлювальні джерела енергії (а з використанням гідроенергії – вироблену лише мікр</w:t>
            </w:r>
            <w:proofErr w:type="gramStart"/>
            <w:r>
              <w:rPr>
                <w:rFonts w:ascii="Times New Roman" w:hAnsi="Times New Roman" w:cs="Times New Roman"/>
                <w:sz w:val="26"/>
                <w:szCs w:val="26"/>
                <w:lang w:eastAsia="en-US"/>
              </w:rPr>
              <w:t>о-</w:t>
            </w:r>
            <w:proofErr w:type="gramEnd"/>
            <w:r>
              <w:rPr>
                <w:rFonts w:ascii="Times New Roman" w:hAnsi="Times New Roman" w:cs="Times New Roman"/>
                <w:sz w:val="26"/>
                <w:szCs w:val="26"/>
                <w:lang w:eastAsia="en-US"/>
              </w:rPr>
              <w:t>, міні- та малими гідроелектростанціями), за "зеленим" тарифом з урахуванням надбавки до нього гарантованому покупцю відповідно до цього Закону.</w:t>
            </w: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t xml:space="preserve">3. </w:t>
            </w:r>
            <w:proofErr w:type="gramStart"/>
            <w:r>
              <w:rPr>
                <w:rFonts w:ascii="Times New Roman" w:hAnsi="Times New Roman" w:cs="Times New Roman"/>
                <w:bCs/>
                <w:color w:val="000000" w:themeColor="text1"/>
                <w:sz w:val="26"/>
                <w:szCs w:val="26"/>
                <w:lang w:eastAsia="en-US"/>
              </w:rPr>
              <w:t>З</w:t>
            </w:r>
            <w:proofErr w:type="gramEnd"/>
            <w:r>
              <w:rPr>
                <w:rFonts w:ascii="Times New Roman" w:hAnsi="Times New Roman" w:cs="Times New Roman"/>
                <w:bCs/>
                <w:color w:val="000000" w:themeColor="text1"/>
                <w:sz w:val="26"/>
                <w:szCs w:val="26"/>
                <w:lang w:eastAsia="en-US"/>
              </w:rPr>
              <w:t xml:space="preserve"> цією метою такі виробники зобов'язані:</w:t>
            </w:r>
          </w:p>
          <w:p w:rsidR="00975646" w:rsidRDefault="00975646">
            <w:pPr>
              <w:pStyle w:val="a3"/>
              <w:ind w:left="-14" w:firstLine="14"/>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lastRenderedPageBreak/>
              <w:t>1) стати учасником ринку у порядку, визначеному цим Законом;</w:t>
            </w:r>
          </w:p>
          <w:p w:rsidR="00975646" w:rsidRDefault="00975646">
            <w:pPr>
              <w:pStyle w:val="a3"/>
              <w:ind w:left="-14" w:firstLine="14"/>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t>2) укласти з гарантованим покупцем двосторонній догові</w:t>
            </w:r>
            <w:proofErr w:type="gramStart"/>
            <w:r>
              <w:rPr>
                <w:rFonts w:ascii="Times New Roman" w:hAnsi="Times New Roman" w:cs="Times New Roman"/>
                <w:bCs/>
                <w:color w:val="000000" w:themeColor="text1"/>
                <w:sz w:val="26"/>
                <w:szCs w:val="26"/>
                <w:lang w:eastAsia="en-US"/>
              </w:rPr>
              <w:t>р</w:t>
            </w:r>
            <w:proofErr w:type="gramEnd"/>
            <w:r>
              <w:rPr>
                <w:rFonts w:ascii="Times New Roman" w:hAnsi="Times New Roman" w:cs="Times New Roman"/>
                <w:bCs/>
                <w:color w:val="000000" w:themeColor="text1"/>
                <w:sz w:val="26"/>
                <w:szCs w:val="26"/>
                <w:lang w:eastAsia="en-US"/>
              </w:rPr>
              <w:t xml:space="preserve"> за типовою формою договору купівлі-продажу електричної енергії за "зеленим" тарифом та увійти на підставі цього договору до складу балансуючої групи виробників за «зеленим» тарифом;</w:t>
            </w:r>
          </w:p>
          <w:p w:rsidR="00975646" w:rsidRDefault="00975646">
            <w:pPr>
              <w:pStyle w:val="a3"/>
              <w:ind w:left="-14" w:firstLine="14"/>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t>3) щодобово подавати гарантованому покупцю свої добові графіки відпуску електричної енергії на наступну добу у порядку та у формі, визначеними у двосторонньому договорі з гарантованим покупцем.</w:t>
            </w: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Pr="00BA6AE7" w:rsidRDefault="00975646" w:rsidP="00A2432A">
            <w:pPr>
              <w:jc w:val="both"/>
              <w:rPr>
                <w:rFonts w:ascii="Times New Roman" w:hAnsi="Times New Roman" w:cs="Times New Roman"/>
                <w:bCs/>
                <w:color w:val="000000" w:themeColor="text1"/>
                <w:sz w:val="26"/>
                <w:szCs w:val="26"/>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jc w:val="both"/>
              <w:rPr>
                <w:rFonts w:ascii="Times New Roman" w:hAnsi="Times New Roman" w:cs="Times New Roman"/>
                <w:bCs/>
                <w:color w:val="000000" w:themeColor="text1"/>
                <w:sz w:val="26"/>
                <w:szCs w:val="26"/>
              </w:rPr>
            </w:pPr>
          </w:p>
          <w:p w:rsidR="00975646" w:rsidRDefault="00975646">
            <w:pPr>
              <w:jc w:val="both"/>
              <w:rPr>
                <w:rFonts w:ascii="Times New Roman" w:hAnsi="Times New Roman" w:cs="Times New Roman"/>
                <w:bCs/>
                <w:color w:val="000000" w:themeColor="text1"/>
                <w:sz w:val="26"/>
                <w:szCs w:val="26"/>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t xml:space="preserve">4. За відхилення фактичних обсягів </w:t>
            </w:r>
            <w:proofErr w:type="gramStart"/>
            <w:r>
              <w:rPr>
                <w:rFonts w:ascii="Times New Roman" w:hAnsi="Times New Roman" w:cs="Times New Roman"/>
                <w:bCs/>
                <w:color w:val="000000" w:themeColor="text1"/>
                <w:sz w:val="26"/>
                <w:szCs w:val="26"/>
                <w:lang w:eastAsia="en-US"/>
              </w:rPr>
              <w:t>в</w:t>
            </w:r>
            <w:proofErr w:type="gramEnd"/>
            <w:r>
              <w:rPr>
                <w:rFonts w:ascii="Times New Roman" w:hAnsi="Times New Roman" w:cs="Times New Roman"/>
                <w:bCs/>
                <w:color w:val="000000" w:themeColor="text1"/>
                <w:sz w:val="26"/>
                <w:szCs w:val="26"/>
                <w:lang w:eastAsia="en-US"/>
              </w:rPr>
              <w:t xml:space="preserve">ідпуску електричної енергії виробників за «зеленим» тарифом від  їх добових графіків відпуску електричної енергії виробниками, які входять до складу </w:t>
            </w:r>
            <w:r>
              <w:rPr>
                <w:rFonts w:ascii="Times New Roman" w:hAnsi="Times New Roman" w:cs="Times New Roman"/>
                <w:bCs/>
                <w:color w:val="000000" w:themeColor="text1"/>
                <w:sz w:val="26"/>
                <w:szCs w:val="26"/>
                <w:lang w:eastAsia="en-US"/>
              </w:rPr>
              <w:lastRenderedPageBreak/>
              <w:t>балансуючої групи виробників за "зеленим" тарифом, відшкодовується частка вартості врегулювання небалансу електричної енергії гарантованого покупця відповідно до правил функціонування балансуючої групи виробників за "зеленим" тарифом.</w:t>
            </w: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pStyle w:val="a3"/>
              <w:ind w:left="-14" w:firstLine="14"/>
              <w:jc w:val="both"/>
              <w:rPr>
                <w:rFonts w:ascii="Times New Roman" w:hAnsi="Times New Roman" w:cs="Times New Roman"/>
                <w:bCs/>
                <w:color w:val="000000" w:themeColor="text1"/>
                <w:sz w:val="26"/>
                <w:szCs w:val="26"/>
                <w:lang w:eastAsia="en-US"/>
              </w:rPr>
            </w:pPr>
          </w:p>
          <w:p w:rsidR="00975646" w:rsidRDefault="00975646">
            <w:pPr>
              <w:spacing w:afterLines="150" w:after="360"/>
              <w:jc w:val="both"/>
              <w:rPr>
                <w:rFonts w:ascii="Times New Roman" w:eastAsia="Times New Roman" w:hAnsi="Times New Roman" w:cs="Times New Roman"/>
                <w:color w:val="000000" w:themeColor="text1"/>
                <w:sz w:val="26"/>
                <w:szCs w:val="26"/>
                <w:lang w:eastAsia="uk-UA"/>
              </w:rPr>
            </w:pPr>
          </w:p>
        </w:tc>
        <w:tc>
          <w:tcPr>
            <w:tcW w:w="7371" w:type="dxa"/>
            <w:tcBorders>
              <w:top w:val="single" w:sz="4" w:space="0" w:color="auto"/>
              <w:left w:val="single" w:sz="4" w:space="0" w:color="auto"/>
              <w:bottom w:val="single" w:sz="4" w:space="0" w:color="auto"/>
              <w:right w:val="single" w:sz="4" w:space="0" w:color="auto"/>
            </w:tcBorders>
          </w:tcPr>
          <w:p w:rsidR="00975646" w:rsidRDefault="00975646">
            <w:pPr>
              <w:pStyle w:val="a3"/>
              <w:ind w:left="0"/>
              <w:jc w:val="both"/>
              <w:rPr>
                <w:rFonts w:ascii="Times New Roman" w:hAnsi="Times New Roman" w:cs="Times New Roman"/>
                <w:b/>
                <w:bCs/>
                <w:color w:val="000000" w:themeColor="text1"/>
                <w:sz w:val="26"/>
                <w:szCs w:val="26"/>
                <w:lang w:eastAsia="en-US"/>
              </w:rPr>
            </w:pPr>
            <w:r>
              <w:rPr>
                <w:rFonts w:ascii="Times New Roman" w:hAnsi="Times New Roman" w:cs="Times New Roman"/>
                <w:b/>
                <w:bCs/>
                <w:color w:val="000000" w:themeColor="text1"/>
                <w:sz w:val="26"/>
                <w:szCs w:val="26"/>
                <w:lang w:eastAsia="en-US"/>
              </w:rPr>
              <w:lastRenderedPageBreak/>
              <w:t xml:space="preserve">Стаття 71. Особливості участі </w:t>
            </w:r>
            <w:proofErr w:type="gramStart"/>
            <w:r>
              <w:rPr>
                <w:rFonts w:ascii="Times New Roman" w:hAnsi="Times New Roman" w:cs="Times New Roman"/>
                <w:b/>
                <w:bCs/>
                <w:color w:val="000000" w:themeColor="text1"/>
                <w:sz w:val="26"/>
                <w:szCs w:val="26"/>
                <w:lang w:eastAsia="en-US"/>
              </w:rPr>
              <w:t>у</w:t>
            </w:r>
            <w:proofErr w:type="gramEnd"/>
            <w:r>
              <w:rPr>
                <w:rFonts w:ascii="Times New Roman" w:hAnsi="Times New Roman" w:cs="Times New Roman"/>
                <w:b/>
                <w:bCs/>
                <w:color w:val="000000" w:themeColor="text1"/>
                <w:sz w:val="26"/>
                <w:szCs w:val="26"/>
                <w:lang w:eastAsia="en-US"/>
              </w:rPr>
              <w:t xml:space="preserve"> ринку електричної енергії виробників електричної енергії, яким встановлено "зелений" тариф</w:t>
            </w:r>
          </w:p>
          <w:p w:rsidR="00975646" w:rsidRDefault="00975646" w:rsidP="00A50ED1">
            <w:pPr>
              <w:numPr>
                <w:ilvl w:val="0"/>
                <w:numId w:val="3"/>
              </w:numPr>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Електрична енергія, вироблена на об'єктах електроенергетики, що використовують відновлювані джерела енергії (а з використанням гідроенергії – вироблену лише мікр</w:t>
            </w:r>
            <w:proofErr w:type="gramStart"/>
            <w:r>
              <w:rPr>
                <w:rFonts w:ascii="Times New Roman" w:eastAsia="Times New Roman" w:hAnsi="Times New Roman" w:cs="Times New Roman"/>
                <w:sz w:val="26"/>
                <w:szCs w:val="26"/>
                <w:lang w:eastAsia="uk-UA"/>
              </w:rPr>
              <w:t>о-</w:t>
            </w:r>
            <w:proofErr w:type="gramEnd"/>
            <w:r>
              <w:rPr>
                <w:rFonts w:ascii="Times New Roman" w:eastAsia="Times New Roman" w:hAnsi="Times New Roman" w:cs="Times New Roman"/>
                <w:sz w:val="26"/>
                <w:szCs w:val="26"/>
                <w:lang w:eastAsia="uk-UA"/>
              </w:rPr>
              <w:t xml:space="preserve">, міні- та малими гідроелектростанціями), може бути продана її виробниками за двосторонніми договорами, на ринку "на добу наперед" та внутрішньодобовому ринку та на балансуючому ринку за цінами, що склалися на відповідних ринках, або за «зеленим» тарифом встановленим відповідно </w:t>
            </w:r>
            <w:proofErr w:type="gramStart"/>
            <w:r>
              <w:rPr>
                <w:rFonts w:ascii="Times New Roman" w:eastAsia="Times New Roman" w:hAnsi="Times New Roman" w:cs="Times New Roman"/>
                <w:sz w:val="26"/>
                <w:szCs w:val="26"/>
                <w:lang w:eastAsia="uk-UA"/>
              </w:rPr>
              <w:t>до</w:t>
            </w:r>
            <w:proofErr w:type="gramEnd"/>
            <w:r>
              <w:rPr>
                <w:rFonts w:ascii="Times New Roman" w:eastAsia="Times New Roman" w:hAnsi="Times New Roman" w:cs="Times New Roman"/>
                <w:sz w:val="26"/>
                <w:szCs w:val="26"/>
                <w:lang w:eastAsia="uk-UA"/>
              </w:rPr>
              <w:t xml:space="preserve"> закону.</w:t>
            </w:r>
          </w:p>
          <w:p w:rsidR="00975646" w:rsidRDefault="00975646">
            <w:pPr>
              <w:pStyle w:val="a3"/>
              <w:ind w:left="0"/>
              <w:jc w:val="both"/>
              <w:rPr>
                <w:rFonts w:ascii="Times New Roman" w:hAnsi="Times New Roman" w:cs="Times New Roman"/>
                <w:bCs/>
                <w:color w:val="000000" w:themeColor="text1"/>
                <w:sz w:val="26"/>
                <w:szCs w:val="26"/>
                <w:lang w:eastAsia="en-US"/>
              </w:rPr>
            </w:pPr>
          </w:p>
          <w:p w:rsidR="00975646" w:rsidRDefault="00975646">
            <w:pPr>
              <w:pStyle w:val="a3"/>
              <w:ind w:left="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2. Виробники електричної енергії, яким встановлено "зелений" тариф, </w:t>
            </w:r>
            <w:r>
              <w:rPr>
                <w:rFonts w:ascii="Times New Roman" w:hAnsi="Times New Roman" w:cs="Times New Roman"/>
                <w:b/>
                <w:sz w:val="26"/>
                <w:szCs w:val="26"/>
                <w:lang w:eastAsia="en-US"/>
              </w:rPr>
              <w:t>та/або</w:t>
            </w:r>
            <w:r>
              <w:rPr>
                <w:rFonts w:ascii="Times New Roman" w:hAnsi="Times New Roman" w:cs="Times New Roman"/>
                <w:sz w:val="26"/>
                <w:szCs w:val="26"/>
                <w:lang w:eastAsia="en-US"/>
              </w:rPr>
              <w:t xml:space="preserve"> </w:t>
            </w:r>
            <w:r>
              <w:rPr>
                <w:rFonts w:ascii="Times New Roman" w:hAnsi="Times New Roman" w:cs="Times New Roman"/>
                <w:b/>
                <w:bCs/>
                <w:color w:val="000000" w:themeColor="text1"/>
                <w:sz w:val="26"/>
                <w:szCs w:val="26"/>
                <w:lang w:eastAsia="en-US"/>
              </w:rPr>
              <w:t>сторона, відповідальна за баланс балансуючої групи виробників за «зеленим» тарифом, створеної згідно з пунктами 5-7 цієї статті</w:t>
            </w:r>
            <w:r>
              <w:rPr>
                <w:rFonts w:ascii="Times New Roman" w:hAnsi="Times New Roman" w:cs="Times New Roman"/>
                <w:b/>
                <w:bCs/>
                <w:i/>
                <w:color w:val="000000" w:themeColor="text1"/>
                <w:sz w:val="26"/>
                <w:szCs w:val="26"/>
                <w:lang w:eastAsia="en-US"/>
              </w:rPr>
              <w:t>,</w:t>
            </w:r>
            <w:r>
              <w:rPr>
                <w:rFonts w:ascii="Times New Roman" w:hAnsi="Times New Roman" w:cs="Times New Roman"/>
                <w:sz w:val="26"/>
                <w:szCs w:val="26"/>
                <w:lang w:eastAsia="en-US"/>
              </w:rPr>
              <w:t xml:space="preserve"> мають право продати електричну енергію, вироблену на об'єктах електроенергетики, що використовують відновлювальні джерела енергії (а з використанням гідроенергії – вироблену лише мікр</w:t>
            </w:r>
            <w:proofErr w:type="gramStart"/>
            <w:r>
              <w:rPr>
                <w:rFonts w:ascii="Times New Roman" w:hAnsi="Times New Roman" w:cs="Times New Roman"/>
                <w:sz w:val="26"/>
                <w:szCs w:val="26"/>
                <w:lang w:eastAsia="en-US"/>
              </w:rPr>
              <w:t>о-</w:t>
            </w:r>
            <w:proofErr w:type="gramEnd"/>
            <w:r>
              <w:rPr>
                <w:rFonts w:ascii="Times New Roman" w:hAnsi="Times New Roman" w:cs="Times New Roman"/>
                <w:sz w:val="26"/>
                <w:szCs w:val="26"/>
                <w:lang w:eastAsia="en-US"/>
              </w:rPr>
              <w:t xml:space="preserve">, міні- та малими </w:t>
            </w:r>
            <w:proofErr w:type="gramStart"/>
            <w:r>
              <w:rPr>
                <w:rFonts w:ascii="Times New Roman" w:hAnsi="Times New Roman" w:cs="Times New Roman"/>
                <w:sz w:val="26"/>
                <w:szCs w:val="26"/>
                <w:lang w:eastAsia="en-US"/>
              </w:rPr>
              <w:t>г</w:t>
            </w:r>
            <w:proofErr w:type="gramEnd"/>
            <w:r>
              <w:rPr>
                <w:rFonts w:ascii="Times New Roman" w:hAnsi="Times New Roman" w:cs="Times New Roman"/>
                <w:sz w:val="26"/>
                <w:szCs w:val="26"/>
                <w:lang w:eastAsia="en-US"/>
              </w:rPr>
              <w:t>ідроелектростанціями), за "зеленим" тарифом з урахуванням надбавки до нього гарантованому покупцю відповідно до цього Закону.</w:t>
            </w:r>
          </w:p>
          <w:p w:rsidR="00975646" w:rsidRDefault="00975646">
            <w:pPr>
              <w:pStyle w:val="a3"/>
              <w:ind w:left="0"/>
              <w:jc w:val="both"/>
              <w:rPr>
                <w:rFonts w:ascii="Times New Roman" w:hAnsi="Times New Roman" w:cs="Times New Roman"/>
                <w:bCs/>
                <w:color w:val="000000" w:themeColor="text1"/>
                <w:sz w:val="26"/>
                <w:szCs w:val="26"/>
                <w:lang w:eastAsia="en-US"/>
              </w:rPr>
            </w:pPr>
          </w:p>
          <w:p w:rsidR="00975646" w:rsidRDefault="00975646">
            <w:pPr>
              <w:pStyle w:val="a3"/>
              <w:ind w:left="0"/>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t xml:space="preserve">3. </w:t>
            </w:r>
            <w:proofErr w:type="gramStart"/>
            <w:r>
              <w:rPr>
                <w:rFonts w:ascii="Times New Roman" w:hAnsi="Times New Roman" w:cs="Times New Roman"/>
                <w:bCs/>
                <w:color w:val="000000" w:themeColor="text1"/>
                <w:sz w:val="26"/>
                <w:szCs w:val="26"/>
                <w:lang w:eastAsia="en-US"/>
              </w:rPr>
              <w:t>З</w:t>
            </w:r>
            <w:proofErr w:type="gramEnd"/>
            <w:r>
              <w:rPr>
                <w:rFonts w:ascii="Times New Roman" w:hAnsi="Times New Roman" w:cs="Times New Roman"/>
                <w:bCs/>
                <w:color w:val="000000" w:themeColor="text1"/>
                <w:sz w:val="26"/>
                <w:szCs w:val="26"/>
                <w:lang w:eastAsia="en-US"/>
              </w:rPr>
              <w:t xml:space="preserve"> цією метою такі виробники </w:t>
            </w:r>
            <w:r>
              <w:rPr>
                <w:rFonts w:ascii="Times New Roman" w:hAnsi="Times New Roman" w:cs="Times New Roman"/>
                <w:b/>
                <w:bCs/>
                <w:color w:val="000000" w:themeColor="text1"/>
                <w:sz w:val="26"/>
                <w:szCs w:val="26"/>
                <w:lang w:eastAsia="en-US"/>
              </w:rPr>
              <w:t xml:space="preserve">або сторона, відповідальна за </w:t>
            </w:r>
            <w:r>
              <w:rPr>
                <w:rFonts w:ascii="Times New Roman" w:hAnsi="Times New Roman" w:cs="Times New Roman"/>
                <w:b/>
                <w:bCs/>
                <w:color w:val="000000" w:themeColor="text1"/>
                <w:sz w:val="26"/>
                <w:szCs w:val="26"/>
                <w:lang w:eastAsia="en-US"/>
              </w:rPr>
              <w:lastRenderedPageBreak/>
              <w:t>баланс балансуючої групи виробників за «зеленим» тарифом, створеної згідно з пунктами 5-7 цієї статті,</w:t>
            </w:r>
            <w:r>
              <w:rPr>
                <w:rFonts w:ascii="Times New Roman" w:hAnsi="Times New Roman" w:cs="Times New Roman"/>
                <w:b/>
                <w:bCs/>
                <w:i/>
                <w:color w:val="000000" w:themeColor="text1"/>
                <w:sz w:val="26"/>
                <w:szCs w:val="26"/>
                <w:lang w:eastAsia="en-US"/>
              </w:rPr>
              <w:t xml:space="preserve"> </w:t>
            </w:r>
            <w:r>
              <w:rPr>
                <w:rFonts w:ascii="Times New Roman" w:hAnsi="Times New Roman" w:cs="Times New Roman"/>
                <w:bCs/>
                <w:color w:val="000000" w:themeColor="text1"/>
                <w:sz w:val="26"/>
                <w:szCs w:val="26"/>
                <w:lang w:eastAsia="en-US"/>
              </w:rPr>
              <w:t xml:space="preserve"> зобов'язані:</w:t>
            </w:r>
          </w:p>
          <w:p w:rsidR="00975646" w:rsidRDefault="00975646">
            <w:pPr>
              <w:pStyle w:val="a3"/>
              <w:ind w:left="0"/>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t>1) стати учасником ринку у порядку, визначеному цим Законом;</w:t>
            </w:r>
          </w:p>
          <w:p w:rsidR="00975646" w:rsidRDefault="00975646">
            <w:pPr>
              <w:pStyle w:val="a3"/>
              <w:ind w:left="0"/>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t>2) укласти з гарантованим покупцем двосторонній догові</w:t>
            </w:r>
            <w:proofErr w:type="gramStart"/>
            <w:r>
              <w:rPr>
                <w:rFonts w:ascii="Times New Roman" w:hAnsi="Times New Roman" w:cs="Times New Roman"/>
                <w:bCs/>
                <w:color w:val="000000" w:themeColor="text1"/>
                <w:sz w:val="26"/>
                <w:szCs w:val="26"/>
                <w:lang w:eastAsia="en-US"/>
              </w:rPr>
              <w:t>р</w:t>
            </w:r>
            <w:proofErr w:type="gramEnd"/>
            <w:r>
              <w:rPr>
                <w:rFonts w:ascii="Times New Roman" w:hAnsi="Times New Roman" w:cs="Times New Roman"/>
                <w:bCs/>
                <w:color w:val="000000" w:themeColor="text1"/>
                <w:sz w:val="26"/>
                <w:szCs w:val="26"/>
                <w:lang w:eastAsia="en-US"/>
              </w:rPr>
              <w:t xml:space="preserve"> за типовою формою договору купівлі-продажу електричної енергії та увійти на підставі цього договору до складу балансуючої групи виробників за «зеленим» тарифом;</w:t>
            </w:r>
          </w:p>
          <w:p w:rsidR="00975646" w:rsidRDefault="00975646">
            <w:pPr>
              <w:pStyle w:val="a3"/>
              <w:ind w:left="0"/>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t>3) щодобово подавати гарантованому покупцю свої добові графіки відпуску електричної енергії на наступну добу у порядку та у формі, визначеними у двосторонньому договорі з гарантованим покупцем.</w:t>
            </w:r>
          </w:p>
          <w:p w:rsidR="00975646" w:rsidRDefault="00975646">
            <w:pPr>
              <w:pStyle w:val="a3"/>
              <w:ind w:left="0"/>
              <w:jc w:val="both"/>
              <w:rPr>
                <w:rFonts w:ascii="Times New Roman" w:hAnsi="Times New Roman" w:cs="Times New Roman"/>
                <w:bCs/>
                <w:color w:val="000000" w:themeColor="text1"/>
                <w:sz w:val="26"/>
                <w:szCs w:val="26"/>
                <w:lang w:eastAsia="en-US"/>
              </w:rPr>
            </w:pPr>
          </w:p>
          <w:p w:rsidR="00975646" w:rsidRDefault="00975646">
            <w:pPr>
              <w:jc w:val="both"/>
              <w:rPr>
                <w:rFonts w:ascii="Times New Roman" w:hAnsi="Times New Roman" w:cs="Times New Roman"/>
                <w:bCs/>
                <w:sz w:val="26"/>
                <w:szCs w:val="26"/>
              </w:rPr>
            </w:pPr>
          </w:p>
          <w:p w:rsidR="00975646" w:rsidRDefault="000C0D0E">
            <w:pPr>
              <w:jc w:val="both"/>
              <w:rPr>
                <w:rFonts w:ascii="Times New Roman" w:hAnsi="Times New Roman" w:cs="Times New Roman"/>
                <w:b/>
                <w:bCs/>
                <w:sz w:val="26"/>
                <w:szCs w:val="26"/>
              </w:rPr>
            </w:pPr>
            <w:r>
              <w:rPr>
                <w:rFonts w:ascii="Times New Roman" w:hAnsi="Times New Roman" w:cs="Times New Roman"/>
                <w:b/>
                <w:bCs/>
                <w:sz w:val="26"/>
                <w:szCs w:val="26"/>
              </w:rPr>
              <w:t>За бажа</w:t>
            </w:r>
            <w:r w:rsidR="00894208">
              <w:rPr>
                <w:rFonts w:ascii="Times New Roman" w:hAnsi="Times New Roman" w:cs="Times New Roman"/>
                <w:b/>
                <w:bCs/>
                <w:sz w:val="26"/>
                <w:szCs w:val="26"/>
              </w:rPr>
              <w:t>нням</w:t>
            </w:r>
            <w:r w:rsidR="00975646">
              <w:rPr>
                <w:rFonts w:ascii="Times New Roman" w:hAnsi="Times New Roman" w:cs="Times New Roman"/>
                <w:b/>
                <w:bCs/>
                <w:sz w:val="26"/>
                <w:szCs w:val="26"/>
              </w:rPr>
              <w:t xml:space="preserve"> суб'єктів господарювання, які мають намі</w:t>
            </w:r>
            <w:proofErr w:type="gramStart"/>
            <w:r w:rsidR="00975646">
              <w:rPr>
                <w:rFonts w:ascii="Times New Roman" w:hAnsi="Times New Roman" w:cs="Times New Roman"/>
                <w:b/>
                <w:bCs/>
                <w:sz w:val="26"/>
                <w:szCs w:val="26"/>
              </w:rPr>
              <w:t>р</w:t>
            </w:r>
            <w:proofErr w:type="gramEnd"/>
            <w:r w:rsidR="00975646">
              <w:rPr>
                <w:rFonts w:ascii="Times New Roman" w:hAnsi="Times New Roman" w:cs="Times New Roman"/>
                <w:b/>
                <w:bCs/>
                <w:sz w:val="26"/>
                <w:szCs w:val="26"/>
              </w:rPr>
              <w:t xml:space="preserve">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електричної енергії зобов’язаний укласти договір купівлі-продажу електричної енергії </w:t>
            </w:r>
            <w:r w:rsidR="007F6E00">
              <w:rPr>
                <w:rFonts w:ascii="Times New Roman" w:hAnsi="Times New Roman" w:cs="Times New Roman"/>
                <w:b/>
                <w:bCs/>
                <w:sz w:val="26"/>
                <w:szCs w:val="26"/>
              </w:rPr>
              <w:t>у будь</w:t>
            </w:r>
            <w:r w:rsidR="00345A76">
              <w:rPr>
                <w:rFonts w:ascii="Times New Roman" w:hAnsi="Times New Roman" w:cs="Times New Roman"/>
                <w:b/>
                <w:bCs/>
                <w:sz w:val="26"/>
                <w:szCs w:val="26"/>
              </w:rPr>
              <w:t xml:space="preserve"> </w:t>
            </w:r>
            <w:r w:rsidR="007F6E00">
              <w:rPr>
                <w:rFonts w:ascii="Times New Roman" w:hAnsi="Times New Roman" w:cs="Times New Roman"/>
                <w:b/>
                <w:bCs/>
                <w:sz w:val="26"/>
                <w:szCs w:val="26"/>
              </w:rPr>
              <w:t xml:space="preserve">- який момент </w:t>
            </w:r>
            <w:r w:rsidR="00975646">
              <w:rPr>
                <w:rFonts w:ascii="Times New Roman" w:hAnsi="Times New Roman" w:cs="Times New Roman"/>
                <w:b/>
                <w:bCs/>
                <w:sz w:val="26"/>
                <w:szCs w:val="26"/>
              </w:rPr>
              <w:t xml:space="preserve">до початку будівництва і введення в експлуатацію відповідних </w:t>
            </w:r>
            <w:r w:rsidR="00975646">
              <w:rPr>
                <w:rFonts w:ascii="Times New Roman" w:hAnsi="Times New Roman" w:cs="Times New Roman"/>
                <w:b/>
                <w:sz w:val="26"/>
                <w:szCs w:val="26"/>
              </w:rPr>
              <w:t xml:space="preserve">об'єктів електроенергетики з альтернативних джерел енергії </w:t>
            </w:r>
            <w:r w:rsidR="00975646">
              <w:rPr>
                <w:rFonts w:ascii="Times New Roman" w:hAnsi="Times New Roman" w:cs="Times New Roman"/>
                <w:b/>
                <w:sz w:val="26"/>
                <w:szCs w:val="26"/>
                <w:lang w:eastAsia="uk-UA"/>
              </w:rPr>
              <w:t>(</w:t>
            </w:r>
            <w:proofErr w:type="gramStart"/>
            <w:r w:rsidR="00975646">
              <w:rPr>
                <w:rFonts w:ascii="Times New Roman" w:hAnsi="Times New Roman" w:cs="Times New Roman"/>
                <w:b/>
                <w:sz w:val="26"/>
                <w:szCs w:val="26"/>
                <w:lang w:eastAsia="uk-UA"/>
              </w:rPr>
              <w:t>кр</w:t>
            </w:r>
            <w:proofErr w:type="gramEnd"/>
            <w:r w:rsidR="00975646">
              <w:rPr>
                <w:rFonts w:ascii="Times New Roman" w:hAnsi="Times New Roman" w:cs="Times New Roman"/>
                <w:b/>
                <w:sz w:val="26"/>
                <w:szCs w:val="26"/>
                <w:lang w:eastAsia="uk-UA"/>
              </w:rPr>
              <w:t>ім доменного та коксівного газів, а з використанням гідроенергії – лише мікро-, міні- та малими гідроелектростанціями)</w:t>
            </w:r>
            <w:r w:rsidR="00975646">
              <w:rPr>
                <w:rFonts w:ascii="Times New Roman" w:hAnsi="Times New Roman" w:cs="Times New Roman"/>
                <w:b/>
                <w:bCs/>
                <w:sz w:val="26"/>
                <w:szCs w:val="26"/>
              </w:rPr>
              <w:t xml:space="preserve"> і встановлення «зеленого» тарифу національною комісією, що здійснює державне регулювання у сферах енергетики та комунальних послуг</w:t>
            </w:r>
            <w:r w:rsidR="00345A76">
              <w:rPr>
                <w:rFonts w:ascii="Times New Roman" w:hAnsi="Times New Roman" w:cs="Times New Roman"/>
                <w:b/>
                <w:bCs/>
                <w:sz w:val="26"/>
                <w:szCs w:val="26"/>
              </w:rPr>
              <w:t>,</w:t>
            </w:r>
            <w:r w:rsidR="0098151C">
              <w:rPr>
                <w:rFonts w:ascii="Times New Roman" w:hAnsi="Times New Roman" w:cs="Times New Roman"/>
                <w:b/>
                <w:bCs/>
                <w:sz w:val="26"/>
                <w:szCs w:val="26"/>
              </w:rPr>
              <w:t xml:space="preserve"> </w:t>
            </w:r>
            <w:r w:rsidR="00AC6D93">
              <w:rPr>
                <w:rFonts w:ascii="Times New Roman" w:hAnsi="Times New Roman" w:cs="Times New Roman"/>
                <w:b/>
                <w:bCs/>
                <w:sz w:val="26"/>
                <w:szCs w:val="26"/>
              </w:rPr>
              <w:t>за умови наявності у</w:t>
            </w:r>
            <w:r w:rsidR="00975646">
              <w:rPr>
                <w:rFonts w:ascii="Times New Roman" w:hAnsi="Times New Roman" w:cs="Times New Roman"/>
                <w:b/>
                <w:bCs/>
                <w:sz w:val="26"/>
                <w:szCs w:val="26"/>
              </w:rPr>
              <w:t xml:space="preserve"> </w:t>
            </w:r>
            <w:r w:rsidR="0098151C">
              <w:rPr>
                <w:rFonts w:ascii="Times New Roman" w:hAnsi="Times New Roman" w:cs="Times New Roman"/>
                <w:b/>
                <w:bCs/>
                <w:sz w:val="26"/>
                <w:szCs w:val="26"/>
                <w:lang w:val="uk-UA"/>
              </w:rPr>
              <w:t>вказан</w:t>
            </w:r>
            <w:r w:rsidR="00AC6D93">
              <w:rPr>
                <w:rFonts w:ascii="Times New Roman" w:hAnsi="Times New Roman" w:cs="Times New Roman"/>
                <w:b/>
                <w:bCs/>
                <w:sz w:val="26"/>
                <w:szCs w:val="26"/>
                <w:lang w:val="uk-UA"/>
              </w:rPr>
              <w:t>ого</w:t>
            </w:r>
            <w:r w:rsidR="0098151C">
              <w:rPr>
                <w:rFonts w:ascii="Times New Roman" w:hAnsi="Times New Roman" w:cs="Times New Roman"/>
                <w:b/>
                <w:bCs/>
                <w:sz w:val="26"/>
                <w:szCs w:val="26"/>
                <w:lang w:val="uk-UA"/>
              </w:rPr>
              <w:t xml:space="preserve"> </w:t>
            </w:r>
            <w:r w:rsidR="00A565CF">
              <w:rPr>
                <w:rFonts w:ascii="Times New Roman" w:hAnsi="Times New Roman" w:cs="Times New Roman"/>
                <w:b/>
                <w:bCs/>
                <w:sz w:val="26"/>
                <w:szCs w:val="26"/>
                <w:lang w:val="uk-UA"/>
              </w:rPr>
              <w:t>суб’єкт</w:t>
            </w:r>
            <w:r w:rsidR="00AC6D93">
              <w:rPr>
                <w:rFonts w:ascii="Times New Roman" w:hAnsi="Times New Roman" w:cs="Times New Roman"/>
                <w:b/>
                <w:bCs/>
                <w:sz w:val="26"/>
                <w:szCs w:val="26"/>
                <w:lang w:val="uk-UA"/>
              </w:rPr>
              <w:t>а</w:t>
            </w:r>
            <w:r w:rsidR="0098151C">
              <w:rPr>
                <w:rFonts w:ascii="Times New Roman" w:hAnsi="Times New Roman" w:cs="Times New Roman"/>
                <w:b/>
                <w:bCs/>
                <w:sz w:val="26"/>
                <w:szCs w:val="26"/>
                <w:lang w:val="uk-UA"/>
              </w:rPr>
              <w:t xml:space="preserve"> господарювання </w:t>
            </w:r>
            <w:r w:rsidR="00A565CF">
              <w:rPr>
                <w:rFonts w:ascii="Times New Roman" w:hAnsi="Times New Roman" w:cs="Times New Roman"/>
                <w:b/>
                <w:bCs/>
                <w:sz w:val="26"/>
                <w:szCs w:val="26"/>
              </w:rPr>
              <w:t xml:space="preserve">зареєстрованої декларації про початок виконання будівельних робіт або </w:t>
            </w:r>
            <w:r w:rsidR="0098151C">
              <w:rPr>
                <w:rFonts w:ascii="Times New Roman" w:hAnsi="Times New Roman" w:cs="Times New Roman"/>
                <w:b/>
                <w:bCs/>
                <w:sz w:val="26"/>
                <w:szCs w:val="26"/>
                <w:lang w:val="uk-UA"/>
              </w:rPr>
              <w:t xml:space="preserve">дозволу на виконання будівельних </w:t>
            </w:r>
            <w:r w:rsidR="0098151C">
              <w:rPr>
                <w:rFonts w:ascii="Times New Roman" w:hAnsi="Times New Roman" w:cs="Times New Roman"/>
                <w:b/>
                <w:bCs/>
                <w:sz w:val="26"/>
                <w:szCs w:val="26"/>
                <w:lang w:val="uk-UA"/>
              </w:rPr>
              <w:lastRenderedPageBreak/>
              <w:t>робіт щодо відповідного об’єкту електроенергетики</w:t>
            </w:r>
            <w:r w:rsidR="00A565CF">
              <w:rPr>
                <w:rFonts w:ascii="Times New Roman" w:hAnsi="Times New Roman" w:cs="Times New Roman"/>
                <w:b/>
                <w:bCs/>
                <w:sz w:val="26"/>
                <w:szCs w:val="26"/>
              </w:rPr>
              <w:t>.</w:t>
            </w:r>
          </w:p>
          <w:p w:rsidR="007F6E00" w:rsidRPr="00A565CF" w:rsidRDefault="007F6E00">
            <w:pPr>
              <w:jc w:val="both"/>
              <w:rPr>
                <w:rFonts w:ascii="Times New Roman" w:hAnsi="Times New Roman" w:cs="Times New Roman"/>
                <w:b/>
                <w:bCs/>
                <w:sz w:val="26"/>
                <w:szCs w:val="26"/>
              </w:rPr>
            </w:pPr>
          </w:p>
          <w:p w:rsidR="000C0D0E" w:rsidRDefault="000C0D0E" w:rsidP="000C0D0E">
            <w:pPr>
              <w:jc w:val="both"/>
              <w:rPr>
                <w:rFonts w:ascii="Times New Roman" w:hAnsi="Times New Roman" w:cs="Times New Roman"/>
                <w:b/>
                <w:bCs/>
                <w:sz w:val="26"/>
                <w:szCs w:val="26"/>
              </w:rPr>
            </w:pPr>
            <w:r>
              <w:rPr>
                <w:rFonts w:ascii="Times New Roman" w:hAnsi="Times New Roman" w:cs="Times New Roman"/>
                <w:b/>
                <w:bCs/>
                <w:sz w:val="26"/>
                <w:szCs w:val="26"/>
              </w:rPr>
              <w:t>Догові</w:t>
            </w:r>
            <w:proofErr w:type="gramStart"/>
            <w:r>
              <w:rPr>
                <w:rFonts w:ascii="Times New Roman" w:hAnsi="Times New Roman" w:cs="Times New Roman"/>
                <w:b/>
                <w:bCs/>
                <w:sz w:val="26"/>
                <w:szCs w:val="26"/>
              </w:rPr>
              <w:t>р</w:t>
            </w:r>
            <w:proofErr w:type="gramEnd"/>
            <w:r>
              <w:rPr>
                <w:rFonts w:ascii="Times New Roman" w:hAnsi="Times New Roman" w:cs="Times New Roman"/>
                <w:b/>
                <w:bCs/>
                <w:sz w:val="26"/>
                <w:szCs w:val="26"/>
              </w:rPr>
              <w:t xml:space="preserve"> купівлі-продажу електричної енергії між гарантованим покупцем та суб'єктом господарювання, що здійснює виробництво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весь термін експлуатації </w:t>
            </w:r>
            <w:r>
              <w:rPr>
                <w:rFonts w:ascii="Times New Roman" w:hAnsi="Times New Roman" w:cs="Times New Roman"/>
                <w:b/>
                <w:bCs/>
                <w:sz w:val="26"/>
                <w:szCs w:val="26"/>
                <w:lang w:val="uk-UA"/>
              </w:rPr>
              <w:t>відповідного об’єкту електроенергетики</w:t>
            </w:r>
            <w:r>
              <w:rPr>
                <w:rFonts w:ascii="Times New Roman" w:hAnsi="Times New Roman" w:cs="Times New Roman"/>
                <w:b/>
                <w:bCs/>
                <w:sz w:val="26"/>
                <w:szCs w:val="26"/>
              </w:rPr>
              <w:t xml:space="preserve"> за умови, що протягом трьох років з дати реєстрації відповідної декларації про початок виконання будівельних робіт або отримання дозволу на виконання будівельних робіт суб'єкт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увів в експлуатацію хоча б один об'єкт електроенергетики для виробництва електроенергії з альтернативних джерел енергії або чергу будівництва електричної станції (пускового комплексу), щодо яких було укладено договір купівлі-продажу.</w:t>
            </w:r>
          </w:p>
          <w:p w:rsidR="00975646" w:rsidRDefault="00975646">
            <w:pPr>
              <w:jc w:val="both"/>
              <w:rPr>
                <w:rFonts w:ascii="Times New Roman" w:hAnsi="Times New Roman" w:cs="Times New Roman"/>
                <w:b/>
                <w:bCs/>
                <w:sz w:val="26"/>
                <w:szCs w:val="26"/>
              </w:rPr>
            </w:pPr>
          </w:p>
          <w:p w:rsidR="00975646" w:rsidRDefault="00975646">
            <w:pPr>
              <w:jc w:val="both"/>
              <w:rPr>
                <w:rFonts w:ascii="Times New Roman" w:hAnsi="Times New Roman" w:cs="Times New Roman"/>
                <w:b/>
                <w:bCs/>
                <w:sz w:val="26"/>
                <w:szCs w:val="26"/>
              </w:rPr>
            </w:pPr>
            <w:r>
              <w:rPr>
                <w:rFonts w:ascii="Times New Roman" w:hAnsi="Times New Roman" w:cs="Times New Roman"/>
                <w:b/>
                <w:bCs/>
                <w:sz w:val="26"/>
                <w:szCs w:val="26"/>
              </w:rPr>
              <w:t>У цьому випадку суб'єкт господарювання, який має намі</w:t>
            </w:r>
            <w:proofErr w:type="gramStart"/>
            <w:r>
              <w:rPr>
                <w:rFonts w:ascii="Times New Roman" w:hAnsi="Times New Roman" w:cs="Times New Roman"/>
                <w:b/>
                <w:bCs/>
                <w:sz w:val="26"/>
                <w:szCs w:val="26"/>
              </w:rPr>
              <w:t>р</w:t>
            </w:r>
            <w:proofErr w:type="gramEnd"/>
            <w:r>
              <w:rPr>
                <w:rFonts w:ascii="Times New Roman" w:hAnsi="Times New Roman" w:cs="Times New Roman"/>
                <w:b/>
                <w:bCs/>
                <w:sz w:val="26"/>
                <w:szCs w:val="26"/>
              </w:rPr>
              <w:t xml:space="preserve"> виробляти електричну енергію з альтернативних джерел енергії, надає гарантованому покупцю електричної енергії заяву (у довільній формі), до якої додаються:</w:t>
            </w:r>
          </w:p>
          <w:p w:rsidR="00975646" w:rsidRDefault="00975646" w:rsidP="00A50ED1">
            <w:pPr>
              <w:numPr>
                <w:ilvl w:val="0"/>
                <w:numId w:val="4"/>
              </w:numPr>
              <w:jc w:val="both"/>
              <w:rPr>
                <w:rFonts w:ascii="Times New Roman" w:hAnsi="Times New Roman" w:cs="Times New Roman"/>
                <w:b/>
                <w:bCs/>
                <w:sz w:val="26"/>
                <w:szCs w:val="26"/>
              </w:rPr>
            </w:pPr>
            <w:r>
              <w:rPr>
                <w:rFonts w:ascii="Times New Roman" w:hAnsi="Times New Roman" w:cs="Times New Roman"/>
                <w:b/>
                <w:bCs/>
                <w:sz w:val="26"/>
                <w:szCs w:val="26"/>
              </w:rPr>
              <w:t xml:space="preserve"> копія документу, що посвідчує право власності чи користування земельною ділянкою, або копія договору суперфіцію для будівництва відповідного об'єкту електроенергетики для виробництва електроенергії з альтернативних джерел енергії </w:t>
            </w:r>
            <w:r>
              <w:rPr>
                <w:rFonts w:ascii="Times New Roman" w:hAnsi="Times New Roman" w:cs="Times New Roman"/>
                <w:b/>
                <w:sz w:val="26"/>
                <w:szCs w:val="26"/>
                <w:lang w:eastAsia="uk-UA"/>
              </w:rPr>
              <w:t>(</w:t>
            </w:r>
            <w:proofErr w:type="gramStart"/>
            <w:r>
              <w:rPr>
                <w:rFonts w:ascii="Times New Roman" w:hAnsi="Times New Roman" w:cs="Times New Roman"/>
                <w:b/>
                <w:sz w:val="26"/>
                <w:szCs w:val="26"/>
                <w:lang w:eastAsia="uk-UA"/>
              </w:rPr>
              <w:t>кр</w:t>
            </w:r>
            <w:proofErr w:type="gramEnd"/>
            <w:r>
              <w:rPr>
                <w:rFonts w:ascii="Times New Roman" w:hAnsi="Times New Roman" w:cs="Times New Roman"/>
                <w:b/>
                <w:sz w:val="26"/>
                <w:szCs w:val="26"/>
                <w:lang w:eastAsia="uk-UA"/>
              </w:rPr>
              <w:t xml:space="preserve">ім доменного та коксівного газів, а з використанням </w:t>
            </w:r>
            <w:r>
              <w:rPr>
                <w:rFonts w:ascii="Times New Roman" w:hAnsi="Times New Roman" w:cs="Times New Roman"/>
                <w:b/>
                <w:sz w:val="26"/>
                <w:szCs w:val="26"/>
                <w:lang w:eastAsia="uk-UA"/>
              </w:rPr>
              <w:lastRenderedPageBreak/>
              <w:t>гідроенергії – лише мікро-, міні- та малими гідроелектростанціями)</w:t>
            </w:r>
            <w:r>
              <w:rPr>
                <w:rFonts w:ascii="Times New Roman" w:hAnsi="Times New Roman" w:cs="Times New Roman"/>
                <w:b/>
                <w:bCs/>
                <w:sz w:val="26"/>
                <w:szCs w:val="26"/>
              </w:rPr>
              <w:t>, у тому числі - відповідної черги будівництва електричної станції (</w:t>
            </w:r>
            <w:proofErr w:type="gramStart"/>
            <w:r>
              <w:rPr>
                <w:rFonts w:ascii="Times New Roman" w:hAnsi="Times New Roman" w:cs="Times New Roman"/>
                <w:b/>
                <w:bCs/>
                <w:sz w:val="26"/>
                <w:szCs w:val="26"/>
              </w:rPr>
              <w:t>пускового</w:t>
            </w:r>
            <w:proofErr w:type="gramEnd"/>
            <w:r>
              <w:rPr>
                <w:rFonts w:ascii="Times New Roman" w:hAnsi="Times New Roman" w:cs="Times New Roman"/>
                <w:b/>
                <w:bCs/>
                <w:sz w:val="26"/>
                <w:szCs w:val="26"/>
              </w:rPr>
              <w:t xml:space="preserve"> комплексу);</w:t>
            </w:r>
          </w:p>
          <w:p w:rsidR="00975646" w:rsidRDefault="00975646" w:rsidP="00A50ED1">
            <w:pPr>
              <w:numPr>
                <w:ilvl w:val="0"/>
                <w:numId w:val="4"/>
              </w:numPr>
              <w:jc w:val="both"/>
              <w:rPr>
                <w:rFonts w:ascii="Times New Roman" w:hAnsi="Times New Roman" w:cs="Times New Roman"/>
                <w:b/>
                <w:bCs/>
                <w:sz w:val="26"/>
                <w:szCs w:val="26"/>
              </w:rPr>
            </w:pPr>
            <w:r>
              <w:rPr>
                <w:rFonts w:ascii="Times New Roman" w:hAnsi="Times New Roman" w:cs="Times New Roman"/>
                <w:b/>
                <w:bCs/>
                <w:sz w:val="26"/>
                <w:szCs w:val="26"/>
              </w:rPr>
              <w:t xml:space="preserve"> копія зареєстрованої декларації про початок виконання будівельних робіт або отриманого дозволу на виконання будівельних робіт щодо відповідного об'єкту електроенергетики для виробництва електроенергії з альтернативних джерел енергії </w:t>
            </w:r>
            <w:r>
              <w:rPr>
                <w:rFonts w:ascii="Times New Roman" w:hAnsi="Times New Roman" w:cs="Times New Roman"/>
                <w:b/>
                <w:sz w:val="26"/>
                <w:szCs w:val="26"/>
                <w:lang w:eastAsia="uk-UA"/>
              </w:rPr>
              <w:t>(</w:t>
            </w:r>
            <w:proofErr w:type="gramStart"/>
            <w:r>
              <w:rPr>
                <w:rFonts w:ascii="Times New Roman" w:hAnsi="Times New Roman" w:cs="Times New Roman"/>
                <w:b/>
                <w:sz w:val="26"/>
                <w:szCs w:val="26"/>
                <w:lang w:eastAsia="uk-UA"/>
              </w:rPr>
              <w:t>кр</w:t>
            </w:r>
            <w:proofErr w:type="gramEnd"/>
            <w:r>
              <w:rPr>
                <w:rFonts w:ascii="Times New Roman" w:hAnsi="Times New Roman" w:cs="Times New Roman"/>
                <w:b/>
                <w:sz w:val="26"/>
                <w:szCs w:val="26"/>
                <w:lang w:eastAsia="uk-UA"/>
              </w:rPr>
              <w:t>ім доменного та коксівного газів, а з використанням гідроенергії – лише мікро-, міні- та малими гідроелектростанціями)</w:t>
            </w:r>
            <w:r>
              <w:rPr>
                <w:rFonts w:ascii="Times New Roman" w:hAnsi="Times New Roman" w:cs="Times New Roman"/>
                <w:b/>
                <w:bCs/>
                <w:sz w:val="26"/>
                <w:szCs w:val="26"/>
              </w:rPr>
              <w:t>;</w:t>
            </w:r>
          </w:p>
          <w:p w:rsidR="00975646" w:rsidRDefault="00975646" w:rsidP="00A50ED1">
            <w:pPr>
              <w:numPr>
                <w:ilvl w:val="0"/>
                <w:numId w:val="4"/>
              </w:numPr>
              <w:jc w:val="both"/>
              <w:rPr>
                <w:rFonts w:ascii="Times New Roman" w:hAnsi="Times New Roman" w:cs="Times New Roman"/>
                <w:b/>
                <w:bCs/>
                <w:sz w:val="26"/>
                <w:szCs w:val="26"/>
              </w:rPr>
            </w:pPr>
            <w:r>
              <w:rPr>
                <w:rFonts w:ascii="Times New Roman" w:hAnsi="Times New Roman" w:cs="Times New Roman"/>
                <w:b/>
                <w:bCs/>
                <w:sz w:val="26"/>
                <w:szCs w:val="26"/>
              </w:rPr>
              <w:t xml:space="preserve"> копія укладеного договору про приєднання відповідного об'єкту електроенергетики для виробництва електроенергії з альтернативних джерел енергії </w:t>
            </w:r>
            <w:r>
              <w:rPr>
                <w:rFonts w:ascii="Times New Roman" w:hAnsi="Times New Roman" w:cs="Times New Roman"/>
                <w:b/>
                <w:sz w:val="26"/>
                <w:szCs w:val="26"/>
                <w:lang w:eastAsia="uk-UA"/>
              </w:rPr>
              <w:t>(</w:t>
            </w:r>
            <w:proofErr w:type="gramStart"/>
            <w:r>
              <w:rPr>
                <w:rFonts w:ascii="Times New Roman" w:hAnsi="Times New Roman" w:cs="Times New Roman"/>
                <w:b/>
                <w:sz w:val="26"/>
                <w:szCs w:val="26"/>
                <w:lang w:eastAsia="uk-UA"/>
              </w:rPr>
              <w:t>кр</w:t>
            </w:r>
            <w:proofErr w:type="gramEnd"/>
            <w:r>
              <w:rPr>
                <w:rFonts w:ascii="Times New Roman" w:hAnsi="Times New Roman" w:cs="Times New Roman"/>
                <w:b/>
                <w:sz w:val="26"/>
                <w:szCs w:val="26"/>
                <w:lang w:eastAsia="uk-UA"/>
              </w:rPr>
              <w:t>ім доменного та коксівного газів, а з використанням гідроенергії – лише мікро-, міні- та малими гідроелектростанціями)</w:t>
            </w:r>
            <w:r w:rsidR="00A565CF">
              <w:rPr>
                <w:rFonts w:ascii="Times New Roman" w:hAnsi="Times New Roman" w:cs="Times New Roman"/>
                <w:b/>
                <w:sz w:val="26"/>
                <w:szCs w:val="26"/>
                <w:lang w:eastAsia="uk-UA"/>
              </w:rPr>
              <w:t xml:space="preserve"> </w:t>
            </w:r>
            <w:r>
              <w:rPr>
                <w:rFonts w:ascii="Times New Roman" w:hAnsi="Times New Roman" w:cs="Times New Roman"/>
                <w:b/>
                <w:bCs/>
                <w:sz w:val="26"/>
                <w:szCs w:val="26"/>
              </w:rPr>
              <w:t>до електричних мереж у порядку передбаченому законодавством України.</w:t>
            </w:r>
          </w:p>
          <w:p w:rsidR="00975646" w:rsidRDefault="00975646">
            <w:pPr>
              <w:ind w:left="810"/>
              <w:jc w:val="both"/>
              <w:rPr>
                <w:rFonts w:ascii="Times New Roman" w:hAnsi="Times New Roman" w:cs="Times New Roman"/>
                <w:b/>
                <w:bCs/>
                <w:sz w:val="26"/>
                <w:szCs w:val="26"/>
              </w:rPr>
            </w:pPr>
          </w:p>
          <w:p w:rsidR="00975646" w:rsidRDefault="00975646">
            <w:pPr>
              <w:jc w:val="both"/>
              <w:rPr>
                <w:rFonts w:ascii="Times New Roman" w:hAnsi="Times New Roman" w:cs="Times New Roman"/>
                <w:b/>
                <w:bCs/>
                <w:sz w:val="26"/>
                <w:szCs w:val="26"/>
              </w:rPr>
            </w:pPr>
            <w:proofErr w:type="gramStart"/>
            <w:r>
              <w:rPr>
                <w:rFonts w:ascii="Times New Roman" w:hAnsi="Times New Roman" w:cs="Times New Roman"/>
                <w:b/>
                <w:bCs/>
                <w:sz w:val="26"/>
                <w:szCs w:val="26"/>
              </w:rPr>
              <w:t>П</w:t>
            </w:r>
            <w:proofErr w:type="gramEnd"/>
            <w:r>
              <w:rPr>
                <w:rFonts w:ascii="Times New Roman" w:hAnsi="Times New Roman" w:cs="Times New Roman"/>
                <w:b/>
                <w:bCs/>
                <w:sz w:val="26"/>
                <w:szCs w:val="26"/>
              </w:rPr>
              <w:t xml:space="preserve">ідставою для відмови в укладенні договору </w:t>
            </w:r>
            <w:r w:rsidR="00A565CF">
              <w:rPr>
                <w:rFonts w:ascii="Times New Roman" w:hAnsi="Times New Roman" w:cs="Times New Roman"/>
                <w:b/>
                <w:bCs/>
                <w:sz w:val="26"/>
                <w:szCs w:val="26"/>
              </w:rPr>
              <w:t xml:space="preserve">купівлі-продажу електричної енергії </w:t>
            </w:r>
            <w:r>
              <w:rPr>
                <w:rFonts w:ascii="Times New Roman" w:hAnsi="Times New Roman" w:cs="Times New Roman"/>
                <w:b/>
                <w:bCs/>
                <w:sz w:val="26"/>
                <w:szCs w:val="26"/>
              </w:rPr>
              <w:t>може бути лише ненадання документів, передбачених у пунктах 1) - 3) абзацу четвертого частини третьої цієї статті, або надання суб'єктом господарювання недостовірної інформації у цих документах.</w:t>
            </w:r>
          </w:p>
          <w:p w:rsidR="00975646" w:rsidRDefault="00975646">
            <w:pPr>
              <w:jc w:val="both"/>
              <w:rPr>
                <w:rFonts w:ascii="Times New Roman" w:hAnsi="Times New Roman" w:cs="Times New Roman"/>
                <w:b/>
                <w:bCs/>
                <w:sz w:val="26"/>
                <w:szCs w:val="26"/>
              </w:rPr>
            </w:pPr>
          </w:p>
          <w:p w:rsidR="00975646" w:rsidRDefault="00975646">
            <w:pPr>
              <w:pStyle w:val="a3"/>
              <w:ind w:left="0"/>
              <w:jc w:val="both"/>
              <w:rPr>
                <w:rFonts w:ascii="Times New Roman" w:hAnsi="Times New Roman" w:cs="Times New Roman"/>
                <w:bCs/>
                <w:color w:val="000000" w:themeColor="text1"/>
                <w:sz w:val="26"/>
                <w:szCs w:val="26"/>
                <w:lang w:eastAsia="en-US"/>
              </w:rPr>
            </w:pPr>
          </w:p>
          <w:p w:rsidR="00975646" w:rsidRDefault="00975646">
            <w:pPr>
              <w:pStyle w:val="a3"/>
              <w:ind w:left="0"/>
              <w:jc w:val="both"/>
              <w:rPr>
                <w:rFonts w:ascii="Times New Roman" w:hAnsi="Times New Roman" w:cs="Times New Roman"/>
                <w:bCs/>
                <w:color w:val="000000" w:themeColor="text1"/>
                <w:sz w:val="26"/>
                <w:szCs w:val="26"/>
                <w:lang w:eastAsia="en-US"/>
              </w:rPr>
            </w:pPr>
            <w:r>
              <w:rPr>
                <w:rFonts w:ascii="Times New Roman" w:hAnsi="Times New Roman" w:cs="Times New Roman"/>
                <w:bCs/>
                <w:color w:val="000000" w:themeColor="text1"/>
                <w:sz w:val="26"/>
                <w:szCs w:val="26"/>
                <w:lang w:eastAsia="en-US"/>
              </w:rPr>
              <w:t xml:space="preserve">4. За відхилення фактичних обсягів </w:t>
            </w:r>
            <w:proofErr w:type="gramStart"/>
            <w:r>
              <w:rPr>
                <w:rFonts w:ascii="Times New Roman" w:hAnsi="Times New Roman" w:cs="Times New Roman"/>
                <w:bCs/>
                <w:color w:val="000000" w:themeColor="text1"/>
                <w:sz w:val="26"/>
                <w:szCs w:val="26"/>
                <w:lang w:eastAsia="en-US"/>
              </w:rPr>
              <w:t>в</w:t>
            </w:r>
            <w:proofErr w:type="gramEnd"/>
            <w:r>
              <w:rPr>
                <w:rFonts w:ascii="Times New Roman" w:hAnsi="Times New Roman" w:cs="Times New Roman"/>
                <w:bCs/>
                <w:color w:val="000000" w:themeColor="text1"/>
                <w:sz w:val="26"/>
                <w:szCs w:val="26"/>
                <w:lang w:eastAsia="en-US"/>
              </w:rPr>
              <w:t xml:space="preserve">ідпуску електричної енергії виробників за «зеленим» тарифом від  їх добових графіків відпуску електричної енергії виробниками, які входять </w:t>
            </w:r>
            <w:r>
              <w:rPr>
                <w:rFonts w:ascii="Times New Roman" w:hAnsi="Times New Roman" w:cs="Times New Roman"/>
                <w:bCs/>
                <w:color w:val="000000" w:themeColor="text1"/>
                <w:sz w:val="26"/>
                <w:szCs w:val="26"/>
                <w:lang w:eastAsia="en-US"/>
              </w:rPr>
              <w:lastRenderedPageBreak/>
              <w:t>до складу балансуючої групи виробників за "зеленим" тарифом, відшкодовується частка вартості врегулювання небалансу електричної енергії гарантованого покупця відповідно до правил функціонування балансуючої групи виробників за "зеленим" тарифом.</w:t>
            </w:r>
          </w:p>
          <w:p w:rsidR="00975646" w:rsidRDefault="00975646">
            <w:pPr>
              <w:pStyle w:val="a3"/>
              <w:ind w:left="0"/>
              <w:jc w:val="both"/>
              <w:rPr>
                <w:rFonts w:ascii="Times New Roman" w:hAnsi="Times New Roman" w:cs="Times New Roman"/>
                <w:b/>
                <w:bCs/>
                <w:color w:val="000000" w:themeColor="text1"/>
                <w:sz w:val="26"/>
                <w:szCs w:val="26"/>
                <w:lang w:eastAsia="en-US"/>
              </w:rPr>
            </w:pPr>
            <w:r>
              <w:rPr>
                <w:rFonts w:ascii="Times New Roman" w:hAnsi="Times New Roman" w:cs="Times New Roman"/>
                <w:b/>
                <w:bCs/>
                <w:color w:val="000000" w:themeColor="text1"/>
                <w:sz w:val="26"/>
                <w:szCs w:val="26"/>
                <w:lang w:eastAsia="en-US"/>
              </w:rPr>
              <w:t xml:space="preserve">5. Виробники за "зеленим" тарифом мають право на добровільній договірній основі об’єднатися </w:t>
            </w:r>
            <w:r>
              <w:rPr>
                <w:rFonts w:ascii="Times New Roman" w:hAnsi="Times New Roman" w:cs="Times New Roman"/>
                <w:b/>
                <w:sz w:val="26"/>
                <w:szCs w:val="26"/>
                <w:lang w:eastAsia="en-US"/>
              </w:rPr>
              <w:t xml:space="preserve">між собою </w:t>
            </w:r>
            <w:r>
              <w:rPr>
                <w:rFonts w:ascii="Times New Roman" w:hAnsi="Times New Roman" w:cs="Times New Roman"/>
                <w:b/>
                <w:bCs/>
                <w:color w:val="000000" w:themeColor="text1"/>
                <w:sz w:val="26"/>
                <w:szCs w:val="26"/>
                <w:lang w:eastAsia="en-US"/>
              </w:rPr>
              <w:t xml:space="preserve">у балансуючі групи </w:t>
            </w:r>
            <w:proofErr w:type="gramStart"/>
            <w:r>
              <w:rPr>
                <w:rFonts w:ascii="Times New Roman" w:hAnsi="Times New Roman" w:cs="Times New Roman"/>
                <w:b/>
                <w:bCs/>
                <w:color w:val="000000" w:themeColor="text1"/>
                <w:sz w:val="26"/>
                <w:szCs w:val="26"/>
                <w:lang w:eastAsia="en-US"/>
              </w:rPr>
              <w:t>у</w:t>
            </w:r>
            <w:proofErr w:type="gramEnd"/>
            <w:r>
              <w:rPr>
                <w:rFonts w:ascii="Times New Roman" w:hAnsi="Times New Roman" w:cs="Times New Roman"/>
                <w:b/>
                <w:bCs/>
                <w:color w:val="000000" w:themeColor="text1"/>
                <w:sz w:val="26"/>
                <w:szCs w:val="26"/>
                <w:lang w:eastAsia="en-US"/>
              </w:rPr>
              <w:t xml:space="preserve"> складі балансуючої групи виробників за «зеленим» тарифом за умови дотримання ними типових вимог до балансуючої групи, визначених у правилах ринку.</w:t>
            </w:r>
          </w:p>
          <w:p w:rsidR="00975646" w:rsidRDefault="00975646">
            <w:pPr>
              <w:pStyle w:val="a3"/>
              <w:ind w:left="0"/>
              <w:jc w:val="both"/>
              <w:rPr>
                <w:rFonts w:ascii="Times New Roman" w:hAnsi="Times New Roman" w:cs="Times New Roman"/>
                <w:b/>
                <w:bCs/>
                <w:color w:val="000000" w:themeColor="text1"/>
                <w:sz w:val="26"/>
                <w:szCs w:val="26"/>
                <w:lang w:eastAsia="en-US"/>
              </w:rPr>
            </w:pPr>
            <w:r>
              <w:rPr>
                <w:rFonts w:ascii="Times New Roman" w:hAnsi="Times New Roman" w:cs="Times New Roman"/>
                <w:b/>
                <w:bCs/>
                <w:color w:val="000000" w:themeColor="text1"/>
                <w:sz w:val="26"/>
                <w:szCs w:val="26"/>
                <w:lang w:eastAsia="en-US"/>
              </w:rPr>
              <w:t xml:space="preserve">6. У межах балансуючої групи виробників за "зеленим" тарифом, сторона відповідальна за баланс балансуючої групи, здійснює купівлю та продаж електричної енергії учасників балансуючої групи в обсягах, обумовлених </w:t>
            </w:r>
            <w:proofErr w:type="gramStart"/>
            <w:r>
              <w:rPr>
                <w:rFonts w:ascii="Times New Roman" w:hAnsi="Times New Roman" w:cs="Times New Roman"/>
                <w:b/>
                <w:bCs/>
                <w:color w:val="000000" w:themeColor="text1"/>
                <w:sz w:val="26"/>
                <w:szCs w:val="26"/>
                <w:lang w:eastAsia="en-US"/>
              </w:rPr>
              <w:t>такими</w:t>
            </w:r>
            <w:proofErr w:type="gramEnd"/>
            <w:r>
              <w:rPr>
                <w:rFonts w:ascii="Times New Roman" w:hAnsi="Times New Roman" w:cs="Times New Roman"/>
                <w:b/>
                <w:bCs/>
                <w:color w:val="000000" w:themeColor="text1"/>
                <w:sz w:val="26"/>
                <w:szCs w:val="26"/>
                <w:lang w:eastAsia="en-US"/>
              </w:rPr>
              <w:t xml:space="preserve"> учасниками небалансів електричної енергії, на договірних засадах.</w:t>
            </w:r>
          </w:p>
          <w:p w:rsidR="00CA28DB" w:rsidRDefault="00975646">
            <w:pPr>
              <w:pStyle w:val="a3"/>
              <w:ind w:left="0"/>
              <w:jc w:val="both"/>
              <w:rPr>
                <w:rFonts w:ascii="Times New Roman" w:hAnsi="Times New Roman" w:cs="Times New Roman"/>
                <w:b/>
                <w:bCs/>
                <w:color w:val="000000" w:themeColor="text1"/>
                <w:sz w:val="26"/>
                <w:szCs w:val="26"/>
                <w:lang w:eastAsia="en-US"/>
              </w:rPr>
            </w:pPr>
            <w:r>
              <w:rPr>
                <w:rFonts w:ascii="Times New Roman" w:hAnsi="Times New Roman" w:cs="Times New Roman"/>
                <w:b/>
                <w:bCs/>
                <w:color w:val="000000" w:themeColor="text1"/>
                <w:sz w:val="26"/>
                <w:szCs w:val="26"/>
                <w:lang w:eastAsia="en-US"/>
              </w:rPr>
              <w:t xml:space="preserve">7. </w:t>
            </w:r>
            <w:proofErr w:type="gramStart"/>
            <w:r>
              <w:rPr>
                <w:rFonts w:ascii="Times New Roman" w:hAnsi="Times New Roman" w:cs="Times New Roman"/>
                <w:b/>
                <w:bCs/>
                <w:color w:val="000000" w:themeColor="text1"/>
                <w:sz w:val="26"/>
                <w:szCs w:val="26"/>
                <w:lang w:eastAsia="en-US"/>
              </w:rPr>
              <w:t>Сторона, відповідальна за баланс балансуючої групи виробників за «зеленим» тарифом</w:t>
            </w:r>
            <w:r>
              <w:rPr>
                <w:rFonts w:ascii="Times New Roman" w:hAnsi="Times New Roman" w:cs="Times New Roman"/>
                <w:b/>
                <w:sz w:val="26"/>
                <w:szCs w:val="26"/>
                <w:lang w:eastAsia="en-US"/>
              </w:rPr>
              <w:t>,</w:t>
            </w:r>
            <w:r>
              <w:rPr>
                <w:rFonts w:ascii="Times New Roman" w:hAnsi="Times New Roman" w:cs="Times New Roman"/>
                <w:b/>
                <w:bCs/>
                <w:color w:val="000000" w:themeColor="text1"/>
                <w:sz w:val="26"/>
                <w:szCs w:val="26"/>
                <w:lang w:eastAsia="en-US"/>
              </w:rPr>
              <w:t xml:space="preserve"> які на добровільній договірній основі об’єдналися у балансуючу групу</w:t>
            </w:r>
            <w:r>
              <w:rPr>
                <w:rFonts w:ascii="Times New Roman" w:hAnsi="Times New Roman" w:cs="Times New Roman"/>
                <w:b/>
                <w:sz w:val="26"/>
                <w:szCs w:val="26"/>
                <w:lang w:eastAsia="en-US"/>
              </w:rPr>
              <w:t xml:space="preserve"> несе відповідальність лише за відхилення сумарного фактичного обсягу відпуску електричної енергії усіх виробників за «зеленим» тарифом та/або інших виробників електроенергії, які входять до тако</w:t>
            </w:r>
            <w:proofErr w:type="gramEnd"/>
            <w:r>
              <w:rPr>
                <w:rFonts w:ascii="Times New Roman" w:hAnsi="Times New Roman" w:cs="Times New Roman"/>
                <w:b/>
                <w:sz w:val="26"/>
                <w:szCs w:val="26"/>
                <w:lang w:eastAsia="en-US"/>
              </w:rPr>
              <w:t xml:space="preserve">ї балансуючої групи, від сумарного добового графіку відпуску електричної енергії усіх таких виробників і </w:t>
            </w:r>
            <w:proofErr w:type="gramStart"/>
            <w:r>
              <w:rPr>
                <w:rFonts w:ascii="Times New Roman" w:hAnsi="Times New Roman" w:cs="Times New Roman"/>
                <w:b/>
                <w:bCs/>
                <w:color w:val="000000" w:themeColor="text1"/>
                <w:sz w:val="26"/>
                <w:szCs w:val="26"/>
                <w:lang w:eastAsia="en-US"/>
              </w:rPr>
              <w:t>в</w:t>
            </w:r>
            <w:proofErr w:type="gramEnd"/>
            <w:r>
              <w:rPr>
                <w:rFonts w:ascii="Times New Roman" w:hAnsi="Times New Roman" w:cs="Times New Roman"/>
                <w:b/>
                <w:bCs/>
                <w:color w:val="000000" w:themeColor="text1"/>
                <w:sz w:val="26"/>
                <w:szCs w:val="26"/>
                <w:lang w:eastAsia="en-US"/>
              </w:rPr>
              <w:t>ідшкодовує вартість врегулювання сумарного небалансу електричної енергії гарантованого покупця всіх учасників такої балансуючої групи</w:t>
            </w:r>
            <w:r>
              <w:rPr>
                <w:rFonts w:ascii="Times New Roman" w:hAnsi="Times New Roman" w:cs="Times New Roman"/>
                <w:b/>
                <w:sz w:val="26"/>
                <w:szCs w:val="26"/>
                <w:lang w:eastAsia="en-US"/>
              </w:rPr>
              <w:t xml:space="preserve">.  </w:t>
            </w:r>
          </w:p>
          <w:p w:rsidR="00975646" w:rsidRPr="00BA6AE7" w:rsidRDefault="00975646">
            <w:pPr>
              <w:pStyle w:val="a3"/>
              <w:ind w:left="0"/>
              <w:jc w:val="both"/>
              <w:rPr>
                <w:rFonts w:ascii="Times New Roman" w:hAnsi="Times New Roman" w:cs="Times New Roman"/>
                <w:b/>
                <w:bCs/>
                <w:i/>
                <w:color w:val="000000" w:themeColor="text1"/>
                <w:sz w:val="26"/>
                <w:szCs w:val="26"/>
                <w:lang w:eastAsia="en-US"/>
              </w:rPr>
            </w:pPr>
          </w:p>
          <w:p w:rsidR="00975646" w:rsidRDefault="00975646">
            <w:pPr>
              <w:pStyle w:val="a3"/>
              <w:ind w:left="0"/>
              <w:jc w:val="both"/>
              <w:rPr>
                <w:rFonts w:ascii="Times New Roman" w:hAnsi="Times New Roman" w:cs="Times New Roman"/>
                <w:b/>
                <w:bCs/>
                <w:i/>
                <w:color w:val="000000" w:themeColor="text1"/>
                <w:sz w:val="26"/>
                <w:szCs w:val="26"/>
                <w:lang w:eastAsia="en-US"/>
              </w:rPr>
            </w:pPr>
          </w:p>
        </w:tc>
      </w:tr>
      <w:tr w:rsidR="00975646" w:rsidTr="00975646">
        <w:tc>
          <w:tcPr>
            <w:tcW w:w="7621" w:type="dxa"/>
            <w:tcBorders>
              <w:top w:val="single" w:sz="4" w:space="0" w:color="auto"/>
              <w:left w:val="single" w:sz="4" w:space="0" w:color="auto"/>
              <w:bottom w:val="single" w:sz="4" w:space="0" w:color="auto"/>
              <w:right w:val="single" w:sz="4" w:space="0" w:color="auto"/>
            </w:tcBorders>
          </w:tcPr>
          <w:p w:rsidR="00975646" w:rsidRDefault="00975646">
            <w:pPr>
              <w:pStyle w:val="a3"/>
              <w:ind w:left="0" w:firstLine="709"/>
              <w:jc w:val="both"/>
              <w:rPr>
                <w:rFonts w:ascii="Times New Roman" w:hAnsi="Times New Roman" w:cs="Times New Roman"/>
                <w:b/>
                <w:bCs/>
                <w:color w:val="000000" w:themeColor="text1"/>
                <w:sz w:val="26"/>
                <w:szCs w:val="26"/>
                <w:lang w:eastAsia="en-US"/>
              </w:rPr>
            </w:pPr>
            <w:r>
              <w:rPr>
                <w:rFonts w:ascii="Times New Roman" w:hAnsi="Times New Roman" w:cs="Times New Roman"/>
                <w:b/>
                <w:bCs/>
                <w:color w:val="000000" w:themeColor="text1"/>
                <w:sz w:val="26"/>
                <w:szCs w:val="26"/>
                <w:lang w:eastAsia="en-US"/>
              </w:rPr>
              <w:lastRenderedPageBreak/>
              <w:t>РОЗДІЛ XVII. ПРИКІНЦЕВІ ТА ПЕРЕХІДНІ ПОЛОЖЕННЯ</w:t>
            </w:r>
          </w:p>
          <w:p w:rsidR="00975646" w:rsidRDefault="00975646">
            <w:pPr>
              <w:pStyle w:val="a3"/>
              <w:ind w:left="709"/>
              <w:jc w:val="both"/>
              <w:rPr>
                <w:rFonts w:ascii="Times New Roman" w:hAnsi="Times New Roman" w:cs="Times New Roman"/>
                <w:color w:val="000000" w:themeColor="text1"/>
                <w:sz w:val="26"/>
                <w:szCs w:val="26"/>
                <w:lang w:eastAsia="en-US"/>
              </w:rPr>
            </w:pPr>
            <w:r>
              <w:rPr>
                <w:rFonts w:ascii="Times New Roman" w:hAnsi="Times New Roman" w:cs="Times New Roman"/>
                <w:color w:val="000000" w:themeColor="text1"/>
                <w:sz w:val="26"/>
                <w:szCs w:val="26"/>
                <w:lang w:eastAsia="en-US"/>
              </w:rPr>
              <w:t>…</w:t>
            </w:r>
          </w:p>
          <w:p w:rsidR="00975646" w:rsidRDefault="00975646">
            <w:pPr>
              <w:ind w:left="34" w:firstLine="828"/>
              <w:jc w:val="both"/>
              <w:rPr>
                <w:rFonts w:ascii="Times New Roman" w:eastAsia="Times New Roman" w:hAnsi="Times New Roman" w:cs="Times New Roman"/>
                <w:sz w:val="26"/>
                <w:szCs w:val="26"/>
                <w:lang w:eastAsia="uk-UA"/>
              </w:rPr>
            </w:pPr>
            <w:r>
              <w:rPr>
                <w:rFonts w:ascii="Times New Roman" w:eastAsia="Times New Roman" w:hAnsi="Times New Roman" w:cs="Times New Roman"/>
                <w:color w:val="000000" w:themeColor="text1"/>
                <w:sz w:val="26"/>
                <w:szCs w:val="26"/>
                <w:lang w:eastAsia="uk-UA"/>
              </w:rPr>
              <w:lastRenderedPageBreak/>
              <w:t xml:space="preserve">11. </w:t>
            </w:r>
            <w:r>
              <w:rPr>
                <w:rFonts w:ascii="Times New Roman" w:eastAsia="Times New Roman" w:hAnsi="Times New Roman" w:cs="Times New Roman"/>
                <w:sz w:val="26"/>
                <w:szCs w:val="26"/>
                <w:lang w:eastAsia="uk-UA"/>
              </w:rPr>
              <w:t>Відсоток відшкодування гарантованому покупцю виробниками, які виробляють електричну енергію на об'єктах електроенергетики, що використовують енергію вітру та сонячного випромінювання, яким встановлено "зелений" тариф, і які входять до складу балансуючої групи виробників за "зеленим" тарифом, вартості врегулювання небалансу гарантованого покупця склада</w:t>
            </w:r>
            <w:proofErr w:type="gramStart"/>
            <w:r>
              <w:rPr>
                <w:rFonts w:ascii="Times New Roman" w:eastAsia="Times New Roman" w:hAnsi="Times New Roman" w:cs="Times New Roman"/>
                <w:sz w:val="26"/>
                <w:szCs w:val="26"/>
                <w:lang w:eastAsia="uk-UA"/>
              </w:rPr>
              <w:t>є:</w:t>
            </w:r>
            <w:proofErr w:type="gramEnd"/>
          </w:p>
          <w:p w:rsidR="00975646" w:rsidRDefault="00975646">
            <w:pPr>
              <w:ind w:firstLine="448"/>
              <w:jc w:val="both"/>
              <w:rPr>
                <w:rFonts w:ascii="Times New Roman" w:eastAsia="Times New Roman" w:hAnsi="Times New Roman" w:cs="Times New Roman"/>
                <w:sz w:val="26"/>
                <w:szCs w:val="26"/>
                <w:lang w:eastAsia="uk-UA"/>
              </w:rPr>
            </w:pPr>
          </w:p>
          <w:p w:rsidR="00975646" w:rsidRDefault="00975646">
            <w:pPr>
              <w:ind w:firstLine="448"/>
              <w:jc w:val="both"/>
              <w:rPr>
                <w:rFonts w:ascii="Times New Roman" w:eastAsia="Times New Roman" w:hAnsi="Times New Roman" w:cs="Times New Roman"/>
                <w:sz w:val="26"/>
                <w:szCs w:val="26"/>
                <w:lang w:eastAsia="uk-UA"/>
              </w:rPr>
            </w:pPr>
          </w:p>
          <w:p w:rsidR="00975646" w:rsidRDefault="00975646">
            <w:pPr>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до 31 грудня 2019 року – 0 %;</w:t>
            </w:r>
          </w:p>
          <w:p w:rsidR="00975646" w:rsidRDefault="00975646">
            <w:pPr>
              <w:ind w:firstLine="448"/>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 1 січня 2020 року – 10 %;</w:t>
            </w:r>
          </w:p>
          <w:p w:rsidR="00975646" w:rsidRDefault="00975646">
            <w:pPr>
              <w:ind w:firstLine="448"/>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 1 січня 2021 року – 20 %;</w:t>
            </w:r>
          </w:p>
          <w:p w:rsidR="00975646" w:rsidRDefault="00975646">
            <w:pPr>
              <w:ind w:firstLine="448"/>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 1 січня 2022 року – 40 %;</w:t>
            </w:r>
          </w:p>
          <w:p w:rsidR="00975646" w:rsidRDefault="00975646">
            <w:pPr>
              <w:ind w:firstLine="448"/>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 1 січня 2023 року – 60 %;</w:t>
            </w:r>
          </w:p>
          <w:p w:rsidR="00975646" w:rsidRDefault="00975646">
            <w:pPr>
              <w:ind w:firstLine="448"/>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 1 січня 2024 року – 80 %;</w:t>
            </w:r>
          </w:p>
          <w:p w:rsidR="00975646" w:rsidRDefault="00975646">
            <w:pPr>
              <w:ind w:firstLine="448"/>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 1 січня 2025 року – 100 %.</w:t>
            </w:r>
          </w:p>
          <w:p w:rsidR="00975646" w:rsidRDefault="00975646">
            <w:pPr>
              <w:jc w:val="both"/>
              <w:rPr>
                <w:rFonts w:ascii="Times New Roman" w:eastAsia="Times New Roman" w:hAnsi="Times New Roman" w:cs="Times New Roman"/>
                <w:sz w:val="26"/>
                <w:szCs w:val="26"/>
                <w:lang w:eastAsia="uk-UA"/>
              </w:rPr>
            </w:pPr>
          </w:p>
          <w:p w:rsidR="00975646" w:rsidRDefault="00975646">
            <w:pPr>
              <w:jc w:val="both"/>
              <w:rPr>
                <w:rFonts w:ascii="Times New Roman" w:eastAsia="Times New Roman" w:hAnsi="Times New Roman" w:cs="Times New Roman"/>
                <w:sz w:val="26"/>
                <w:szCs w:val="26"/>
                <w:lang w:eastAsia="uk-UA"/>
              </w:rPr>
            </w:pPr>
          </w:p>
          <w:p w:rsidR="00975646" w:rsidRDefault="00975646">
            <w:pPr>
              <w:jc w:val="both"/>
              <w:rPr>
                <w:rFonts w:ascii="Times New Roman" w:eastAsia="Times New Roman" w:hAnsi="Times New Roman" w:cs="Times New Roman"/>
                <w:sz w:val="26"/>
                <w:szCs w:val="26"/>
                <w:lang w:eastAsia="uk-UA"/>
              </w:rPr>
            </w:pPr>
          </w:p>
          <w:p w:rsidR="00975646" w:rsidRDefault="00975646">
            <w:pPr>
              <w:jc w:val="both"/>
              <w:rPr>
                <w:rFonts w:ascii="Times New Roman" w:eastAsia="Times New Roman" w:hAnsi="Times New Roman" w:cs="Times New Roman"/>
                <w:sz w:val="26"/>
                <w:szCs w:val="26"/>
                <w:lang w:eastAsia="uk-UA"/>
              </w:rPr>
            </w:pPr>
          </w:p>
          <w:p w:rsidR="00975646" w:rsidRDefault="00975646">
            <w:pPr>
              <w:ind w:firstLine="448"/>
              <w:jc w:val="both"/>
              <w:rPr>
                <w:rFonts w:ascii="Times New Roman" w:eastAsia="Times New Roman" w:hAnsi="Times New Roman" w:cs="Times New Roman"/>
                <w:color w:val="000000" w:themeColor="text1"/>
                <w:sz w:val="26"/>
                <w:szCs w:val="26"/>
                <w:lang w:eastAsia="uk-UA"/>
              </w:rPr>
            </w:pPr>
            <w:r>
              <w:rPr>
                <w:rFonts w:ascii="Times New Roman" w:eastAsia="Times New Roman" w:hAnsi="Times New Roman" w:cs="Times New Roman"/>
                <w:color w:val="000000" w:themeColor="text1"/>
                <w:sz w:val="26"/>
                <w:szCs w:val="26"/>
                <w:lang w:eastAsia="uk-UA"/>
              </w:rPr>
              <w:t xml:space="preserve">До 2025 року відшкодування виробником, який виробляє електричну енергію на об'єктах електроенергетики, що використовують енергію вітру, та входить до складу балансуючої групи виробників за "зеленим" тарифом, вартості його небалансу гарантованому покупцю здійснюється у разі відхилення фактичних обсягів </w:t>
            </w:r>
            <w:proofErr w:type="gramStart"/>
            <w:r>
              <w:rPr>
                <w:rFonts w:ascii="Times New Roman" w:eastAsia="Times New Roman" w:hAnsi="Times New Roman" w:cs="Times New Roman"/>
                <w:color w:val="000000" w:themeColor="text1"/>
                <w:sz w:val="26"/>
                <w:szCs w:val="26"/>
                <w:lang w:eastAsia="uk-UA"/>
              </w:rPr>
              <w:t>в</w:t>
            </w:r>
            <w:proofErr w:type="gramEnd"/>
            <w:r>
              <w:rPr>
                <w:rFonts w:ascii="Times New Roman" w:eastAsia="Times New Roman" w:hAnsi="Times New Roman" w:cs="Times New Roman"/>
                <w:color w:val="000000" w:themeColor="text1"/>
                <w:sz w:val="26"/>
                <w:szCs w:val="26"/>
                <w:lang w:eastAsia="uk-UA"/>
              </w:rPr>
              <w:t xml:space="preserve">ідпуску електричної енергії такого виробника від його добового графіку відпуску електричної енергії більше </w:t>
            </w:r>
            <w:proofErr w:type="gramStart"/>
            <w:r>
              <w:rPr>
                <w:rFonts w:ascii="Times New Roman" w:eastAsia="Times New Roman" w:hAnsi="Times New Roman" w:cs="Times New Roman"/>
                <w:color w:val="000000" w:themeColor="text1"/>
                <w:sz w:val="26"/>
                <w:szCs w:val="26"/>
                <w:lang w:eastAsia="uk-UA"/>
              </w:rPr>
              <w:t>ніж</w:t>
            </w:r>
            <w:proofErr w:type="gramEnd"/>
            <w:r>
              <w:rPr>
                <w:rFonts w:ascii="Times New Roman" w:eastAsia="Times New Roman" w:hAnsi="Times New Roman" w:cs="Times New Roman"/>
                <w:color w:val="000000" w:themeColor="text1"/>
                <w:sz w:val="26"/>
                <w:szCs w:val="26"/>
                <w:lang w:eastAsia="uk-UA"/>
              </w:rPr>
              <w:t xml:space="preserve"> на 10%.</w:t>
            </w:r>
          </w:p>
          <w:p w:rsidR="00975646" w:rsidRDefault="00975646">
            <w:pPr>
              <w:jc w:val="both"/>
              <w:rPr>
                <w:rFonts w:ascii="Times New Roman" w:eastAsia="Times New Roman" w:hAnsi="Times New Roman" w:cs="Times New Roman"/>
                <w:color w:val="000000" w:themeColor="text1"/>
                <w:sz w:val="26"/>
                <w:szCs w:val="26"/>
                <w:lang w:eastAsia="uk-UA"/>
              </w:rPr>
            </w:pPr>
          </w:p>
          <w:p w:rsidR="00975646" w:rsidRDefault="00975646">
            <w:pPr>
              <w:spacing w:afterLines="150" w:after="360"/>
              <w:jc w:val="both"/>
              <w:rPr>
                <w:rFonts w:ascii="Times New Roman" w:eastAsia="Times New Roman" w:hAnsi="Times New Roman" w:cs="Times New Roman"/>
                <w:color w:val="000000" w:themeColor="text1"/>
                <w:sz w:val="26"/>
                <w:szCs w:val="26"/>
                <w:lang w:eastAsia="uk-UA"/>
              </w:rPr>
            </w:pPr>
            <w:r>
              <w:rPr>
                <w:rFonts w:ascii="Times New Roman" w:eastAsia="Times New Roman" w:hAnsi="Times New Roman" w:cs="Times New Roman"/>
                <w:color w:val="000000" w:themeColor="text1"/>
                <w:sz w:val="26"/>
                <w:szCs w:val="26"/>
                <w:lang w:eastAsia="uk-UA"/>
              </w:rPr>
              <w:t xml:space="preserve">До 2025 року відшкодування виробником, який виробляє електричну енергію на об'єктах електроенергетики, що використовують енергію сонячного випромінювання, та входить </w:t>
            </w:r>
            <w:r>
              <w:rPr>
                <w:rFonts w:ascii="Times New Roman" w:eastAsia="Times New Roman" w:hAnsi="Times New Roman" w:cs="Times New Roman"/>
                <w:color w:val="000000" w:themeColor="text1"/>
                <w:sz w:val="26"/>
                <w:szCs w:val="26"/>
                <w:lang w:eastAsia="uk-UA"/>
              </w:rPr>
              <w:lastRenderedPageBreak/>
              <w:t xml:space="preserve">до складу балансуючої групи виробників за "зеленим" тарифом, вартості його небалансу гарантованому покупцю здійснюється у разі відхилення фактичних обсягів </w:t>
            </w:r>
            <w:proofErr w:type="gramStart"/>
            <w:r>
              <w:rPr>
                <w:rFonts w:ascii="Times New Roman" w:eastAsia="Times New Roman" w:hAnsi="Times New Roman" w:cs="Times New Roman"/>
                <w:color w:val="000000" w:themeColor="text1"/>
                <w:sz w:val="26"/>
                <w:szCs w:val="26"/>
                <w:lang w:eastAsia="uk-UA"/>
              </w:rPr>
              <w:t>в</w:t>
            </w:r>
            <w:proofErr w:type="gramEnd"/>
            <w:r>
              <w:rPr>
                <w:rFonts w:ascii="Times New Roman" w:eastAsia="Times New Roman" w:hAnsi="Times New Roman" w:cs="Times New Roman"/>
                <w:color w:val="000000" w:themeColor="text1"/>
                <w:sz w:val="26"/>
                <w:szCs w:val="26"/>
                <w:lang w:eastAsia="uk-UA"/>
              </w:rPr>
              <w:t xml:space="preserve">ідпуску електричної енергії такого виробника від його добового графіку відпуску електричної енергії більше </w:t>
            </w:r>
            <w:proofErr w:type="gramStart"/>
            <w:r>
              <w:rPr>
                <w:rFonts w:ascii="Times New Roman" w:eastAsia="Times New Roman" w:hAnsi="Times New Roman" w:cs="Times New Roman"/>
                <w:color w:val="000000" w:themeColor="text1"/>
                <w:sz w:val="26"/>
                <w:szCs w:val="26"/>
                <w:lang w:eastAsia="uk-UA"/>
              </w:rPr>
              <w:t>ніж</w:t>
            </w:r>
            <w:proofErr w:type="gramEnd"/>
            <w:r>
              <w:rPr>
                <w:rFonts w:ascii="Times New Roman" w:eastAsia="Times New Roman" w:hAnsi="Times New Roman" w:cs="Times New Roman"/>
                <w:color w:val="000000" w:themeColor="text1"/>
                <w:sz w:val="26"/>
                <w:szCs w:val="26"/>
                <w:lang w:eastAsia="uk-UA"/>
              </w:rPr>
              <w:t xml:space="preserve"> на 5%.</w:t>
            </w:r>
          </w:p>
        </w:tc>
        <w:tc>
          <w:tcPr>
            <w:tcW w:w="7371" w:type="dxa"/>
            <w:tcBorders>
              <w:top w:val="single" w:sz="4" w:space="0" w:color="auto"/>
              <w:left w:val="single" w:sz="4" w:space="0" w:color="auto"/>
              <w:bottom w:val="single" w:sz="4" w:space="0" w:color="auto"/>
              <w:right w:val="single" w:sz="4" w:space="0" w:color="auto"/>
            </w:tcBorders>
          </w:tcPr>
          <w:p w:rsidR="00975646" w:rsidRDefault="00975646" w:rsidP="00A2432A">
            <w:pPr>
              <w:pStyle w:val="a3"/>
              <w:ind w:left="0" w:firstLine="709"/>
              <w:jc w:val="both"/>
              <w:rPr>
                <w:rFonts w:ascii="Times New Roman" w:hAnsi="Times New Roman" w:cs="Times New Roman"/>
                <w:b/>
                <w:bCs/>
                <w:color w:val="000000" w:themeColor="text1"/>
                <w:sz w:val="26"/>
                <w:szCs w:val="26"/>
                <w:lang w:eastAsia="en-US"/>
              </w:rPr>
            </w:pPr>
            <w:r>
              <w:rPr>
                <w:rFonts w:ascii="Times New Roman" w:hAnsi="Times New Roman" w:cs="Times New Roman"/>
                <w:b/>
                <w:bCs/>
                <w:color w:val="000000" w:themeColor="text1"/>
                <w:sz w:val="26"/>
                <w:szCs w:val="26"/>
                <w:lang w:eastAsia="en-US"/>
              </w:rPr>
              <w:lastRenderedPageBreak/>
              <w:t>РОЗДІЛ XVII. ПРИКІНЦЕВІ ТА ПЕРЕХІДНІ ПОЛОЖЕННЯ</w:t>
            </w:r>
          </w:p>
          <w:p w:rsidR="00975646" w:rsidRDefault="00975646">
            <w:pPr>
              <w:pStyle w:val="1"/>
              <w:ind w:left="0"/>
              <w:jc w:val="both"/>
              <w:rPr>
                <w:rFonts w:ascii="Times New Roman" w:hAnsi="Times New Roman" w:cs="Times New Roman"/>
                <w:color w:val="000000" w:themeColor="text1"/>
                <w:sz w:val="26"/>
                <w:szCs w:val="26"/>
                <w:lang w:eastAsia="en-US"/>
              </w:rPr>
            </w:pPr>
            <w:r>
              <w:rPr>
                <w:rFonts w:ascii="Times New Roman" w:hAnsi="Times New Roman" w:cs="Times New Roman"/>
                <w:color w:val="000000" w:themeColor="text1"/>
                <w:sz w:val="26"/>
                <w:szCs w:val="26"/>
                <w:lang w:eastAsia="en-US"/>
              </w:rPr>
              <w:t>…</w:t>
            </w:r>
          </w:p>
          <w:p w:rsidR="00975646" w:rsidRDefault="00975646">
            <w:pPr>
              <w:tabs>
                <w:tab w:val="left" w:pos="965"/>
              </w:tabs>
              <w:ind w:left="34" w:firstLine="647"/>
              <w:jc w:val="both"/>
              <w:rPr>
                <w:rFonts w:ascii="Times New Roman" w:eastAsia="Times New Roman" w:hAnsi="Times New Roman" w:cs="Times New Roman"/>
                <w:sz w:val="26"/>
                <w:szCs w:val="26"/>
                <w:lang w:eastAsia="uk-UA"/>
              </w:rPr>
            </w:pPr>
            <w:r>
              <w:rPr>
                <w:rFonts w:ascii="Times New Roman" w:eastAsia="Times New Roman" w:hAnsi="Times New Roman" w:cs="Times New Roman"/>
                <w:color w:val="000000" w:themeColor="text1"/>
                <w:sz w:val="26"/>
                <w:szCs w:val="26"/>
                <w:lang w:eastAsia="uk-UA"/>
              </w:rPr>
              <w:lastRenderedPageBreak/>
              <w:t xml:space="preserve">11. </w:t>
            </w:r>
            <w:r>
              <w:rPr>
                <w:rFonts w:ascii="Times New Roman" w:eastAsia="Times New Roman" w:hAnsi="Times New Roman" w:cs="Times New Roman"/>
                <w:sz w:val="26"/>
                <w:szCs w:val="26"/>
                <w:lang w:eastAsia="uk-UA"/>
              </w:rPr>
              <w:t>Відсоток відшкодування гарантованому покупцю виробниками, які виробляють електричну енергію на об'єктах електроенергетики, що використовують енергію вітру та сонячного випромінювання, яким встановлено "зелений" тариф, і які входять до складу балансуючої групи виробників за "зеленим" тарифом, вартості врегулювання небалансу гарантованого покупця склада</w:t>
            </w:r>
            <w:proofErr w:type="gramStart"/>
            <w:r>
              <w:rPr>
                <w:rFonts w:ascii="Times New Roman" w:eastAsia="Times New Roman" w:hAnsi="Times New Roman" w:cs="Times New Roman"/>
                <w:sz w:val="26"/>
                <w:szCs w:val="26"/>
                <w:lang w:eastAsia="uk-UA"/>
              </w:rPr>
              <w:t>є:</w:t>
            </w:r>
            <w:proofErr w:type="gramEnd"/>
          </w:p>
          <w:p w:rsidR="00975646" w:rsidRDefault="00975646">
            <w:pPr>
              <w:ind w:firstLine="448"/>
              <w:jc w:val="both"/>
              <w:rPr>
                <w:rFonts w:ascii="Times New Roman" w:eastAsia="Times New Roman" w:hAnsi="Times New Roman" w:cs="Times New Roman"/>
                <w:sz w:val="26"/>
                <w:szCs w:val="26"/>
                <w:lang w:eastAsia="uk-UA"/>
              </w:rPr>
            </w:pP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до 31 грудня 2020 року – 0 %;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з 1 січня 2021 року – 10 %;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з 1 січня 2022 року – 20 %;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з 1 січня 2023 року – 30 %;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з 1 січня 2024 року – 40 %;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з 1 січня 2025 року – 50 %;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 xml:space="preserve">з 1 січня 2026 року – 60 %.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з 1 січня 2027 року – 70 %.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з 1 січня 2028 року – 80 %.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з 1 січня 2029 року – 90 %.</w:t>
            </w:r>
          </w:p>
          <w:p w:rsidR="00975646" w:rsidRPr="00A2432A" w:rsidRDefault="00975646">
            <w:pPr>
              <w:ind w:firstLine="448"/>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з 1 січня 2030 року – 100 %.</w:t>
            </w:r>
          </w:p>
          <w:p w:rsidR="00975646" w:rsidRPr="00A2432A" w:rsidRDefault="00975646">
            <w:pPr>
              <w:jc w:val="both"/>
              <w:rPr>
                <w:rFonts w:ascii="Times New Roman" w:eastAsia="Times New Roman" w:hAnsi="Times New Roman" w:cs="Times New Roman"/>
                <w:b/>
                <w:sz w:val="26"/>
                <w:szCs w:val="26"/>
                <w:lang w:eastAsia="uk-UA"/>
              </w:rPr>
            </w:pPr>
          </w:p>
          <w:p w:rsidR="00975646" w:rsidRPr="00A2432A" w:rsidRDefault="00975646">
            <w:pPr>
              <w:jc w:val="both"/>
              <w:rPr>
                <w:rFonts w:ascii="Times New Roman" w:eastAsia="Times New Roman" w:hAnsi="Times New Roman" w:cs="Times New Roman"/>
                <w:b/>
                <w:color w:val="000000" w:themeColor="text1"/>
                <w:sz w:val="26"/>
                <w:szCs w:val="26"/>
                <w:lang w:eastAsia="uk-UA"/>
              </w:rPr>
            </w:pPr>
            <w:r w:rsidRPr="00A2432A">
              <w:rPr>
                <w:rFonts w:ascii="Times New Roman" w:eastAsia="Times New Roman" w:hAnsi="Times New Roman" w:cs="Times New Roman"/>
                <w:b/>
                <w:sz w:val="26"/>
                <w:szCs w:val="26"/>
                <w:lang w:eastAsia="uk-UA"/>
              </w:rPr>
              <w:t xml:space="preserve">Відсоток відшкодування гарантованому покупцю вартості врегулювання небалансу гарантованого покупця, починаючи з 1 січня 2021 року, стосується виключно тих виробників </w:t>
            </w:r>
            <w:r w:rsidRPr="00A2432A">
              <w:rPr>
                <w:rFonts w:ascii="Times New Roman" w:eastAsia="Times New Roman" w:hAnsi="Times New Roman" w:cs="Times New Roman"/>
                <w:b/>
                <w:color w:val="000000" w:themeColor="text1"/>
                <w:sz w:val="26"/>
                <w:szCs w:val="26"/>
                <w:lang w:eastAsia="uk-UA"/>
              </w:rPr>
              <w:t>електричної енергії з відновлюваних джерел енергії (а з використанням гідроенергії – вироблену лише мікр</w:t>
            </w:r>
            <w:proofErr w:type="gramStart"/>
            <w:r w:rsidRPr="00A2432A">
              <w:rPr>
                <w:rFonts w:ascii="Times New Roman" w:eastAsia="Times New Roman" w:hAnsi="Times New Roman" w:cs="Times New Roman"/>
                <w:b/>
                <w:color w:val="000000" w:themeColor="text1"/>
                <w:sz w:val="26"/>
                <w:szCs w:val="26"/>
                <w:lang w:eastAsia="uk-UA"/>
              </w:rPr>
              <w:t>о-</w:t>
            </w:r>
            <w:proofErr w:type="gramEnd"/>
            <w:r w:rsidRPr="00A2432A">
              <w:rPr>
                <w:rFonts w:ascii="Times New Roman" w:eastAsia="Times New Roman" w:hAnsi="Times New Roman" w:cs="Times New Roman"/>
                <w:b/>
                <w:color w:val="000000" w:themeColor="text1"/>
                <w:sz w:val="26"/>
                <w:szCs w:val="26"/>
                <w:lang w:eastAsia="uk-UA"/>
              </w:rPr>
              <w:t>, міні- та малими гідроелектростанціями), в тому числі виробниками за «зеленим» тарифом, які</w:t>
            </w:r>
            <w:r w:rsidRPr="00A2432A">
              <w:rPr>
                <w:rFonts w:ascii="Times New Roman" w:hAnsi="Times New Roman" w:cs="Times New Roman"/>
                <w:b/>
                <w:sz w:val="26"/>
                <w:szCs w:val="26"/>
              </w:rPr>
              <w:t xml:space="preserve">, введені в експлуатацію </w:t>
            </w:r>
            <w:r w:rsidRPr="00A2432A">
              <w:rPr>
                <w:rFonts w:ascii="Times New Roman" w:eastAsia="Times New Roman" w:hAnsi="Times New Roman" w:cs="Times New Roman"/>
                <w:b/>
                <w:sz w:val="26"/>
                <w:szCs w:val="26"/>
                <w:lang w:eastAsia="uk-UA"/>
              </w:rPr>
              <w:t>з 1 січня 2021 року.</w:t>
            </w:r>
          </w:p>
          <w:p w:rsidR="00975646" w:rsidRPr="00A2432A" w:rsidRDefault="00975646">
            <w:pPr>
              <w:jc w:val="both"/>
              <w:rPr>
                <w:rFonts w:ascii="Times New Roman" w:eastAsia="Times New Roman" w:hAnsi="Times New Roman" w:cs="Times New Roman"/>
                <w:b/>
                <w:color w:val="000000" w:themeColor="text1"/>
                <w:sz w:val="26"/>
                <w:szCs w:val="26"/>
                <w:lang w:eastAsia="uk-UA"/>
              </w:rPr>
            </w:pPr>
          </w:p>
          <w:p w:rsidR="00975646" w:rsidRPr="00A2432A" w:rsidRDefault="00975646">
            <w:pPr>
              <w:jc w:val="both"/>
              <w:rPr>
                <w:rFonts w:ascii="Times New Roman" w:eastAsia="Times New Roman" w:hAnsi="Times New Roman" w:cs="Times New Roman"/>
                <w:b/>
                <w:sz w:val="26"/>
                <w:szCs w:val="26"/>
                <w:lang w:eastAsia="uk-UA"/>
              </w:rPr>
            </w:pPr>
            <w:r w:rsidRPr="00A2432A">
              <w:rPr>
                <w:rFonts w:ascii="Times New Roman" w:eastAsia="Times New Roman" w:hAnsi="Times New Roman" w:cs="Times New Roman"/>
                <w:b/>
                <w:sz w:val="26"/>
                <w:szCs w:val="26"/>
                <w:lang w:eastAsia="uk-UA"/>
              </w:rPr>
              <w:t xml:space="preserve">В разі поетапного введення в експлуатацію об'єкта </w:t>
            </w:r>
            <w:r w:rsidRPr="00A2432A">
              <w:rPr>
                <w:rFonts w:ascii="Times New Roman" w:hAnsi="Times New Roman" w:cs="Times New Roman"/>
                <w:b/>
                <w:sz w:val="26"/>
                <w:szCs w:val="26"/>
              </w:rPr>
              <w:t>виробництва електроенергії з відновлювальних джерел</w:t>
            </w:r>
            <w:r w:rsidRPr="00A2432A">
              <w:rPr>
                <w:rFonts w:ascii="Times New Roman" w:eastAsia="Times New Roman" w:hAnsi="Times New Roman" w:cs="Times New Roman"/>
                <w:b/>
                <w:sz w:val="26"/>
                <w:szCs w:val="26"/>
                <w:lang w:eastAsia="uk-UA"/>
              </w:rPr>
              <w:t xml:space="preserve"> </w:t>
            </w:r>
            <w:r w:rsidRPr="00A2432A">
              <w:rPr>
                <w:rFonts w:ascii="Times New Roman" w:eastAsia="Times New Roman" w:hAnsi="Times New Roman" w:cs="Times New Roman"/>
                <w:b/>
                <w:color w:val="000000" w:themeColor="text1"/>
                <w:sz w:val="26"/>
                <w:szCs w:val="26"/>
                <w:lang w:eastAsia="uk-UA"/>
              </w:rPr>
              <w:t xml:space="preserve">енергії (а з використанням гідроенергії – вироблену лише </w:t>
            </w:r>
            <w:r w:rsidRPr="00A2432A">
              <w:rPr>
                <w:rFonts w:ascii="Times New Roman" w:eastAsia="Times New Roman" w:hAnsi="Times New Roman" w:cs="Times New Roman"/>
                <w:b/>
                <w:color w:val="000000" w:themeColor="text1"/>
                <w:sz w:val="26"/>
                <w:szCs w:val="26"/>
                <w:lang w:eastAsia="uk-UA"/>
              </w:rPr>
              <w:lastRenderedPageBreak/>
              <w:t>мікр</w:t>
            </w:r>
            <w:proofErr w:type="gramStart"/>
            <w:r w:rsidRPr="00A2432A">
              <w:rPr>
                <w:rFonts w:ascii="Times New Roman" w:eastAsia="Times New Roman" w:hAnsi="Times New Roman" w:cs="Times New Roman"/>
                <w:b/>
                <w:color w:val="000000" w:themeColor="text1"/>
                <w:sz w:val="26"/>
                <w:szCs w:val="26"/>
                <w:lang w:eastAsia="uk-UA"/>
              </w:rPr>
              <w:t>о-</w:t>
            </w:r>
            <w:proofErr w:type="gramEnd"/>
            <w:r w:rsidRPr="00A2432A">
              <w:rPr>
                <w:rFonts w:ascii="Times New Roman" w:eastAsia="Times New Roman" w:hAnsi="Times New Roman" w:cs="Times New Roman"/>
                <w:b/>
                <w:color w:val="000000" w:themeColor="text1"/>
                <w:sz w:val="26"/>
                <w:szCs w:val="26"/>
                <w:lang w:eastAsia="uk-UA"/>
              </w:rPr>
              <w:t xml:space="preserve">, міні- та малими гідроелектростанціями) </w:t>
            </w:r>
            <w:r w:rsidRPr="00A2432A">
              <w:rPr>
                <w:rFonts w:ascii="Times New Roman" w:eastAsia="Times New Roman" w:hAnsi="Times New Roman" w:cs="Times New Roman"/>
                <w:b/>
                <w:sz w:val="26"/>
                <w:szCs w:val="26"/>
                <w:lang w:eastAsia="uk-UA"/>
              </w:rPr>
              <w:t>розмір відсотка відшкодування гарантованому покупцю вартості врегулювання небалансу гарантованого покупця</w:t>
            </w:r>
            <w:r w:rsidRPr="00A2432A">
              <w:rPr>
                <w:rFonts w:ascii="Times New Roman" w:hAnsi="Times New Roman" w:cs="Times New Roman"/>
                <w:b/>
                <w:color w:val="000000" w:themeColor="text1"/>
                <w:sz w:val="26"/>
                <w:szCs w:val="26"/>
              </w:rPr>
              <w:t xml:space="preserve"> на період до 31 грудня 2029 року включно</w:t>
            </w:r>
            <w:r w:rsidRPr="00A2432A">
              <w:rPr>
                <w:rFonts w:ascii="Times New Roman" w:eastAsia="Times New Roman" w:hAnsi="Times New Roman" w:cs="Times New Roman"/>
                <w:b/>
                <w:sz w:val="26"/>
                <w:szCs w:val="26"/>
                <w:lang w:eastAsia="uk-UA"/>
              </w:rPr>
              <w:t xml:space="preserve"> залишається у такому відсотковому розмі</w:t>
            </w:r>
            <w:proofErr w:type="gramStart"/>
            <w:r w:rsidRPr="00A2432A">
              <w:rPr>
                <w:rFonts w:ascii="Times New Roman" w:eastAsia="Times New Roman" w:hAnsi="Times New Roman" w:cs="Times New Roman"/>
                <w:b/>
                <w:sz w:val="26"/>
                <w:szCs w:val="26"/>
                <w:lang w:eastAsia="uk-UA"/>
              </w:rPr>
              <w:t>р</w:t>
            </w:r>
            <w:proofErr w:type="gramEnd"/>
            <w:r w:rsidRPr="00A2432A">
              <w:rPr>
                <w:rFonts w:ascii="Times New Roman" w:eastAsia="Times New Roman" w:hAnsi="Times New Roman" w:cs="Times New Roman"/>
                <w:b/>
                <w:sz w:val="26"/>
                <w:szCs w:val="26"/>
                <w:lang w:eastAsia="uk-UA"/>
              </w:rPr>
              <w:t xml:space="preserve">і відшкодування, який відповідає року введення в експлуатацію відповідного етапу об'єкта </w:t>
            </w:r>
            <w:r w:rsidRPr="00A2432A">
              <w:rPr>
                <w:rFonts w:ascii="Times New Roman" w:hAnsi="Times New Roman" w:cs="Times New Roman"/>
                <w:b/>
                <w:sz w:val="26"/>
                <w:szCs w:val="26"/>
              </w:rPr>
              <w:t>виробництва електроенергії з відновлювальних джерел</w:t>
            </w:r>
            <w:r w:rsidRPr="00A2432A">
              <w:rPr>
                <w:rFonts w:ascii="Times New Roman" w:eastAsia="Times New Roman" w:hAnsi="Times New Roman" w:cs="Times New Roman"/>
                <w:b/>
                <w:color w:val="000000" w:themeColor="text1"/>
                <w:sz w:val="26"/>
                <w:szCs w:val="26"/>
                <w:lang w:eastAsia="uk-UA"/>
              </w:rPr>
              <w:t xml:space="preserve"> енергії (а з використанням гідроенергії – вироблену лише мікро-, міні- та малими гідроелектростанціями)</w:t>
            </w:r>
            <w:r w:rsidRPr="00A2432A">
              <w:rPr>
                <w:rFonts w:ascii="Times New Roman" w:hAnsi="Times New Roman" w:cs="Times New Roman"/>
                <w:b/>
                <w:sz w:val="26"/>
                <w:szCs w:val="26"/>
              </w:rPr>
              <w:t>.</w:t>
            </w:r>
          </w:p>
          <w:p w:rsidR="00975646" w:rsidRPr="00A2432A" w:rsidRDefault="00975646">
            <w:pPr>
              <w:jc w:val="both"/>
              <w:rPr>
                <w:rFonts w:ascii="Times New Roman" w:eastAsia="Times New Roman" w:hAnsi="Times New Roman" w:cs="Times New Roman"/>
                <w:b/>
                <w:sz w:val="26"/>
                <w:szCs w:val="26"/>
                <w:lang w:eastAsia="uk-UA"/>
              </w:rPr>
            </w:pPr>
          </w:p>
          <w:p w:rsidR="00975646" w:rsidRPr="00A2432A" w:rsidRDefault="00975646">
            <w:pPr>
              <w:jc w:val="both"/>
              <w:rPr>
                <w:rFonts w:ascii="Times New Roman" w:hAnsi="Times New Roman" w:cs="Times New Roman"/>
                <w:b/>
                <w:color w:val="000000" w:themeColor="text1"/>
                <w:sz w:val="26"/>
                <w:szCs w:val="26"/>
              </w:rPr>
            </w:pPr>
            <w:r w:rsidRPr="00A2432A">
              <w:rPr>
                <w:rFonts w:ascii="Times New Roman" w:eastAsia="Times New Roman" w:hAnsi="Times New Roman" w:cs="Times New Roman"/>
                <w:b/>
                <w:sz w:val="26"/>
                <w:szCs w:val="26"/>
                <w:lang w:eastAsia="uk-UA"/>
              </w:rPr>
              <w:t>В</w:t>
            </w:r>
            <w:r w:rsidRPr="00A2432A">
              <w:rPr>
                <w:rFonts w:ascii="Times New Roman" w:hAnsi="Times New Roman" w:cs="Times New Roman"/>
                <w:b/>
                <w:color w:val="000000" w:themeColor="text1"/>
                <w:sz w:val="26"/>
                <w:szCs w:val="26"/>
              </w:rPr>
              <w:t>ідшкодування виробником, який виробляє електричну енергію на об'єктах електроенергетики, що використовують енергію вітру</w:t>
            </w:r>
            <w:r w:rsidRPr="00A2432A">
              <w:rPr>
                <w:rFonts w:ascii="Times New Roman" w:eastAsia="Times New Roman" w:hAnsi="Times New Roman" w:cs="Times New Roman"/>
                <w:b/>
                <w:color w:val="000000" w:themeColor="text1"/>
                <w:sz w:val="26"/>
                <w:szCs w:val="26"/>
                <w:lang w:eastAsia="uk-UA"/>
              </w:rPr>
              <w:t xml:space="preserve"> або енергію сонячного випромінювання</w:t>
            </w:r>
            <w:r w:rsidRPr="00A2432A">
              <w:rPr>
                <w:rFonts w:ascii="Times New Roman" w:hAnsi="Times New Roman" w:cs="Times New Roman"/>
                <w:b/>
                <w:color w:val="000000" w:themeColor="text1"/>
                <w:sz w:val="26"/>
                <w:szCs w:val="26"/>
              </w:rPr>
              <w:t xml:space="preserve">, та входить до складу балансуючої групи виробників за "зеленим" тарифом, вартості його небалансу гарантованому покупцю здійснюється у разі відхилення фактичних обсягів </w:t>
            </w:r>
            <w:proofErr w:type="gramStart"/>
            <w:r w:rsidRPr="00A2432A">
              <w:rPr>
                <w:rFonts w:ascii="Times New Roman" w:hAnsi="Times New Roman" w:cs="Times New Roman"/>
                <w:b/>
                <w:color w:val="000000" w:themeColor="text1"/>
                <w:sz w:val="26"/>
                <w:szCs w:val="26"/>
              </w:rPr>
              <w:t>в</w:t>
            </w:r>
            <w:proofErr w:type="gramEnd"/>
            <w:r w:rsidRPr="00A2432A">
              <w:rPr>
                <w:rFonts w:ascii="Times New Roman" w:hAnsi="Times New Roman" w:cs="Times New Roman"/>
                <w:b/>
                <w:color w:val="000000" w:themeColor="text1"/>
                <w:sz w:val="26"/>
                <w:szCs w:val="26"/>
              </w:rPr>
              <w:t>ідпуску електричної енергії такого виробника від його добового графіку відпуску електричної енергії:</w:t>
            </w:r>
          </w:p>
          <w:p w:rsidR="00975646" w:rsidRPr="00A2432A" w:rsidRDefault="00975646">
            <w:pPr>
              <w:jc w:val="both"/>
              <w:rPr>
                <w:rFonts w:ascii="Times New Roman" w:hAnsi="Times New Roman" w:cs="Times New Roman"/>
                <w:b/>
                <w:color w:val="000000" w:themeColor="text1"/>
                <w:sz w:val="26"/>
                <w:szCs w:val="26"/>
              </w:rPr>
            </w:pPr>
          </w:p>
          <w:p w:rsidR="00975646" w:rsidRPr="00A2432A" w:rsidRDefault="00975646">
            <w:pPr>
              <w:jc w:val="both"/>
              <w:rPr>
                <w:rFonts w:ascii="Times New Roman" w:hAnsi="Times New Roman" w:cs="Times New Roman"/>
                <w:b/>
                <w:color w:val="000000" w:themeColor="text1"/>
                <w:sz w:val="26"/>
                <w:szCs w:val="26"/>
              </w:rPr>
            </w:pPr>
            <w:r w:rsidRPr="00A2432A">
              <w:rPr>
                <w:rFonts w:ascii="Times New Roman" w:hAnsi="Times New Roman" w:cs="Times New Roman"/>
                <w:b/>
                <w:color w:val="000000" w:themeColor="text1"/>
                <w:sz w:val="26"/>
                <w:szCs w:val="26"/>
              </w:rPr>
              <w:t xml:space="preserve">       </w:t>
            </w:r>
            <w:r w:rsidRPr="00A2432A">
              <w:rPr>
                <w:rFonts w:ascii="Times New Roman" w:eastAsia="Times New Roman" w:hAnsi="Times New Roman" w:cs="Times New Roman"/>
                <w:b/>
                <w:sz w:val="26"/>
                <w:szCs w:val="26"/>
                <w:lang w:eastAsia="uk-UA"/>
              </w:rPr>
              <w:t>з 1 січня 2021 року</w:t>
            </w:r>
            <w:r w:rsidRPr="00A2432A">
              <w:rPr>
                <w:rFonts w:ascii="Times New Roman" w:hAnsi="Times New Roman" w:cs="Times New Roman"/>
                <w:b/>
                <w:color w:val="000000" w:themeColor="text1"/>
                <w:sz w:val="26"/>
                <w:szCs w:val="26"/>
              </w:rPr>
              <w:t xml:space="preserve"> до 31 грудня 2024 більше </w:t>
            </w:r>
            <w:proofErr w:type="gramStart"/>
            <w:r w:rsidRPr="00A2432A">
              <w:rPr>
                <w:rFonts w:ascii="Times New Roman" w:hAnsi="Times New Roman" w:cs="Times New Roman"/>
                <w:b/>
                <w:color w:val="000000" w:themeColor="text1"/>
                <w:sz w:val="26"/>
                <w:szCs w:val="26"/>
              </w:rPr>
              <w:t>ніж</w:t>
            </w:r>
            <w:proofErr w:type="gramEnd"/>
            <w:r w:rsidRPr="00A2432A">
              <w:rPr>
                <w:rFonts w:ascii="Times New Roman" w:hAnsi="Times New Roman" w:cs="Times New Roman"/>
                <w:b/>
                <w:color w:val="000000" w:themeColor="text1"/>
                <w:sz w:val="26"/>
                <w:szCs w:val="26"/>
              </w:rPr>
              <w:t xml:space="preserve"> на 25%.</w:t>
            </w:r>
          </w:p>
          <w:p w:rsidR="00975646" w:rsidRPr="00A2432A" w:rsidRDefault="00975646">
            <w:pPr>
              <w:jc w:val="both"/>
              <w:rPr>
                <w:rFonts w:ascii="Times New Roman" w:hAnsi="Times New Roman" w:cs="Times New Roman"/>
                <w:b/>
                <w:color w:val="000000" w:themeColor="text1"/>
                <w:sz w:val="26"/>
                <w:szCs w:val="26"/>
              </w:rPr>
            </w:pPr>
            <w:r w:rsidRPr="00A2432A">
              <w:rPr>
                <w:rFonts w:ascii="Times New Roman" w:eastAsia="Times New Roman" w:hAnsi="Times New Roman" w:cs="Times New Roman"/>
                <w:b/>
                <w:sz w:val="26"/>
                <w:szCs w:val="26"/>
                <w:lang w:eastAsia="uk-UA"/>
              </w:rPr>
              <w:t xml:space="preserve">       </w:t>
            </w:r>
          </w:p>
          <w:p w:rsidR="00975646" w:rsidRDefault="00975646">
            <w:pPr>
              <w:jc w:val="both"/>
              <w:rPr>
                <w:rFonts w:ascii="Times New Roman" w:hAnsi="Times New Roman" w:cs="Times New Roman"/>
                <w:sz w:val="26"/>
                <w:szCs w:val="26"/>
              </w:rPr>
            </w:pPr>
            <w:r w:rsidRPr="00A2432A">
              <w:rPr>
                <w:rFonts w:ascii="Times New Roman" w:eastAsia="Times New Roman" w:hAnsi="Times New Roman" w:cs="Times New Roman"/>
                <w:b/>
                <w:color w:val="000000" w:themeColor="text1"/>
                <w:sz w:val="26"/>
                <w:szCs w:val="26"/>
                <w:lang w:eastAsia="uk-UA"/>
              </w:rPr>
              <w:t xml:space="preserve">        Максимальна норма відшкодування вартості небалансів</w:t>
            </w:r>
            <w:r w:rsidRPr="00A2432A">
              <w:rPr>
                <w:rFonts w:ascii="Times New Roman" w:hAnsi="Times New Roman" w:cs="Times New Roman"/>
                <w:b/>
                <w:color w:val="000000" w:themeColor="text1"/>
                <w:sz w:val="26"/>
                <w:szCs w:val="26"/>
              </w:rPr>
              <w:t xml:space="preserve"> виробником, який виробляє електричну енергію на об'єктах електроенергетики, що використовують енергію вітру</w:t>
            </w:r>
            <w:r w:rsidRPr="00A2432A">
              <w:rPr>
                <w:rFonts w:ascii="Times New Roman" w:eastAsia="Times New Roman" w:hAnsi="Times New Roman" w:cs="Times New Roman"/>
                <w:b/>
                <w:color w:val="000000" w:themeColor="text1"/>
                <w:sz w:val="26"/>
                <w:szCs w:val="26"/>
                <w:lang w:eastAsia="uk-UA"/>
              </w:rPr>
              <w:t xml:space="preserve"> або енергію сонячного випромінювання, встановлюється на </w:t>
            </w:r>
            <w:proofErr w:type="gramStart"/>
            <w:r w:rsidRPr="00A2432A">
              <w:rPr>
                <w:rFonts w:ascii="Times New Roman" w:eastAsia="Times New Roman" w:hAnsi="Times New Roman" w:cs="Times New Roman"/>
                <w:b/>
                <w:color w:val="000000" w:themeColor="text1"/>
                <w:sz w:val="26"/>
                <w:szCs w:val="26"/>
                <w:lang w:eastAsia="uk-UA"/>
              </w:rPr>
              <w:t>р</w:t>
            </w:r>
            <w:proofErr w:type="gramEnd"/>
            <w:r w:rsidRPr="00A2432A">
              <w:rPr>
                <w:rFonts w:ascii="Times New Roman" w:eastAsia="Times New Roman" w:hAnsi="Times New Roman" w:cs="Times New Roman"/>
                <w:b/>
                <w:color w:val="000000" w:themeColor="text1"/>
                <w:sz w:val="26"/>
                <w:szCs w:val="26"/>
                <w:lang w:eastAsia="uk-UA"/>
              </w:rPr>
              <w:t>івні</w:t>
            </w:r>
            <w:r w:rsidRPr="00A2432A">
              <w:rPr>
                <w:rFonts w:ascii="Times New Roman" w:hAnsi="Times New Roman" w:cs="Times New Roman"/>
                <w:b/>
                <w:color w:val="000000" w:themeColor="text1"/>
                <w:sz w:val="26"/>
                <w:szCs w:val="26"/>
              </w:rPr>
              <w:t xml:space="preserve"> 5% від розміру «зеленого» тарифу, отриманого таким виробником до 31 грудня 2029 року включно.</w:t>
            </w:r>
          </w:p>
        </w:tc>
      </w:tr>
    </w:tbl>
    <w:p w:rsidR="00975646" w:rsidRDefault="00975646" w:rsidP="00975646">
      <w:pPr>
        <w:spacing w:after="0"/>
        <w:jc w:val="center"/>
        <w:rPr>
          <w:rFonts w:ascii="Times New Roman" w:hAnsi="Times New Roman" w:cs="Times New Roman"/>
          <w:b/>
          <w:bCs/>
          <w:sz w:val="26"/>
          <w:szCs w:val="26"/>
        </w:rPr>
      </w:pPr>
    </w:p>
    <w:p w:rsidR="00FA5359" w:rsidRPr="000D65A2" w:rsidRDefault="00FA5359">
      <w:pPr>
        <w:rPr>
          <w:lang w:val="ru-RU"/>
        </w:rPr>
      </w:pPr>
    </w:p>
    <w:sectPr w:rsidR="00FA5359" w:rsidRPr="000D65A2" w:rsidSect="00975646">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85E"/>
    <w:multiLevelType w:val="hybridMultilevel"/>
    <w:tmpl w:val="A9408FF4"/>
    <w:lvl w:ilvl="0" w:tplc="0B4CC0A6">
      <w:start w:val="1"/>
      <w:numFmt w:val="decimal"/>
      <w:suff w:val="space"/>
      <w:lvlText w:val="%1."/>
      <w:lvlJc w:val="left"/>
      <w:pPr>
        <w:ind w:left="0" w:firstLine="448"/>
      </w:pPr>
      <w:rPr>
        <w:rFonts w:cs="Times New Roman"/>
      </w:rPr>
    </w:lvl>
    <w:lvl w:ilvl="1" w:tplc="04190019">
      <w:start w:val="1"/>
      <w:numFmt w:val="lowerLetter"/>
      <w:lvlText w:val="%2."/>
      <w:lvlJc w:val="left"/>
      <w:pPr>
        <w:ind w:left="1528" w:hanging="360"/>
      </w:pPr>
      <w:rPr>
        <w:rFonts w:cs="Times New Roman"/>
      </w:rPr>
    </w:lvl>
    <w:lvl w:ilvl="2" w:tplc="0419001B">
      <w:start w:val="1"/>
      <w:numFmt w:val="lowerRoman"/>
      <w:lvlText w:val="%3."/>
      <w:lvlJc w:val="right"/>
      <w:pPr>
        <w:ind w:left="2248" w:hanging="180"/>
      </w:pPr>
      <w:rPr>
        <w:rFonts w:cs="Times New Roman"/>
      </w:rPr>
    </w:lvl>
    <w:lvl w:ilvl="3" w:tplc="0419000F">
      <w:start w:val="1"/>
      <w:numFmt w:val="decimal"/>
      <w:lvlText w:val="%4."/>
      <w:lvlJc w:val="left"/>
      <w:pPr>
        <w:ind w:left="2968" w:hanging="360"/>
      </w:pPr>
      <w:rPr>
        <w:rFonts w:cs="Times New Roman"/>
      </w:rPr>
    </w:lvl>
    <w:lvl w:ilvl="4" w:tplc="04190019">
      <w:start w:val="1"/>
      <w:numFmt w:val="lowerLetter"/>
      <w:lvlText w:val="%5."/>
      <w:lvlJc w:val="left"/>
      <w:pPr>
        <w:ind w:left="3688" w:hanging="360"/>
      </w:pPr>
      <w:rPr>
        <w:rFonts w:cs="Times New Roman"/>
      </w:rPr>
    </w:lvl>
    <w:lvl w:ilvl="5" w:tplc="0419001B">
      <w:start w:val="1"/>
      <w:numFmt w:val="lowerRoman"/>
      <w:lvlText w:val="%6."/>
      <w:lvlJc w:val="right"/>
      <w:pPr>
        <w:ind w:left="4408" w:hanging="180"/>
      </w:pPr>
      <w:rPr>
        <w:rFonts w:cs="Times New Roman"/>
      </w:rPr>
    </w:lvl>
    <w:lvl w:ilvl="6" w:tplc="0419000F">
      <w:start w:val="1"/>
      <w:numFmt w:val="decimal"/>
      <w:lvlText w:val="%7."/>
      <w:lvlJc w:val="left"/>
      <w:pPr>
        <w:ind w:left="5128" w:hanging="360"/>
      </w:pPr>
      <w:rPr>
        <w:rFonts w:cs="Times New Roman"/>
      </w:rPr>
    </w:lvl>
    <w:lvl w:ilvl="7" w:tplc="04190019">
      <w:start w:val="1"/>
      <w:numFmt w:val="lowerLetter"/>
      <w:lvlText w:val="%8."/>
      <w:lvlJc w:val="left"/>
      <w:pPr>
        <w:ind w:left="5848" w:hanging="360"/>
      </w:pPr>
      <w:rPr>
        <w:rFonts w:cs="Times New Roman"/>
      </w:rPr>
    </w:lvl>
    <w:lvl w:ilvl="8" w:tplc="0419001B">
      <w:start w:val="1"/>
      <w:numFmt w:val="lowerRoman"/>
      <w:lvlText w:val="%9."/>
      <w:lvlJc w:val="right"/>
      <w:pPr>
        <w:ind w:left="6568" w:hanging="180"/>
      </w:pPr>
      <w:rPr>
        <w:rFonts w:cs="Times New Roman"/>
      </w:rPr>
    </w:lvl>
  </w:abstractNum>
  <w:abstractNum w:abstractNumId="1">
    <w:nsid w:val="3D7C7212"/>
    <w:multiLevelType w:val="hybridMultilevel"/>
    <w:tmpl w:val="0BC0452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736D5E"/>
    <w:multiLevelType w:val="hybridMultilevel"/>
    <w:tmpl w:val="A9408FF4"/>
    <w:lvl w:ilvl="0" w:tplc="0B4CC0A6">
      <w:start w:val="1"/>
      <w:numFmt w:val="decimal"/>
      <w:suff w:val="space"/>
      <w:lvlText w:val="%1."/>
      <w:lvlJc w:val="left"/>
      <w:pPr>
        <w:ind w:left="0" w:firstLine="448"/>
      </w:pPr>
      <w:rPr>
        <w:rFonts w:cs="Times New Roman"/>
      </w:rPr>
    </w:lvl>
    <w:lvl w:ilvl="1" w:tplc="04190019">
      <w:start w:val="1"/>
      <w:numFmt w:val="lowerLetter"/>
      <w:lvlText w:val="%2."/>
      <w:lvlJc w:val="left"/>
      <w:pPr>
        <w:ind w:left="1528" w:hanging="360"/>
      </w:pPr>
      <w:rPr>
        <w:rFonts w:cs="Times New Roman"/>
      </w:rPr>
    </w:lvl>
    <w:lvl w:ilvl="2" w:tplc="0419001B">
      <w:start w:val="1"/>
      <w:numFmt w:val="lowerRoman"/>
      <w:lvlText w:val="%3."/>
      <w:lvlJc w:val="right"/>
      <w:pPr>
        <w:ind w:left="2248" w:hanging="180"/>
      </w:pPr>
      <w:rPr>
        <w:rFonts w:cs="Times New Roman"/>
      </w:rPr>
    </w:lvl>
    <w:lvl w:ilvl="3" w:tplc="0419000F">
      <w:start w:val="1"/>
      <w:numFmt w:val="decimal"/>
      <w:lvlText w:val="%4."/>
      <w:lvlJc w:val="left"/>
      <w:pPr>
        <w:ind w:left="2968" w:hanging="360"/>
      </w:pPr>
      <w:rPr>
        <w:rFonts w:cs="Times New Roman"/>
      </w:rPr>
    </w:lvl>
    <w:lvl w:ilvl="4" w:tplc="04190019">
      <w:start w:val="1"/>
      <w:numFmt w:val="lowerLetter"/>
      <w:lvlText w:val="%5."/>
      <w:lvlJc w:val="left"/>
      <w:pPr>
        <w:ind w:left="3688" w:hanging="360"/>
      </w:pPr>
      <w:rPr>
        <w:rFonts w:cs="Times New Roman"/>
      </w:rPr>
    </w:lvl>
    <w:lvl w:ilvl="5" w:tplc="0419001B">
      <w:start w:val="1"/>
      <w:numFmt w:val="lowerRoman"/>
      <w:lvlText w:val="%6."/>
      <w:lvlJc w:val="right"/>
      <w:pPr>
        <w:ind w:left="4408" w:hanging="180"/>
      </w:pPr>
      <w:rPr>
        <w:rFonts w:cs="Times New Roman"/>
      </w:rPr>
    </w:lvl>
    <w:lvl w:ilvl="6" w:tplc="0419000F">
      <w:start w:val="1"/>
      <w:numFmt w:val="decimal"/>
      <w:lvlText w:val="%7."/>
      <w:lvlJc w:val="left"/>
      <w:pPr>
        <w:ind w:left="5128" w:hanging="360"/>
      </w:pPr>
      <w:rPr>
        <w:rFonts w:cs="Times New Roman"/>
      </w:rPr>
    </w:lvl>
    <w:lvl w:ilvl="7" w:tplc="04190019">
      <w:start w:val="1"/>
      <w:numFmt w:val="lowerLetter"/>
      <w:lvlText w:val="%8."/>
      <w:lvlJc w:val="left"/>
      <w:pPr>
        <w:ind w:left="5848" w:hanging="360"/>
      </w:pPr>
      <w:rPr>
        <w:rFonts w:cs="Times New Roman"/>
      </w:rPr>
    </w:lvl>
    <w:lvl w:ilvl="8" w:tplc="0419001B">
      <w:start w:val="1"/>
      <w:numFmt w:val="lowerRoman"/>
      <w:lvlText w:val="%9."/>
      <w:lvlJc w:val="right"/>
      <w:pPr>
        <w:ind w:left="6568" w:hanging="180"/>
      </w:pPr>
      <w:rPr>
        <w:rFonts w:cs="Times New Roman"/>
      </w:rPr>
    </w:lvl>
  </w:abstractNum>
  <w:abstractNum w:abstractNumId="3">
    <w:nsid w:val="64E5640B"/>
    <w:multiLevelType w:val="hybridMultilevel"/>
    <w:tmpl w:val="B4141674"/>
    <w:lvl w:ilvl="0" w:tplc="EB8E5328">
      <w:start w:val="1"/>
      <w:numFmt w:val="decimal"/>
      <w:lvlText w:val="%1)"/>
      <w:lvlJc w:val="left"/>
      <w:pPr>
        <w:ind w:left="810" w:hanging="360"/>
      </w:pPr>
      <w:rPr>
        <w:rFonts w:cs="Times New Roman"/>
      </w:rPr>
    </w:lvl>
    <w:lvl w:ilvl="1" w:tplc="08090019">
      <w:start w:val="1"/>
      <w:numFmt w:val="lowerLetter"/>
      <w:lvlText w:val="%2."/>
      <w:lvlJc w:val="left"/>
      <w:pPr>
        <w:ind w:left="1530" w:hanging="360"/>
      </w:pPr>
      <w:rPr>
        <w:rFonts w:cs="Times New Roman"/>
      </w:rPr>
    </w:lvl>
    <w:lvl w:ilvl="2" w:tplc="0809001B">
      <w:start w:val="1"/>
      <w:numFmt w:val="lowerRoman"/>
      <w:lvlText w:val="%3."/>
      <w:lvlJc w:val="right"/>
      <w:pPr>
        <w:ind w:left="2250" w:hanging="180"/>
      </w:pPr>
      <w:rPr>
        <w:rFonts w:cs="Times New Roman"/>
      </w:rPr>
    </w:lvl>
    <w:lvl w:ilvl="3" w:tplc="0809000F">
      <w:start w:val="1"/>
      <w:numFmt w:val="decimal"/>
      <w:lvlText w:val="%4."/>
      <w:lvlJc w:val="left"/>
      <w:pPr>
        <w:ind w:left="2970" w:hanging="360"/>
      </w:pPr>
      <w:rPr>
        <w:rFonts w:cs="Times New Roman"/>
      </w:rPr>
    </w:lvl>
    <w:lvl w:ilvl="4" w:tplc="08090019">
      <w:start w:val="1"/>
      <w:numFmt w:val="lowerLetter"/>
      <w:lvlText w:val="%5."/>
      <w:lvlJc w:val="left"/>
      <w:pPr>
        <w:ind w:left="3690" w:hanging="360"/>
      </w:pPr>
      <w:rPr>
        <w:rFonts w:cs="Times New Roman"/>
      </w:rPr>
    </w:lvl>
    <w:lvl w:ilvl="5" w:tplc="0809001B">
      <w:start w:val="1"/>
      <w:numFmt w:val="lowerRoman"/>
      <w:lvlText w:val="%6."/>
      <w:lvlJc w:val="right"/>
      <w:pPr>
        <w:ind w:left="4410" w:hanging="180"/>
      </w:pPr>
      <w:rPr>
        <w:rFonts w:cs="Times New Roman"/>
      </w:rPr>
    </w:lvl>
    <w:lvl w:ilvl="6" w:tplc="0809000F">
      <w:start w:val="1"/>
      <w:numFmt w:val="decimal"/>
      <w:lvlText w:val="%7."/>
      <w:lvlJc w:val="left"/>
      <w:pPr>
        <w:ind w:left="5130" w:hanging="360"/>
      </w:pPr>
      <w:rPr>
        <w:rFonts w:cs="Times New Roman"/>
      </w:rPr>
    </w:lvl>
    <w:lvl w:ilvl="7" w:tplc="08090019">
      <w:start w:val="1"/>
      <w:numFmt w:val="lowerLetter"/>
      <w:lvlText w:val="%8."/>
      <w:lvlJc w:val="left"/>
      <w:pPr>
        <w:ind w:left="5850" w:hanging="360"/>
      </w:pPr>
      <w:rPr>
        <w:rFonts w:cs="Times New Roman"/>
      </w:rPr>
    </w:lvl>
    <w:lvl w:ilvl="8" w:tplc="0809001B">
      <w:start w:val="1"/>
      <w:numFmt w:val="lowerRoman"/>
      <w:lvlText w:val="%9."/>
      <w:lvlJc w:val="right"/>
      <w:pPr>
        <w:ind w:left="657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46"/>
    <w:rsid w:val="000C0D0E"/>
    <w:rsid w:val="000D65A2"/>
    <w:rsid w:val="001C4259"/>
    <w:rsid w:val="00326D7C"/>
    <w:rsid w:val="00345A76"/>
    <w:rsid w:val="003875D1"/>
    <w:rsid w:val="00420877"/>
    <w:rsid w:val="00715200"/>
    <w:rsid w:val="007F6E00"/>
    <w:rsid w:val="008528A8"/>
    <w:rsid w:val="00894208"/>
    <w:rsid w:val="008F4CA3"/>
    <w:rsid w:val="00975646"/>
    <w:rsid w:val="0098151C"/>
    <w:rsid w:val="009A58AD"/>
    <w:rsid w:val="00A2432A"/>
    <w:rsid w:val="00A565CF"/>
    <w:rsid w:val="00AC6D93"/>
    <w:rsid w:val="00BA6AE7"/>
    <w:rsid w:val="00C7329E"/>
    <w:rsid w:val="00CA0DC5"/>
    <w:rsid w:val="00CA28DB"/>
    <w:rsid w:val="00CE079C"/>
    <w:rsid w:val="00DB18B1"/>
    <w:rsid w:val="00E6202E"/>
    <w:rsid w:val="00FA53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5646"/>
    <w:pPr>
      <w:ind w:left="720"/>
    </w:pPr>
    <w:rPr>
      <w:rFonts w:ascii="Calibri" w:eastAsia="Times New Roman" w:hAnsi="Calibri" w:cs="Calibri"/>
      <w:lang w:eastAsia="uk-UA"/>
    </w:rPr>
  </w:style>
  <w:style w:type="character" w:customStyle="1" w:styleId="a4">
    <w:name w:val="Абзац списка Знак"/>
    <w:link w:val="1"/>
    <w:locked/>
    <w:rsid w:val="00975646"/>
    <w:rPr>
      <w:rFonts w:ascii="Calibri" w:eastAsia="Times New Roman" w:hAnsi="Calibri" w:cs="Calibri"/>
      <w:lang w:eastAsia="uk-UA"/>
    </w:rPr>
  </w:style>
  <w:style w:type="paragraph" w:customStyle="1" w:styleId="1">
    <w:name w:val="Абзац списка1"/>
    <w:basedOn w:val="a"/>
    <w:link w:val="a4"/>
    <w:rsid w:val="00975646"/>
    <w:pPr>
      <w:ind w:left="720"/>
    </w:pPr>
    <w:rPr>
      <w:rFonts w:ascii="Calibri" w:eastAsia="Times New Roman" w:hAnsi="Calibri" w:cs="Calibri"/>
      <w:lang w:eastAsia="uk-UA"/>
    </w:rPr>
  </w:style>
  <w:style w:type="table" w:styleId="a5">
    <w:name w:val="Table Grid"/>
    <w:basedOn w:val="a1"/>
    <w:uiPriority w:val="59"/>
    <w:rsid w:val="009756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65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5646"/>
    <w:pPr>
      <w:ind w:left="720"/>
    </w:pPr>
    <w:rPr>
      <w:rFonts w:ascii="Calibri" w:eastAsia="Times New Roman" w:hAnsi="Calibri" w:cs="Calibri"/>
      <w:lang w:eastAsia="uk-UA"/>
    </w:rPr>
  </w:style>
  <w:style w:type="character" w:customStyle="1" w:styleId="a4">
    <w:name w:val="Абзац списка Знак"/>
    <w:link w:val="1"/>
    <w:locked/>
    <w:rsid w:val="00975646"/>
    <w:rPr>
      <w:rFonts w:ascii="Calibri" w:eastAsia="Times New Roman" w:hAnsi="Calibri" w:cs="Calibri"/>
      <w:lang w:eastAsia="uk-UA"/>
    </w:rPr>
  </w:style>
  <w:style w:type="paragraph" w:customStyle="1" w:styleId="1">
    <w:name w:val="Абзац списка1"/>
    <w:basedOn w:val="a"/>
    <w:link w:val="a4"/>
    <w:rsid w:val="00975646"/>
    <w:pPr>
      <w:ind w:left="720"/>
    </w:pPr>
    <w:rPr>
      <w:rFonts w:ascii="Calibri" w:eastAsia="Times New Roman" w:hAnsi="Calibri" w:cs="Calibri"/>
      <w:lang w:eastAsia="uk-UA"/>
    </w:rPr>
  </w:style>
  <w:style w:type="table" w:styleId="a5">
    <w:name w:val="Table Grid"/>
    <w:basedOn w:val="a1"/>
    <w:uiPriority w:val="59"/>
    <w:rsid w:val="009756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65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E7EF-BC45-4A2A-8585-5D5314F7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8454</Words>
  <Characters>4820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Bulka</dc:creator>
  <cp:lastModifiedBy>Viktoria Bulka</cp:lastModifiedBy>
  <cp:revision>2</cp:revision>
  <cp:lastPrinted>2016-03-15T09:33:00Z</cp:lastPrinted>
  <dcterms:created xsi:type="dcterms:W3CDTF">2016-03-17T12:01:00Z</dcterms:created>
  <dcterms:modified xsi:type="dcterms:W3CDTF">2016-03-17T12:01:00Z</dcterms:modified>
</cp:coreProperties>
</file>