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DC4" w:rsidRPr="00021B78" w:rsidRDefault="00AC0DC4" w:rsidP="00AC0DC4">
      <w:pPr>
        <w:pStyle w:val="normal"/>
        <w:spacing w:before="120"/>
        <w:jc w:val="center"/>
        <w:rPr>
          <w:rFonts w:ascii="Times New Roman" w:hAnsi="Times New Roman" w:cs="Times New Roman"/>
          <w:b/>
          <w:lang w:val="uk-UA"/>
        </w:rPr>
      </w:pPr>
      <w:r w:rsidRPr="00021B78">
        <w:rPr>
          <w:rFonts w:ascii="Times New Roman" w:hAnsi="Times New Roman" w:cs="Times New Roman"/>
          <w:b/>
          <w:lang w:val="uk-UA"/>
        </w:rPr>
        <w:t xml:space="preserve">Аналіз статей глави </w:t>
      </w:r>
      <w:r>
        <w:rPr>
          <w:rFonts w:ascii="Times New Roman" w:hAnsi="Times New Roman" w:cs="Times New Roman"/>
          <w:b/>
          <w:lang w:val="uk-UA"/>
        </w:rPr>
        <w:t>3</w:t>
      </w:r>
      <w:r w:rsidR="00BE1FF8" w:rsidRPr="00BE1FF8">
        <w:rPr>
          <w:rFonts w:ascii="Times New Roman" w:hAnsi="Times New Roman" w:cs="Times New Roman"/>
          <w:b/>
          <w:lang w:val="ru-RU"/>
        </w:rPr>
        <w:t>9</w:t>
      </w:r>
      <w:r w:rsidRPr="00021B78">
        <w:rPr>
          <w:rFonts w:ascii="Times New Roman" w:hAnsi="Times New Roman" w:cs="Times New Roman"/>
          <w:b/>
          <w:lang w:val="uk-UA"/>
        </w:rPr>
        <w:t xml:space="preserve"> Господарського Кодексу України</w:t>
      </w:r>
    </w:p>
    <w:p w:rsidR="00AC0DC4" w:rsidRPr="00021B78" w:rsidRDefault="00AC0DC4" w:rsidP="00AC0DC4">
      <w:pPr>
        <w:pStyle w:val="normal"/>
        <w:spacing w:before="120"/>
        <w:rPr>
          <w:rFonts w:ascii="Times New Roman" w:hAnsi="Times New Roman" w:cs="Times New Roman"/>
          <w:lang w:val="uk-UA"/>
        </w:rPr>
      </w:pPr>
    </w:p>
    <w:tbl>
      <w:tblPr>
        <w:tblW w:w="1570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8"/>
        <w:gridCol w:w="3942"/>
        <w:gridCol w:w="3962"/>
        <w:gridCol w:w="2275"/>
        <w:gridCol w:w="2127"/>
        <w:gridCol w:w="2834"/>
      </w:tblGrid>
      <w:tr w:rsidR="00AC0DC4" w:rsidRPr="00245E67" w:rsidTr="00565623">
        <w:tc>
          <w:tcPr>
            <w:tcW w:w="15708" w:type="dxa"/>
            <w:gridSpan w:val="6"/>
            <w:shd w:val="clear" w:color="auto" w:fill="B6D7A8"/>
          </w:tcPr>
          <w:p w:rsidR="00AC0DC4" w:rsidRPr="00021B78" w:rsidRDefault="00AC0DC4" w:rsidP="00565623">
            <w:pPr>
              <w:pStyle w:val="normal"/>
              <w:spacing w:before="120"/>
              <w:jc w:val="center"/>
              <w:rPr>
                <w:lang w:val="uk-UA"/>
              </w:rPr>
            </w:pPr>
            <w:r w:rsidRPr="00021B78">
              <w:rPr>
                <w:b/>
                <w:lang w:val="uk-UA"/>
              </w:rPr>
              <w:t>Господарський кодекс України</w:t>
            </w:r>
          </w:p>
          <w:p w:rsidR="00AC0DC4" w:rsidRPr="00021B78" w:rsidRDefault="00BE1FF8" w:rsidP="00BE1FF8">
            <w:pPr>
              <w:pStyle w:val="normal"/>
              <w:spacing w:before="120"/>
              <w:jc w:val="center"/>
              <w:rPr>
                <w:lang w:val="uk-UA"/>
              </w:rPr>
            </w:pPr>
            <w:bookmarkStart w:id="0" w:name="h.gjdgxs" w:colFirst="0" w:colLast="0"/>
            <w:bookmarkEnd w:id="0"/>
            <w:r w:rsidRPr="00BE1FF8">
              <w:rPr>
                <w:b/>
                <w:lang w:val="uk-UA"/>
              </w:rPr>
              <w:t xml:space="preserve">Глава 39 СПЕЦІАЛЬНІ (ВІЛЬНІ) ЕКОНОМІЧНІ ЗОНИ </w:t>
            </w:r>
          </w:p>
        </w:tc>
      </w:tr>
      <w:tr w:rsidR="00AC0DC4" w:rsidRPr="00021B78" w:rsidTr="00375BF8">
        <w:tc>
          <w:tcPr>
            <w:tcW w:w="568" w:type="dxa"/>
            <w:tcBorders>
              <w:bottom w:val="single" w:sz="4" w:space="0" w:color="000000"/>
            </w:tcBorders>
            <w:shd w:val="clear" w:color="auto" w:fill="C9DAF8"/>
          </w:tcPr>
          <w:p w:rsidR="00AC0DC4" w:rsidRPr="00021B78" w:rsidRDefault="00AC0DC4" w:rsidP="00565623">
            <w:pPr>
              <w:pStyle w:val="normal"/>
              <w:spacing w:before="120"/>
              <w:jc w:val="center"/>
              <w:rPr>
                <w:lang w:val="uk-UA"/>
              </w:rPr>
            </w:pPr>
            <w:r w:rsidRPr="00021B78">
              <w:rPr>
                <w:b/>
                <w:lang w:val="uk-UA"/>
              </w:rPr>
              <w:t>№</w:t>
            </w:r>
          </w:p>
        </w:tc>
        <w:tc>
          <w:tcPr>
            <w:tcW w:w="3942" w:type="dxa"/>
            <w:tcBorders>
              <w:bottom w:val="single" w:sz="4" w:space="0" w:color="000000"/>
            </w:tcBorders>
            <w:shd w:val="clear" w:color="auto" w:fill="C9DAF8"/>
          </w:tcPr>
          <w:p w:rsidR="00AC0DC4" w:rsidRPr="00021B78" w:rsidRDefault="00AC0DC4" w:rsidP="00565623">
            <w:pPr>
              <w:pStyle w:val="normal"/>
              <w:spacing w:before="120"/>
              <w:jc w:val="center"/>
              <w:rPr>
                <w:lang w:val="uk-UA"/>
              </w:rPr>
            </w:pPr>
            <w:r w:rsidRPr="00021B78">
              <w:rPr>
                <w:b/>
                <w:lang w:val="uk-UA"/>
              </w:rPr>
              <w:t>Норма діючого ГКУ</w:t>
            </w:r>
          </w:p>
        </w:tc>
        <w:tc>
          <w:tcPr>
            <w:tcW w:w="3962" w:type="dxa"/>
            <w:tcBorders>
              <w:bottom w:val="single" w:sz="4" w:space="0" w:color="000000"/>
            </w:tcBorders>
            <w:shd w:val="clear" w:color="auto" w:fill="C9DAF8"/>
          </w:tcPr>
          <w:p w:rsidR="00AC0DC4" w:rsidRPr="00021B78" w:rsidRDefault="00AC0DC4" w:rsidP="00565623">
            <w:pPr>
              <w:pStyle w:val="normal"/>
              <w:spacing w:before="120"/>
              <w:jc w:val="center"/>
              <w:rPr>
                <w:lang w:val="uk-UA"/>
              </w:rPr>
            </w:pPr>
            <w:r w:rsidRPr="00021B78">
              <w:rPr>
                <w:b/>
                <w:lang w:val="uk-UA"/>
              </w:rPr>
              <w:t>Чи дублює норма положення інших НПА/відсилає до них</w:t>
            </w:r>
          </w:p>
        </w:tc>
        <w:tc>
          <w:tcPr>
            <w:tcW w:w="2275" w:type="dxa"/>
            <w:tcBorders>
              <w:bottom w:val="single" w:sz="4" w:space="0" w:color="000000"/>
            </w:tcBorders>
            <w:shd w:val="clear" w:color="auto" w:fill="C9DAF8"/>
          </w:tcPr>
          <w:p w:rsidR="00AC0DC4" w:rsidRPr="00021B78" w:rsidRDefault="00AC0DC4" w:rsidP="00565623">
            <w:pPr>
              <w:pStyle w:val="normal"/>
              <w:spacing w:before="120"/>
              <w:jc w:val="center"/>
              <w:rPr>
                <w:lang w:val="uk-UA"/>
              </w:rPr>
            </w:pPr>
            <w:r w:rsidRPr="00021B78">
              <w:rPr>
                <w:b/>
                <w:lang w:val="uk-UA"/>
              </w:rPr>
              <w:t xml:space="preserve">Судова практика </w:t>
            </w:r>
          </w:p>
        </w:tc>
        <w:tc>
          <w:tcPr>
            <w:tcW w:w="2127" w:type="dxa"/>
            <w:tcBorders>
              <w:bottom w:val="single" w:sz="4" w:space="0" w:color="000000"/>
            </w:tcBorders>
            <w:shd w:val="clear" w:color="auto" w:fill="C9DAF8"/>
          </w:tcPr>
          <w:p w:rsidR="00AC0DC4" w:rsidRPr="00021B78" w:rsidRDefault="00AC0DC4" w:rsidP="00565623">
            <w:pPr>
              <w:pStyle w:val="normal"/>
              <w:spacing w:before="120"/>
              <w:jc w:val="center"/>
              <w:rPr>
                <w:lang w:val="uk-UA"/>
              </w:rPr>
            </w:pPr>
            <w:r w:rsidRPr="00021B78">
              <w:rPr>
                <w:b/>
                <w:lang w:val="uk-UA"/>
              </w:rPr>
              <w:t>Пропозиції щодо зміни формулювання / перенесення</w:t>
            </w:r>
          </w:p>
        </w:tc>
        <w:tc>
          <w:tcPr>
            <w:tcW w:w="2834" w:type="dxa"/>
            <w:tcBorders>
              <w:bottom w:val="single" w:sz="4" w:space="0" w:color="000000"/>
            </w:tcBorders>
            <w:shd w:val="clear" w:color="auto" w:fill="C9DAF8"/>
          </w:tcPr>
          <w:p w:rsidR="00AC0DC4" w:rsidRPr="00021B78" w:rsidRDefault="00AC0DC4" w:rsidP="00565623">
            <w:pPr>
              <w:pStyle w:val="normal"/>
              <w:spacing w:before="120"/>
              <w:jc w:val="center"/>
              <w:rPr>
                <w:lang w:val="uk-UA"/>
              </w:rPr>
            </w:pPr>
            <w:r w:rsidRPr="00021B78">
              <w:rPr>
                <w:b/>
                <w:lang w:val="uk-UA"/>
              </w:rPr>
              <w:t>Аргументація</w:t>
            </w:r>
          </w:p>
        </w:tc>
      </w:tr>
      <w:tr w:rsidR="00AC0DC4" w:rsidRPr="00245E67" w:rsidTr="00A21FA6">
        <w:trPr>
          <w:trHeight w:val="5820"/>
        </w:trPr>
        <w:tc>
          <w:tcPr>
            <w:tcW w:w="568" w:type="dxa"/>
            <w:tcBorders>
              <w:bottom w:val="single" w:sz="4" w:space="0" w:color="auto"/>
            </w:tcBorders>
            <w:shd w:val="clear" w:color="auto" w:fill="auto"/>
          </w:tcPr>
          <w:p w:rsidR="00AC0DC4" w:rsidRPr="009628B1" w:rsidRDefault="00AC0DC4" w:rsidP="00565623">
            <w:pPr>
              <w:pStyle w:val="normal"/>
              <w:spacing w:before="120"/>
              <w:jc w:val="both"/>
              <w:rPr>
                <w:rFonts w:ascii="Times New Roman" w:hAnsi="Times New Roman" w:cs="Times New Roman"/>
                <w:lang w:val="uk-UA"/>
              </w:rPr>
            </w:pPr>
            <w:r w:rsidRPr="009628B1">
              <w:rPr>
                <w:rFonts w:ascii="Times New Roman" w:hAnsi="Times New Roman" w:cs="Times New Roman"/>
                <w:lang w:val="uk-UA"/>
              </w:rPr>
              <w:t>1.</w:t>
            </w:r>
          </w:p>
        </w:tc>
        <w:tc>
          <w:tcPr>
            <w:tcW w:w="3942" w:type="dxa"/>
            <w:tcBorders>
              <w:bottom w:val="single" w:sz="4" w:space="0" w:color="auto"/>
            </w:tcBorders>
            <w:shd w:val="clear" w:color="auto" w:fill="auto"/>
          </w:tcPr>
          <w:p w:rsidR="00BE1FF8" w:rsidRPr="00BE1FF8" w:rsidRDefault="00BE1FF8" w:rsidP="00BE1FF8">
            <w:pPr>
              <w:pStyle w:val="normal"/>
              <w:spacing w:before="120"/>
              <w:jc w:val="both"/>
              <w:rPr>
                <w:rFonts w:ascii="Times New Roman" w:hAnsi="Times New Roman" w:cs="Times New Roman"/>
                <w:b/>
                <w:lang w:val="uk-UA"/>
              </w:rPr>
            </w:pPr>
            <w:r w:rsidRPr="00BE1FF8">
              <w:rPr>
                <w:rFonts w:ascii="Times New Roman" w:hAnsi="Times New Roman" w:cs="Times New Roman"/>
                <w:b/>
                <w:lang w:val="uk-UA"/>
              </w:rPr>
              <w:t>Стаття 401. Визначення спеціальної (вільної) економічної зони</w:t>
            </w:r>
          </w:p>
          <w:p w:rsidR="00BE1FF8" w:rsidRPr="00BE1FF8" w:rsidRDefault="00BE1FF8" w:rsidP="00BE1FF8">
            <w:pPr>
              <w:pStyle w:val="normal"/>
              <w:spacing w:before="120"/>
              <w:jc w:val="both"/>
              <w:rPr>
                <w:rFonts w:ascii="Times New Roman" w:hAnsi="Times New Roman" w:cs="Times New Roman"/>
                <w:lang w:val="uk-UA"/>
              </w:rPr>
            </w:pPr>
            <w:r w:rsidRPr="00BE1FF8">
              <w:rPr>
                <w:rFonts w:ascii="Times New Roman" w:hAnsi="Times New Roman" w:cs="Times New Roman"/>
                <w:lang w:val="uk-UA"/>
              </w:rPr>
              <w:t xml:space="preserve">1. Спеціальною (вільною) економічною зоною вважається частина території України, на якій встановлено спеціальний правовий режим господарської діяльності, особливий порядок застосування та дії законодавства України. На території спеціальної (вільної) економічної зони можуть запроваджуватися пільгові митні, податкові, валютно-фінансові та інші умови підприємництва вітчизняних та іноземних інвесторів. </w:t>
            </w:r>
          </w:p>
          <w:p w:rsidR="00BE1FF8" w:rsidRDefault="00BE1FF8" w:rsidP="00BE1FF8">
            <w:pPr>
              <w:pStyle w:val="normal"/>
              <w:spacing w:before="120"/>
              <w:jc w:val="both"/>
              <w:rPr>
                <w:rFonts w:ascii="Times New Roman" w:hAnsi="Times New Roman" w:cs="Times New Roman"/>
                <w:lang w:val="uk-UA"/>
              </w:rPr>
            </w:pPr>
          </w:p>
          <w:p w:rsidR="00AC0DC4" w:rsidRPr="009628B1" w:rsidRDefault="00AC0DC4" w:rsidP="00BE1FF8">
            <w:pPr>
              <w:pStyle w:val="normal"/>
              <w:spacing w:before="120"/>
              <w:jc w:val="both"/>
              <w:rPr>
                <w:rFonts w:ascii="Times New Roman" w:hAnsi="Times New Roman" w:cs="Times New Roman"/>
                <w:lang w:val="uk-UA"/>
              </w:rPr>
            </w:pPr>
          </w:p>
        </w:tc>
        <w:tc>
          <w:tcPr>
            <w:tcW w:w="3962" w:type="dxa"/>
            <w:tcBorders>
              <w:bottom w:val="single" w:sz="4" w:space="0" w:color="auto"/>
            </w:tcBorders>
            <w:shd w:val="clear" w:color="auto" w:fill="auto"/>
          </w:tcPr>
          <w:p w:rsidR="00BE1FF8" w:rsidRDefault="00AC0DC4" w:rsidP="00565623">
            <w:pPr>
              <w:pStyle w:val="normal"/>
              <w:spacing w:before="120"/>
              <w:jc w:val="both"/>
              <w:rPr>
                <w:rFonts w:ascii="Times New Roman" w:hAnsi="Times New Roman" w:cs="Times New Roman"/>
                <w:lang w:val="uk-UA"/>
              </w:rPr>
            </w:pPr>
            <w:r>
              <w:rPr>
                <w:rFonts w:ascii="Times New Roman" w:hAnsi="Times New Roman" w:cs="Times New Roman"/>
                <w:lang w:val="uk-UA"/>
              </w:rPr>
              <w:t>Це</w:t>
            </w:r>
            <w:r w:rsidRPr="009628B1">
              <w:rPr>
                <w:rFonts w:ascii="Times New Roman" w:hAnsi="Times New Roman" w:cs="Times New Roman"/>
                <w:lang w:val="uk-UA"/>
              </w:rPr>
              <w:t xml:space="preserve"> положення дублює положення </w:t>
            </w:r>
            <w:r w:rsidR="00BE1FF8">
              <w:rPr>
                <w:rFonts w:ascii="Times New Roman" w:hAnsi="Times New Roman" w:cs="Times New Roman"/>
                <w:lang w:val="uk-UA"/>
              </w:rPr>
              <w:t>частини першої статті 1</w:t>
            </w:r>
            <w:r w:rsidRPr="00AC0DC4">
              <w:rPr>
                <w:rFonts w:ascii="Times New Roman" w:hAnsi="Times New Roman" w:cs="Times New Roman"/>
                <w:lang w:val="uk-UA"/>
              </w:rPr>
              <w:t xml:space="preserve"> </w:t>
            </w:r>
            <w:r w:rsidRPr="009628B1">
              <w:rPr>
                <w:rFonts w:ascii="Times New Roman" w:hAnsi="Times New Roman" w:cs="Times New Roman"/>
                <w:lang w:val="uk-UA"/>
              </w:rPr>
              <w:t xml:space="preserve">Закону України </w:t>
            </w:r>
            <w:r w:rsidR="00BE1FF8">
              <w:rPr>
                <w:rFonts w:ascii="Times New Roman" w:hAnsi="Times New Roman" w:cs="Times New Roman"/>
                <w:lang w:val="uk-UA"/>
              </w:rPr>
              <w:t>«</w:t>
            </w:r>
            <w:r w:rsidR="00BE1FF8" w:rsidRPr="00BE1FF8">
              <w:rPr>
                <w:rFonts w:ascii="Times New Roman" w:hAnsi="Times New Roman" w:cs="Times New Roman"/>
                <w:lang w:val="uk-UA"/>
              </w:rPr>
              <w:t>Про загальні засади створення і функціонування спеціальних (вільних) економічних зон</w:t>
            </w:r>
            <w:r w:rsidR="00BE1FF8">
              <w:rPr>
                <w:rFonts w:ascii="Times New Roman" w:hAnsi="Times New Roman" w:cs="Times New Roman"/>
                <w:lang w:val="uk-UA"/>
              </w:rPr>
              <w:t>»</w:t>
            </w:r>
            <w:r w:rsidRPr="009628B1">
              <w:rPr>
                <w:rFonts w:ascii="Times New Roman" w:hAnsi="Times New Roman" w:cs="Times New Roman"/>
                <w:lang w:val="uk-UA"/>
              </w:rPr>
              <w:t xml:space="preserve">, </w:t>
            </w:r>
            <w:r w:rsidR="00BE1FF8">
              <w:rPr>
                <w:rFonts w:ascii="Times New Roman" w:hAnsi="Times New Roman" w:cs="Times New Roman"/>
                <w:lang w:val="uk-UA"/>
              </w:rPr>
              <w:t>відповідно до як</w:t>
            </w:r>
            <w:r w:rsidR="00245E67">
              <w:rPr>
                <w:rFonts w:ascii="Times New Roman" w:hAnsi="Times New Roman" w:cs="Times New Roman"/>
                <w:lang w:val="uk-UA"/>
              </w:rPr>
              <w:t>ої</w:t>
            </w:r>
            <w:r w:rsidR="00BE1FF8">
              <w:rPr>
                <w:rFonts w:ascii="Times New Roman" w:hAnsi="Times New Roman" w:cs="Times New Roman"/>
                <w:lang w:val="uk-UA"/>
              </w:rPr>
              <w:t>:</w:t>
            </w:r>
          </w:p>
          <w:p w:rsidR="003B5D0A" w:rsidRPr="00A21FA6" w:rsidRDefault="00BE1FF8" w:rsidP="00F365E8">
            <w:pPr>
              <w:pStyle w:val="normal"/>
              <w:spacing w:before="120"/>
              <w:jc w:val="both"/>
              <w:rPr>
                <w:lang w:val="uk-UA"/>
              </w:rPr>
            </w:pPr>
            <w:r w:rsidRPr="009628B1">
              <w:rPr>
                <w:rFonts w:ascii="Times New Roman" w:hAnsi="Times New Roman" w:cs="Times New Roman"/>
                <w:lang w:val="uk-UA"/>
              </w:rPr>
              <w:t xml:space="preserve"> </w:t>
            </w:r>
            <w:r w:rsidRPr="00BE1FF8">
              <w:rPr>
                <w:rFonts w:ascii="Times New Roman" w:hAnsi="Times New Roman" w:cs="Times New Roman"/>
                <w:lang w:val="uk-UA"/>
              </w:rPr>
              <w:t>Спеціальна (вільна) економічна зона являє собою частину території України, на якій встановлюються і діють спеціальний правовий режим економічної діяльності та порядок застосування і дії законодавства України. На території спеціальної (вільної) економічної зони запроваджуються пільгові митні, валютно-фінансові, податкові та інші умови економічної діяльності національних та іноземних юридичних і фізичних осіб.</w:t>
            </w:r>
          </w:p>
        </w:tc>
        <w:tc>
          <w:tcPr>
            <w:tcW w:w="2275" w:type="dxa"/>
            <w:tcBorders>
              <w:bottom w:val="single" w:sz="4" w:space="0" w:color="auto"/>
            </w:tcBorders>
            <w:shd w:val="clear" w:color="auto" w:fill="auto"/>
          </w:tcPr>
          <w:p w:rsidR="00AC0DC4" w:rsidRDefault="00AC0DC4" w:rsidP="00565623">
            <w:pPr>
              <w:pStyle w:val="normal"/>
              <w:spacing w:before="120"/>
              <w:jc w:val="both"/>
              <w:rPr>
                <w:rFonts w:ascii="Times New Roman" w:hAnsi="Times New Roman" w:cs="Times New Roman"/>
                <w:lang w:val="uk-UA"/>
              </w:rPr>
            </w:pPr>
            <w:r>
              <w:rPr>
                <w:rFonts w:ascii="Times New Roman" w:hAnsi="Times New Roman" w:cs="Times New Roman"/>
                <w:lang w:val="uk-UA"/>
              </w:rPr>
              <w:t>Відсутні посилання на судову практику</w:t>
            </w:r>
          </w:p>
          <w:p w:rsidR="00783147" w:rsidRDefault="00783147" w:rsidP="00565623">
            <w:pPr>
              <w:pStyle w:val="normal"/>
              <w:spacing w:before="120"/>
              <w:jc w:val="both"/>
              <w:rPr>
                <w:rFonts w:ascii="Times New Roman" w:hAnsi="Times New Roman" w:cs="Times New Roman"/>
                <w:lang w:val="uk-UA"/>
              </w:rPr>
            </w:pPr>
          </w:p>
          <w:p w:rsidR="00783147" w:rsidRDefault="00783147" w:rsidP="00565623">
            <w:pPr>
              <w:pStyle w:val="normal"/>
              <w:spacing w:before="120"/>
              <w:jc w:val="both"/>
              <w:rPr>
                <w:rFonts w:ascii="Times New Roman" w:hAnsi="Times New Roman" w:cs="Times New Roman"/>
                <w:lang w:val="uk-UA"/>
              </w:rPr>
            </w:pPr>
          </w:p>
          <w:p w:rsidR="00783147" w:rsidRDefault="00783147" w:rsidP="00565623">
            <w:pPr>
              <w:pStyle w:val="normal"/>
              <w:spacing w:before="120"/>
              <w:jc w:val="both"/>
              <w:rPr>
                <w:rFonts w:ascii="Times New Roman" w:hAnsi="Times New Roman" w:cs="Times New Roman"/>
                <w:lang w:val="uk-UA"/>
              </w:rPr>
            </w:pPr>
          </w:p>
          <w:p w:rsidR="00783147" w:rsidRDefault="00783147" w:rsidP="00565623">
            <w:pPr>
              <w:pStyle w:val="normal"/>
              <w:spacing w:before="120"/>
              <w:jc w:val="both"/>
              <w:rPr>
                <w:rFonts w:ascii="Times New Roman" w:hAnsi="Times New Roman" w:cs="Times New Roman"/>
                <w:lang w:val="uk-UA"/>
              </w:rPr>
            </w:pPr>
          </w:p>
          <w:p w:rsidR="00783147" w:rsidRDefault="00783147" w:rsidP="00565623">
            <w:pPr>
              <w:pStyle w:val="normal"/>
              <w:spacing w:before="120"/>
              <w:jc w:val="both"/>
              <w:rPr>
                <w:rFonts w:ascii="Times New Roman" w:hAnsi="Times New Roman" w:cs="Times New Roman"/>
                <w:lang w:val="uk-UA"/>
              </w:rPr>
            </w:pPr>
          </w:p>
          <w:p w:rsidR="00783147" w:rsidRDefault="00783147" w:rsidP="00565623">
            <w:pPr>
              <w:pStyle w:val="normal"/>
              <w:spacing w:before="120"/>
              <w:jc w:val="both"/>
              <w:rPr>
                <w:rFonts w:ascii="Times New Roman" w:hAnsi="Times New Roman" w:cs="Times New Roman"/>
                <w:lang w:val="uk-UA"/>
              </w:rPr>
            </w:pPr>
          </w:p>
          <w:p w:rsidR="00783147" w:rsidRDefault="00783147" w:rsidP="00565623">
            <w:pPr>
              <w:pStyle w:val="normal"/>
              <w:spacing w:before="120"/>
              <w:jc w:val="both"/>
              <w:rPr>
                <w:rFonts w:ascii="Times New Roman" w:hAnsi="Times New Roman" w:cs="Times New Roman"/>
                <w:lang w:val="uk-UA"/>
              </w:rPr>
            </w:pPr>
          </w:p>
          <w:p w:rsidR="00783147" w:rsidRDefault="00783147" w:rsidP="00565623">
            <w:pPr>
              <w:pStyle w:val="normal"/>
              <w:spacing w:before="120"/>
              <w:jc w:val="both"/>
              <w:rPr>
                <w:rFonts w:ascii="Times New Roman" w:hAnsi="Times New Roman" w:cs="Times New Roman"/>
                <w:lang w:val="uk-UA"/>
              </w:rPr>
            </w:pPr>
          </w:p>
          <w:p w:rsidR="00783147" w:rsidRDefault="00783147" w:rsidP="00565623">
            <w:pPr>
              <w:pStyle w:val="normal"/>
              <w:spacing w:before="120"/>
              <w:jc w:val="both"/>
              <w:rPr>
                <w:rFonts w:ascii="Times New Roman" w:hAnsi="Times New Roman" w:cs="Times New Roman"/>
                <w:lang w:val="uk-UA"/>
              </w:rPr>
            </w:pPr>
          </w:p>
          <w:p w:rsidR="00F9252A" w:rsidRDefault="00F9252A" w:rsidP="00565623">
            <w:pPr>
              <w:pStyle w:val="normal"/>
              <w:spacing w:before="120"/>
              <w:jc w:val="both"/>
              <w:rPr>
                <w:rFonts w:ascii="Times New Roman" w:hAnsi="Times New Roman" w:cs="Times New Roman"/>
                <w:lang w:val="uk-UA"/>
              </w:rPr>
            </w:pPr>
          </w:p>
          <w:p w:rsidR="00F9252A" w:rsidRDefault="00F9252A" w:rsidP="00565623">
            <w:pPr>
              <w:pStyle w:val="normal"/>
              <w:spacing w:before="120"/>
              <w:jc w:val="both"/>
              <w:rPr>
                <w:rFonts w:ascii="Times New Roman" w:hAnsi="Times New Roman" w:cs="Times New Roman"/>
                <w:lang w:val="uk-UA"/>
              </w:rPr>
            </w:pPr>
          </w:p>
          <w:p w:rsidR="00F9252A" w:rsidRDefault="00F9252A" w:rsidP="00565623">
            <w:pPr>
              <w:pStyle w:val="normal"/>
              <w:spacing w:before="120"/>
              <w:jc w:val="both"/>
              <w:rPr>
                <w:rFonts w:ascii="Times New Roman" w:hAnsi="Times New Roman" w:cs="Times New Roman"/>
                <w:lang w:val="uk-UA"/>
              </w:rPr>
            </w:pPr>
          </w:p>
          <w:p w:rsidR="00F9252A" w:rsidRPr="009628B1" w:rsidRDefault="00F9252A" w:rsidP="00565623">
            <w:pPr>
              <w:pStyle w:val="normal"/>
              <w:spacing w:before="120"/>
              <w:jc w:val="both"/>
              <w:rPr>
                <w:rFonts w:ascii="Times New Roman" w:hAnsi="Times New Roman" w:cs="Times New Roman"/>
                <w:lang w:val="uk-UA"/>
              </w:rPr>
            </w:pPr>
          </w:p>
        </w:tc>
        <w:tc>
          <w:tcPr>
            <w:tcW w:w="2127" w:type="dxa"/>
            <w:tcBorders>
              <w:bottom w:val="single" w:sz="4" w:space="0" w:color="auto"/>
            </w:tcBorders>
            <w:shd w:val="clear" w:color="auto" w:fill="auto"/>
          </w:tcPr>
          <w:p w:rsidR="0092482B" w:rsidRPr="009628B1" w:rsidRDefault="0092482B" w:rsidP="0092482B">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AC0DC4" w:rsidRPr="009628B1" w:rsidRDefault="0092482B" w:rsidP="00565623">
            <w:pPr>
              <w:pStyle w:val="normal"/>
              <w:spacing w:before="120"/>
              <w:jc w:val="both"/>
              <w:rPr>
                <w:rFonts w:ascii="Times New Roman" w:hAnsi="Times New Roman" w:cs="Times New Roman"/>
                <w:lang w:val="uk-UA"/>
              </w:rPr>
            </w:pPr>
            <w:r>
              <w:rPr>
                <w:rFonts w:ascii="Times New Roman" w:hAnsi="Times New Roman" w:cs="Times New Roman"/>
                <w:lang w:val="uk-UA"/>
              </w:rPr>
              <w:t>Вилучити</w:t>
            </w:r>
          </w:p>
          <w:p w:rsidR="00AC0DC4" w:rsidRDefault="00AC0DC4" w:rsidP="00565623">
            <w:pPr>
              <w:pStyle w:val="normal"/>
              <w:spacing w:before="120"/>
              <w:jc w:val="both"/>
              <w:rPr>
                <w:rFonts w:ascii="Times New Roman" w:hAnsi="Times New Roman" w:cs="Times New Roman"/>
                <w:lang w:val="uk-UA"/>
              </w:rPr>
            </w:pPr>
          </w:p>
          <w:p w:rsidR="00AC0DC4" w:rsidRDefault="00AC0DC4" w:rsidP="00565623">
            <w:pPr>
              <w:pStyle w:val="normal"/>
              <w:spacing w:before="120"/>
              <w:jc w:val="both"/>
              <w:rPr>
                <w:rFonts w:ascii="Times New Roman" w:hAnsi="Times New Roman" w:cs="Times New Roman"/>
                <w:lang w:val="uk-UA"/>
              </w:rPr>
            </w:pPr>
          </w:p>
          <w:p w:rsidR="0092482B" w:rsidRDefault="0092482B" w:rsidP="00565623">
            <w:pPr>
              <w:pStyle w:val="normal"/>
              <w:spacing w:before="120"/>
              <w:jc w:val="both"/>
              <w:rPr>
                <w:rFonts w:ascii="Times New Roman" w:hAnsi="Times New Roman" w:cs="Times New Roman"/>
                <w:lang w:val="uk-UA"/>
              </w:rPr>
            </w:pPr>
          </w:p>
          <w:p w:rsidR="0092482B" w:rsidRDefault="0092482B" w:rsidP="00565623">
            <w:pPr>
              <w:pStyle w:val="normal"/>
              <w:spacing w:before="120"/>
              <w:jc w:val="both"/>
              <w:rPr>
                <w:rFonts w:ascii="Times New Roman" w:hAnsi="Times New Roman" w:cs="Times New Roman"/>
                <w:lang w:val="uk-UA"/>
              </w:rPr>
            </w:pPr>
          </w:p>
          <w:p w:rsidR="00BE1FF8" w:rsidRDefault="00BE1FF8" w:rsidP="00565623">
            <w:pPr>
              <w:pStyle w:val="normal"/>
              <w:spacing w:before="120"/>
              <w:jc w:val="both"/>
              <w:rPr>
                <w:rFonts w:ascii="Times New Roman" w:hAnsi="Times New Roman" w:cs="Times New Roman"/>
                <w:lang w:val="uk-UA"/>
              </w:rPr>
            </w:pPr>
          </w:p>
          <w:p w:rsidR="00BE1FF8" w:rsidRDefault="00BE1FF8" w:rsidP="00565623">
            <w:pPr>
              <w:pStyle w:val="normal"/>
              <w:spacing w:before="120"/>
              <w:jc w:val="both"/>
              <w:rPr>
                <w:rFonts w:ascii="Times New Roman" w:hAnsi="Times New Roman" w:cs="Times New Roman"/>
                <w:lang w:val="uk-UA"/>
              </w:rPr>
            </w:pPr>
          </w:p>
          <w:p w:rsidR="00BE1FF8" w:rsidRDefault="00BE1FF8" w:rsidP="00565623">
            <w:pPr>
              <w:pStyle w:val="normal"/>
              <w:spacing w:before="120"/>
              <w:jc w:val="both"/>
              <w:rPr>
                <w:rFonts w:ascii="Times New Roman" w:hAnsi="Times New Roman" w:cs="Times New Roman"/>
                <w:lang w:val="uk-UA"/>
              </w:rPr>
            </w:pPr>
          </w:p>
          <w:p w:rsidR="00BE1FF8" w:rsidRDefault="00BE1FF8" w:rsidP="00565623">
            <w:pPr>
              <w:pStyle w:val="normal"/>
              <w:spacing w:before="120"/>
              <w:jc w:val="both"/>
              <w:rPr>
                <w:rFonts w:ascii="Times New Roman" w:hAnsi="Times New Roman" w:cs="Times New Roman"/>
                <w:lang w:val="uk-UA"/>
              </w:rPr>
            </w:pPr>
          </w:p>
          <w:p w:rsidR="00BE1FF8" w:rsidRDefault="00BE1FF8" w:rsidP="00565623">
            <w:pPr>
              <w:pStyle w:val="normal"/>
              <w:spacing w:before="120"/>
              <w:jc w:val="both"/>
              <w:rPr>
                <w:rFonts w:ascii="Times New Roman" w:hAnsi="Times New Roman" w:cs="Times New Roman"/>
                <w:lang w:val="uk-UA"/>
              </w:rPr>
            </w:pPr>
          </w:p>
          <w:p w:rsidR="00BE1FF8" w:rsidRDefault="00BE1FF8" w:rsidP="00565623">
            <w:pPr>
              <w:pStyle w:val="normal"/>
              <w:spacing w:before="120"/>
              <w:jc w:val="both"/>
              <w:rPr>
                <w:rFonts w:ascii="Times New Roman" w:hAnsi="Times New Roman" w:cs="Times New Roman"/>
                <w:lang w:val="uk-UA"/>
              </w:rPr>
            </w:pPr>
          </w:p>
          <w:p w:rsidR="00AC0DC4" w:rsidRPr="009628B1" w:rsidRDefault="00AC0DC4" w:rsidP="00565623">
            <w:pPr>
              <w:pStyle w:val="normal"/>
              <w:spacing w:before="120"/>
              <w:jc w:val="both"/>
              <w:rPr>
                <w:rFonts w:ascii="Times New Roman" w:hAnsi="Times New Roman" w:cs="Times New Roman"/>
                <w:lang w:val="uk-UA"/>
              </w:rPr>
            </w:pPr>
          </w:p>
        </w:tc>
        <w:tc>
          <w:tcPr>
            <w:tcW w:w="2834" w:type="dxa"/>
            <w:tcBorders>
              <w:bottom w:val="single" w:sz="4" w:space="0" w:color="auto"/>
            </w:tcBorders>
            <w:shd w:val="clear" w:color="auto" w:fill="auto"/>
          </w:tcPr>
          <w:p w:rsidR="00AC0DC4" w:rsidRPr="0092482B" w:rsidRDefault="00AC0DC4" w:rsidP="00F365E8">
            <w:pPr>
              <w:pStyle w:val="normal"/>
              <w:spacing w:before="120"/>
              <w:jc w:val="both"/>
              <w:rPr>
                <w:lang w:val="ru-RU"/>
              </w:rPr>
            </w:pPr>
            <w:r w:rsidRPr="009628B1">
              <w:rPr>
                <w:rFonts w:ascii="Times New Roman" w:hAnsi="Times New Roman" w:cs="Times New Roman"/>
                <w:lang w:val="uk-UA"/>
              </w:rPr>
              <w:t>ПОЗИЦІЯ 1:</w:t>
            </w:r>
            <w:r w:rsidR="00783147" w:rsidRPr="00623C72">
              <w:rPr>
                <w:rFonts w:ascii="Times New Roman" w:hAnsi="Times New Roman" w:cs="Times New Roman"/>
                <w:lang w:val="uk-UA"/>
              </w:rPr>
              <w:t xml:space="preserve"> Вилучити з метою усунення дублювання норм</w:t>
            </w:r>
          </w:p>
        </w:tc>
      </w:tr>
      <w:tr w:rsidR="00A21FA6" w:rsidRPr="00245E67" w:rsidTr="00A21FA6">
        <w:trPr>
          <w:trHeight w:val="6757"/>
        </w:trPr>
        <w:tc>
          <w:tcPr>
            <w:tcW w:w="568" w:type="dxa"/>
            <w:tcBorders>
              <w:top w:val="single" w:sz="4" w:space="0" w:color="auto"/>
            </w:tcBorders>
            <w:shd w:val="clear" w:color="auto" w:fill="auto"/>
          </w:tcPr>
          <w:p w:rsidR="00A21FA6" w:rsidRPr="009628B1" w:rsidRDefault="00A21FA6" w:rsidP="00565623">
            <w:pPr>
              <w:pStyle w:val="normal"/>
              <w:spacing w:before="120"/>
              <w:jc w:val="both"/>
              <w:rPr>
                <w:rFonts w:ascii="Times New Roman" w:hAnsi="Times New Roman" w:cs="Times New Roman"/>
                <w:lang w:val="uk-UA"/>
              </w:rPr>
            </w:pPr>
          </w:p>
        </w:tc>
        <w:tc>
          <w:tcPr>
            <w:tcW w:w="3942" w:type="dxa"/>
            <w:tcBorders>
              <w:top w:val="single" w:sz="4" w:space="0" w:color="auto"/>
            </w:tcBorders>
            <w:shd w:val="clear" w:color="auto" w:fill="auto"/>
          </w:tcPr>
          <w:p w:rsidR="00A21FA6" w:rsidRPr="00BE1FF8" w:rsidRDefault="00A21FA6" w:rsidP="00BE1FF8">
            <w:pPr>
              <w:pStyle w:val="normal"/>
              <w:spacing w:before="120"/>
              <w:jc w:val="both"/>
              <w:rPr>
                <w:rFonts w:ascii="Times New Roman" w:hAnsi="Times New Roman" w:cs="Times New Roman"/>
                <w:b/>
                <w:lang w:val="uk-UA"/>
              </w:rPr>
            </w:pPr>
            <w:r w:rsidRPr="00BE1FF8">
              <w:rPr>
                <w:rFonts w:ascii="Times New Roman" w:hAnsi="Times New Roman" w:cs="Times New Roman"/>
                <w:lang w:val="uk-UA"/>
              </w:rPr>
              <w:t>2. Спеціальні (вільні) економічні зони створюються з метою залучення інвестицій та ефективного їх використання, активізації спільно з іноземними інвесторами підприємницької діяльності з метою збільшення експорту товарів, поставок на внутрішній ринок високоякісної продукції і послуг, впровадження нових технологій, розвитку інфраструктури ринку, поліпшення використання природних, матеріальних і трудових ресурсів, прискорення соціально-економічного розвитку України.</w:t>
            </w:r>
          </w:p>
        </w:tc>
        <w:tc>
          <w:tcPr>
            <w:tcW w:w="3962" w:type="dxa"/>
            <w:tcBorders>
              <w:top w:val="single" w:sz="4" w:space="0" w:color="auto"/>
            </w:tcBorders>
            <w:shd w:val="clear" w:color="auto" w:fill="auto"/>
          </w:tcPr>
          <w:p w:rsidR="00A21FA6" w:rsidRDefault="00A21FA6" w:rsidP="00BE1FF8">
            <w:pPr>
              <w:pStyle w:val="normal"/>
              <w:spacing w:before="120"/>
              <w:jc w:val="both"/>
              <w:rPr>
                <w:rFonts w:ascii="Times New Roman" w:hAnsi="Times New Roman" w:cs="Times New Roman"/>
                <w:lang w:val="uk-UA"/>
              </w:rPr>
            </w:pPr>
            <w:r>
              <w:rPr>
                <w:rFonts w:ascii="Times New Roman" w:hAnsi="Times New Roman" w:cs="Times New Roman"/>
                <w:lang w:val="uk-UA"/>
              </w:rPr>
              <w:t>Це</w:t>
            </w:r>
            <w:r w:rsidRPr="009628B1">
              <w:rPr>
                <w:rFonts w:ascii="Times New Roman" w:hAnsi="Times New Roman" w:cs="Times New Roman"/>
                <w:lang w:val="uk-UA"/>
              </w:rPr>
              <w:t xml:space="preserve"> положення </w:t>
            </w:r>
            <w:r>
              <w:rPr>
                <w:rFonts w:ascii="Times New Roman" w:hAnsi="Times New Roman" w:cs="Times New Roman"/>
                <w:lang w:val="uk-UA"/>
              </w:rPr>
              <w:t xml:space="preserve">фактично </w:t>
            </w:r>
            <w:r w:rsidRPr="009628B1">
              <w:rPr>
                <w:rFonts w:ascii="Times New Roman" w:hAnsi="Times New Roman" w:cs="Times New Roman"/>
                <w:lang w:val="uk-UA"/>
              </w:rPr>
              <w:t xml:space="preserve">дублює положення </w:t>
            </w:r>
            <w:r>
              <w:rPr>
                <w:rFonts w:ascii="Times New Roman" w:hAnsi="Times New Roman" w:cs="Times New Roman"/>
                <w:lang w:val="uk-UA"/>
              </w:rPr>
              <w:t>частини другої статті 1</w:t>
            </w:r>
            <w:r w:rsidRPr="00AC0DC4">
              <w:rPr>
                <w:rFonts w:ascii="Times New Roman" w:hAnsi="Times New Roman" w:cs="Times New Roman"/>
                <w:lang w:val="uk-UA"/>
              </w:rPr>
              <w:t xml:space="preserve"> </w:t>
            </w:r>
            <w:r w:rsidRPr="009628B1">
              <w:rPr>
                <w:rFonts w:ascii="Times New Roman" w:hAnsi="Times New Roman" w:cs="Times New Roman"/>
                <w:lang w:val="uk-UA"/>
              </w:rPr>
              <w:t xml:space="preserve">Закону України </w:t>
            </w:r>
            <w:r>
              <w:rPr>
                <w:rFonts w:ascii="Times New Roman" w:hAnsi="Times New Roman" w:cs="Times New Roman"/>
                <w:lang w:val="uk-UA"/>
              </w:rPr>
              <w:t>«</w:t>
            </w:r>
            <w:r w:rsidRPr="00BE1FF8">
              <w:rPr>
                <w:rFonts w:ascii="Times New Roman" w:hAnsi="Times New Roman" w:cs="Times New Roman"/>
                <w:lang w:val="uk-UA"/>
              </w:rPr>
              <w:t>Про загальні засади створення і функціонування спеціальних (вільних) економічних зон</w:t>
            </w:r>
            <w:r>
              <w:rPr>
                <w:rFonts w:ascii="Times New Roman" w:hAnsi="Times New Roman" w:cs="Times New Roman"/>
                <w:lang w:val="uk-UA"/>
              </w:rPr>
              <w:t>»</w:t>
            </w:r>
            <w:r w:rsidRPr="009628B1">
              <w:rPr>
                <w:rFonts w:ascii="Times New Roman" w:hAnsi="Times New Roman" w:cs="Times New Roman"/>
                <w:lang w:val="uk-UA"/>
              </w:rPr>
              <w:t xml:space="preserve">, </w:t>
            </w:r>
            <w:r>
              <w:rPr>
                <w:rFonts w:ascii="Times New Roman" w:hAnsi="Times New Roman" w:cs="Times New Roman"/>
                <w:lang w:val="uk-UA"/>
              </w:rPr>
              <w:t>відповідно до як</w:t>
            </w:r>
            <w:r w:rsidR="00100963">
              <w:rPr>
                <w:rFonts w:ascii="Times New Roman" w:hAnsi="Times New Roman" w:cs="Times New Roman"/>
                <w:lang w:val="uk-UA"/>
              </w:rPr>
              <w:t>ої</w:t>
            </w:r>
            <w:r>
              <w:rPr>
                <w:rFonts w:ascii="Times New Roman" w:hAnsi="Times New Roman" w:cs="Times New Roman"/>
                <w:lang w:val="uk-UA"/>
              </w:rPr>
              <w:t>:</w:t>
            </w:r>
          </w:p>
          <w:p w:rsidR="00A21FA6" w:rsidRDefault="00A21FA6" w:rsidP="00F365E8">
            <w:pPr>
              <w:pStyle w:val="normal"/>
              <w:spacing w:before="120"/>
              <w:jc w:val="both"/>
              <w:rPr>
                <w:rFonts w:ascii="Times New Roman" w:hAnsi="Times New Roman" w:cs="Times New Roman"/>
                <w:lang w:val="uk-UA"/>
              </w:rPr>
            </w:pPr>
            <w:r w:rsidRPr="009628B1">
              <w:rPr>
                <w:rFonts w:ascii="Times New Roman" w:hAnsi="Times New Roman" w:cs="Times New Roman"/>
                <w:lang w:val="uk-UA"/>
              </w:rPr>
              <w:t xml:space="preserve"> </w:t>
            </w:r>
            <w:r w:rsidRPr="00BE1FF8">
              <w:rPr>
                <w:rFonts w:ascii="Times New Roman" w:hAnsi="Times New Roman" w:cs="Times New Roman"/>
                <w:lang w:val="uk-UA"/>
              </w:rPr>
              <w:t>Метою створення спеціальних (вільних) економічних зон є залучення іноземних інвестицій та сприяння їм, активізація спільно з іноземними інвесторами підприємницької діяльності для нарощування експорту товарів і послуг, поставок на внутрішній ринок високоякісної продукції та послуг, залучення і впровадження нових технологій, ринкових методів господарювання, розвитку інфраструктури ринку, поліпшення використання природних і трудових ресурсів, прискорення соціально-економічного розвитку України.</w:t>
            </w:r>
          </w:p>
        </w:tc>
        <w:tc>
          <w:tcPr>
            <w:tcW w:w="2275" w:type="dxa"/>
            <w:tcBorders>
              <w:top w:val="single" w:sz="4" w:space="0" w:color="auto"/>
            </w:tcBorders>
            <w:shd w:val="clear" w:color="auto" w:fill="auto"/>
          </w:tcPr>
          <w:p w:rsidR="008E6145" w:rsidRDefault="008E6145" w:rsidP="008E6145">
            <w:pPr>
              <w:pStyle w:val="normal"/>
              <w:spacing w:before="120"/>
              <w:jc w:val="both"/>
              <w:rPr>
                <w:rFonts w:ascii="Times New Roman" w:hAnsi="Times New Roman" w:cs="Times New Roman"/>
                <w:lang w:val="uk-UA"/>
              </w:rPr>
            </w:pPr>
            <w:r>
              <w:rPr>
                <w:rFonts w:ascii="Times New Roman" w:hAnsi="Times New Roman" w:cs="Times New Roman"/>
                <w:lang w:val="uk-UA"/>
              </w:rPr>
              <w:t>Відсутні посилання на судову практику</w:t>
            </w:r>
          </w:p>
          <w:p w:rsidR="00A21FA6" w:rsidRDefault="00A21FA6" w:rsidP="00565623">
            <w:pPr>
              <w:pStyle w:val="normal"/>
              <w:spacing w:before="120"/>
              <w:jc w:val="both"/>
              <w:rPr>
                <w:rFonts w:ascii="Times New Roman" w:hAnsi="Times New Roman" w:cs="Times New Roman"/>
                <w:lang w:val="uk-UA"/>
              </w:rPr>
            </w:pPr>
          </w:p>
          <w:p w:rsidR="00A21FA6" w:rsidRDefault="00A21FA6" w:rsidP="00565623">
            <w:pPr>
              <w:pStyle w:val="normal"/>
              <w:spacing w:before="120"/>
              <w:jc w:val="both"/>
              <w:rPr>
                <w:rFonts w:ascii="Times New Roman" w:hAnsi="Times New Roman" w:cs="Times New Roman"/>
                <w:lang w:val="uk-UA"/>
              </w:rPr>
            </w:pPr>
          </w:p>
        </w:tc>
        <w:tc>
          <w:tcPr>
            <w:tcW w:w="2127" w:type="dxa"/>
            <w:tcBorders>
              <w:top w:val="single" w:sz="4" w:space="0" w:color="auto"/>
            </w:tcBorders>
            <w:shd w:val="clear" w:color="auto" w:fill="auto"/>
          </w:tcPr>
          <w:p w:rsidR="00A21FA6" w:rsidRDefault="00A21FA6" w:rsidP="00565623">
            <w:pPr>
              <w:pStyle w:val="normal"/>
              <w:spacing w:before="120"/>
              <w:jc w:val="both"/>
              <w:rPr>
                <w:rFonts w:ascii="Times New Roman" w:hAnsi="Times New Roman" w:cs="Times New Roman"/>
                <w:lang w:val="uk-UA"/>
              </w:rPr>
            </w:pPr>
            <w:r w:rsidRPr="009628B1">
              <w:rPr>
                <w:rFonts w:ascii="Times New Roman" w:hAnsi="Times New Roman" w:cs="Times New Roman"/>
                <w:lang w:val="uk-UA"/>
              </w:rPr>
              <w:t xml:space="preserve">ПОЗИЦІЯ </w:t>
            </w:r>
            <w:r>
              <w:rPr>
                <w:rFonts w:ascii="Times New Roman" w:hAnsi="Times New Roman" w:cs="Times New Roman"/>
                <w:lang w:val="uk-UA"/>
              </w:rPr>
              <w:t>1</w:t>
            </w:r>
            <w:r w:rsidRPr="009628B1">
              <w:rPr>
                <w:rFonts w:ascii="Times New Roman" w:hAnsi="Times New Roman" w:cs="Times New Roman"/>
                <w:lang w:val="uk-UA"/>
              </w:rPr>
              <w:t>:</w:t>
            </w:r>
          </w:p>
          <w:p w:rsidR="00A21FA6" w:rsidRPr="009628B1" w:rsidRDefault="00A21FA6" w:rsidP="001176CB">
            <w:pPr>
              <w:pStyle w:val="normal"/>
              <w:spacing w:before="120"/>
              <w:jc w:val="both"/>
              <w:rPr>
                <w:rFonts w:ascii="Times New Roman" w:hAnsi="Times New Roman" w:cs="Times New Roman"/>
                <w:lang w:val="uk-UA"/>
              </w:rPr>
            </w:pPr>
            <w:r>
              <w:rPr>
                <w:rFonts w:ascii="Times New Roman" w:hAnsi="Times New Roman" w:cs="Times New Roman"/>
                <w:lang w:val="uk-UA"/>
              </w:rPr>
              <w:t>Вилучити</w:t>
            </w:r>
          </w:p>
          <w:p w:rsidR="00A21FA6" w:rsidRPr="009628B1" w:rsidRDefault="00A21FA6" w:rsidP="00565623">
            <w:pPr>
              <w:pStyle w:val="normal"/>
              <w:spacing w:before="120"/>
              <w:jc w:val="both"/>
              <w:rPr>
                <w:rFonts w:ascii="Times New Roman" w:hAnsi="Times New Roman" w:cs="Times New Roman"/>
                <w:lang w:val="uk-UA"/>
              </w:rPr>
            </w:pPr>
          </w:p>
          <w:p w:rsidR="00A21FA6" w:rsidRPr="009628B1" w:rsidRDefault="00A21FA6" w:rsidP="00565623">
            <w:pPr>
              <w:pStyle w:val="normal"/>
              <w:spacing w:before="120"/>
              <w:jc w:val="both"/>
              <w:rPr>
                <w:rFonts w:ascii="Times New Roman" w:hAnsi="Times New Roman" w:cs="Times New Roman"/>
                <w:lang w:val="uk-UA"/>
              </w:rPr>
            </w:pPr>
          </w:p>
        </w:tc>
        <w:tc>
          <w:tcPr>
            <w:tcW w:w="2834" w:type="dxa"/>
            <w:tcBorders>
              <w:top w:val="single" w:sz="4" w:space="0" w:color="auto"/>
            </w:tcBorders>
            <w:shd w:val="clear" w:color="auto" w:fill="auto"/>
          </w:tcPr>
          <w:p w:rsidR="00A21FA6" w:rsidRPr="00623C72" w:rsidRDefault="00A21FA6" w:rsidP="0092482B">
            <w:pPr>
              <w:pStyle w:val="normal"/>
              <w:spacing w:before="120"/>
              <w:jc w:val="both"/>
              <w:rPr>
                <w:rFonts w:ascii="Times New Roman" w:hAnsi="Times New Roman" w:cs="Times New Roman"/>
                <w:lang w:val="uk-UA"/>
              </w:rPr>
            </w:pPr>
            <w:r w:rsidRPr="009628B1">
              <w:rPr>
                <w:rFonts w:ascii="Times New Roman" w:hAnsi="Times New Roman" w:cs="Times New Roman"/>
                <w:lang w:val="uk-UA"/>
              </w:rPr>
              <w:t xml:space="preserve">ПОЗИЦІЯ </w:t>
            </w:r>
            <w:r>
              <w:rPr>
                <w:rFonts w:ascii="Times New Roman" w:hAnsi="Times New Roman" w:cs="Times New Roman"/>
                <w:lang w:val="uk-UA"/>
              </w:rPr>
              <w:t>1</w:t>
            </w:r>
            <w:r w:rsidRPr="009628B1">
              <w:rPr>
                <w:rFonts w:ascii="Times New Roman" w:hAnsi="Times New Roman" w:cs="Times New Roman"/>
                <w:lang w:val="uk-UA"/>
              </w:rPr>
              <w:t>:</w:t>
            </w:r>
            <w:r>
              <w:rPr>
                <w:rFonts w:ascii="Times New Roman" w:hAnsi="Times New Roman" w:cs="Times New Roman"/>
                <w:lang w:val="uk-UA"/>
              </w:rPr>
              <w:t xml:space="preserve"> </w:t>
            </w:r>
            <w:r w:rsidRPr="00623C72">
              <w:rPr>
                <w:rFonts w:ascii="Times New Roman" w:hAnsi="Times New Roman" w:cs="Times New Roman"/>
                <w:lang w:val="uk-UA"/>
              </w:rPr>
              <w:t>Вилучити з метою усунення дублювання норм</w:t>
            </w:r>
          </w:p>
          <w:p w:rsidR="00A21FA6" w:rsidRDefault="00A21FA6" w:rsidP="0092482B">
            <w:pPr>
              <w:pStyle w:val="normal"/>
              <w:spacing w:before="120"/>
              <w:jc w:val="both"/>
              <w:rPr>
                <w:rFonts w:ascii="Times New Roman" w:hAnsi="Times New Roman" w:cs="Times New Roman"/>
                <w:lang w:val="uk-UA"/>
              </w:rPr>
            </w:pPr>
          </w:p>
          <w:p w:rsidR="00A21FA6" w:rsidRDefault="00A21FA6" w:rsidP="0092482B">
            <w:pPr>
              <w:pStyle w:val="normal"/>
              <w:spacing w:before="120"/>
              <w:jc w:val="both"/>
              <w:rPr>
                <w:rFonts w:ascii="Times New Roman" w:hAnsi="Times New Roman" w:cs="Times New Roman"/>
                <w:lang w:val="uk-UA"/>
              </w:rPr>
            </w:pPr>
          </w:p>
          <w:p w:rsidR="00A21FA6" w:rsidRDefault="00A21FA6" w:rsidP="0092482B">
            <w:pPr>
              <w:pStyle w:val="normal"/>
              <w:spacing w:before="120"/>
              <w:jc w:val="both"/>
              <w:rPr>
                <w:rFonts w:ascii="Times New Roman" w:hAnsi="Times New Roman" w:cs="Times New Roman"/>
                <w:lang w:val="uk-UA"/>
              </w:rPr>
            </w:pPr>
          </w:p>
          <w:p w:rsidR="00A21FA6" w:rsidRDefault="00A21FA6" w:rsidP="0092482B">
            <w:pPr>
              <w:pStyle w:val="normal"/>
              <w:spacing w:before="120"/>
              <w:jc w:val="both"/>
              <w:rPr>
                <w:rFonts w:ascii="Times New Roman" w:hAnsi="Times New Roman" w:cs="Times New Roman"/>
                <w:lang w:val="uk-UA"/>
              </w:rPr>
            </w:pPr>
          </w:p>
          <w:p w:rsidR="00A21FA6" w:rsidRPr="009628B1" w:rsidRDefault="00A21FA6" w:rsidP="00783147">
            <w:pPr>
              <w:pStyle w:val="normal"/>
              <w:spacing w:before="120"/>
              <w:jc w:val="both"/>
              <w:rPr>
                <w:rFonts w:ascii="Times New Roman" w:hAnsi="Times New Roman" w:cs="Times New Roman"/>
                <w:lang w:val="uk-UA"/>
              </w:rPr>
            </w:pPr>
          </w:p>
        </w:tc>
      </w:tr>
      <w:tr w:rsidR="00AC0DC4" w:rsidRPr="00245E67" w:rsidTr="00375BF8">
        <w:tc>
          <w:tcPr>
            <w:tcW w:w="568" w:type="dxa"/>
            <w:shd w:val="clear" w:color="auto" w:fill="auto"/>
          </w:tcPr>
          <w:p w:rsidR="00AC0DC4" w:rsidRPr="009628B1" w:rsidRDefault="00BE1FF8" w:rsidP="00565623">
            <w:pPr>
              <w:pStyle w:val="normal"/>
              <w:spacing w:before="120"/>
              <w:jc w:val="both"/>
              <w:rPr>
                <w:rFonts w:ascii="Times New Roman" w:hAnsi="Times New Roman" w:cs="Times New Roman"/>
                <w:lang w:val="uk-UA"/>
              </w:rPr>
            </w:pPr>
            <w:r>
              <w:rPr>
                <w:rFonts w:ascii="Times New Roman" w:hAnsi="Times New Roman" w:cs="Times New Roman"/>
                <w:lang w:val="uk-UA"/>
              </w:rPr>
              <w:t>2</w:t>
            </w:r>
          </w:p>
        </w:tc>
        <w:tc>
          <w:tcPr>
            <w:tcW w:w="3942" w:type="dxa"/>
            <w:shd w:val="clear" w:color="auto" w:fill="auto"/>
          </w:tcPr>
          <w:p w:rsidR="00BE1FF8" w:rsidRPr="00BE1FF8" w:rsidRDefault="00BE1FF8" w:rsidP="0084705C">
            <w:pPr>
              <w:pStyle w:val="normal"/>
              <w:spacing w:before="120"/>
              <w:jc w:val="both"/>
              <w:rPr>
                <w:rFonts w:ascii="Times New Roman" w:hAnsi="Times New Roman" w:cs="Times New Roman"/>
                <w:b/>
                <w:lang w:val="uk-UA"/>
              </w:rPr>
            </w:pPr>
            <w:r w:rsidRPr="00BE1FF8">
              <w:rPr>
                <w:rFonts w:ascii="Times New Roman" w:hAnsi="Times New Roman" w:cs="Times New Roman"/>
                <w:b/>
                <w:lang w:val="uk-UA"/>
              </w:rPr>
              <w:t>Стаття 402. Територія і статус спеціальної (вільної) економічної зони</w:t>
            </w:r>
          </w:p>
          <w:p w:rsidR="0084705C" w:rsidRPr="009628B1" w:rsidRDefault="00BE1FF8" w:rsidP="0084705C">
            <w:pPr>
              <w:pStyle w:val="normal"/>
              <w:spacing w:before="120"/>
              <w:jc w:val="both"/>
              <w:rPr>
                <w:rFonts w:ascii="Times New Roman" w:hAnsi="Times New Roman" w:cs="Times New Roman"/>
                <w:lang w:val="uk-UA"/>
              </w:rPr>
            </w:pPr>
            <w:r w:rsidRPr="00BE1FF8">
              <w:rPr>
                <w:rFonts w:ascii="Times New Roman" w:hAnsi="Times New Roman" w:cs="Times New Roman"/>
                <w:lang w:val="uk-UA"/>
              </w:rPr>
              <w:t xml:space="preserve">1. Територія і статус спеціальної (вільної) економічної зони, в тому числі строк, на який вона створюється, визначаються окремим законом для кожної спеціальної (вільної) економічної </w:t>
            </w:r>
            <w:r w:rsidRPr="00BE1FF8">
              <w:rPr>
                <w:rFonts w:ascii="Times New Roman" w:hAnsi="Times New Roman" w:cs="Times New Roman"/>
                <w:lang w:val="uk-UA"/>
              </w:rPr>
              <w:lastRenderedPageBreak/>
              <w:t>зони.</w:t>
            </w:r>
          </w:p>
        </w:tc>
        <w:tc>
          <w:tcPr>
            <w:tcW w:w="3962" w:type="dxa"/>
            <w:shd w:val="clear" w:color="auto" w:fill="auto"/>
          </w:tcPr>
          <w:p w:rsidR="00BE1FF8" w:rsidRDefault="00BE1FF8" w:rsidP="00BE1FF8">
            <w:pPr>
              <w:pStyle w:val="normal"/>
              <w:spacing w:before="120"/>
              <w:jc w:val="both"/>
              <w:rPr>
                <w:rFonts w:ascii="Times New Roman" w:hAnsi="Times New Roman" w:cs="Times New Roman"/>
                <w:lang w:val="uk-UA"/>
              </w:rPr>
            </w:pPr>
            <w:r>
              <w:rPr>
                <w:rFonts w:ascii="Times New Roman" w:hAnsi="Times New Roman" w:cs="Times New Roman"/>
                <w:lang w:val="uk-UA"/>
              </w:rPr>
              <w:lastRenderedPageBreak/>
              <w:t>Це</w:t>
            </w:r>
            <w:r w:rsidRPr="009628B1">
              <w:rPr>
                <w:rFonts w:ascii="Times New Roman" w:hAnsi="Times New Roman" w:cs="Times New Roman"/>
                <w:lang w:val="uk-UA"/>
              </w:rPr>
              <w:t xml:space="preserve"> положення дублює положення </w:t>
            </w:r>
            <w:r>
              <w:rPr>
                <w:rFonts w:ascii="Times New Roman" w:hAnsi="Times New Roman" w:cs="Times New Roman"/>
                <w:lang w:val="uk-UA"/>
              </w:rPr>
              <w:t>статті 2</w:t>
            </w:r>
            <w:r w:rsidRPr="00AC0DC4">
              <w:rPr>
                <w:rFonts w:ascii="Times New Roman" w:hAnsi="Times New Roman" w:cs="Times New Roman"/>
                <w:lang w:val="uk-UA"/>
              </w:rPr>
              <w:t xml:space="preserve"> </w:t>
            </w:r>
            <w:r w:rsidRPr="009628B1">
              <w:rPr>
                <w:rFonts w:ascii="Times New Roman" w:hAnsi="Times New Roman" w:cs="Times New Roman"/>
                <w:lang w:val="uk-UA"/>
              </w:rPr>
              <w:t xml:space="preserve">Закону України </w:t>
            </w:r>
            <w:r>
              <w:rPr>
                <w:rFonts w:ascii="Times New Roman" w:hAnsi="Times New Roman" w:cs="Times New Roman"/>
                <w:lang w:val="uk-UA"/>
              </w:rPr>
              <w:t>«</w:t>
            </w:r>
            <w:r w:rsidRPr="00BE1FF8">
              <w:rPr>
                <w:rFonts w:ascii="Times New Roman" w:hAnsi="Times New Roman" w:cs="Times New Roman"/>
                <w:lang w:val="uk-UA"/>
              </w:rPr>
              <w:t>Про загальні засади створення і функціонування спеціальних (вільних) економічних зон</w:t>
            </w:r>
            <w:r>
              <w:rPr>
                <w:rFonts w:ascii="Times New Roman" w:hAnsi="Times New Roman" w:cs="Times New Roman"/>
                <w:lang w:val="uk-UA"/>
              </w:rPr>
              <w:t>»</w:t>
            </w:r>
            <w:r w:rsidRPr="00BE1FF8">
              <w:rPr>
                <w:rFonts w:ascii="Times New Roman" w:hAnsi="Times New Roman" w:cs="Times New Roman"/>
                <w:lang w:val="uk-UA"/>
              </w:rPr>
              <w:t> </w:t>
            </w:r>
            <w:r w:rsidRPr="009628B1">
              <w:rPr>
                <w:rFonts w:ascii="Times New Roman" w:hAnsi="Times New Roman" w:cs="Times New Roman"/>
                <w:lang w:val="uk-UA"/>
              </w:rPr>
              <w:t xml:space="preserve">, </w:t>
            </w:r>
            <w:r>
              <w:rPr>
                <w:rFonts w:ascii="Times New Roman" w:hAnsi="Times New Roman" w:cs="Times New Roman"/>
                <w:lang w:val="uk-UA"/>
              </w:rPr>
              <w:t>відповідно до як</w:t>
            </w:r>
            <w:r w:rsidR="00D312E2">
              <w:rPr>
                <w:rFonts w:ascii="Times New Roman" w:hAnsi="Times New Roman" w:cs="Times New Roman"/>
                <w:lang w:val="uk-UA"/>
              </w:rPr>
              <w:t>ої</w:t>
            </w:r>
            <w:r>
              <w:rPr>
                <w:rFonts w:ascii="Times New Roman" w:hAnsi="Times New Roman" w:cs="Times New Roman"/>
                <w:lang w:val="uk-UA"/>
              </w:rPr>
              <w:t>:</w:t>
            </w:r>
          </w:p>
          <w:p w:rsidR="00B433A8" w:rsidRPr="009628B1" w:rsidRDefault="00BE1FF8" w:rsidP="003B5D0A">
            <w:pPr>
              <w:pStyle w:val="normal"/>
              <w:spacing w:before="120"/>
              <w:jc w:val="both"/>
              <w:rPr>
                <w:rFonts w:ascii="Times New Roman" w:hAnsi="Times New Roman" w:cs="Times New Roman"/>
                <w:lang w:val="uk-UA"/>
              </w:rPr>
            </w:pPr>
            <w:r w:rsidRPr="009628B1">
              <w:rPr>
                <w:rFonts w:ascii="Times New Roman" w:hAnsi="Times New Roman" w:cs="Times New Roman"/>
                <w:lang w:val="uk-UA"/>
              </w:rPr>
              <w:t xml:space="preserve"> </w:t>
            </w:r>
            <w:r w:rsidR="003B5D0A" w:rsidRPr="003B5D0A">
              <w:rPr>
                <w:rFonts w:ascii="Times New Roman" w:hAnsi="Times New Roman" w:cs="Times New Roman"/>
                <w:lang w:val="uk-UA"/>
              </w:rPr>
              <w:t xml:space="preserve">Статус і територія спеціальної (вільної) економічної зони, а також строк, на який вона створюється, </w:t>
            </w:r>
            <w:r w:rsidR="003B5D0A" w:rsidRPr="003B5D0A">
              <w:rPr>
                <w:rFonts w:ascii="Times New Roman" w:hAnsi="Times New Roman" w:cs="Times New Roman"/>
                <w:lang w:val="uk-UA"/>
              </w:rPr>
              <w:lastRenderedPageBreak/>
              <w:t xml:space="preserve">визначаються Верховною Радою України шляхом прийняття окремого закону для кожної спеціальної (вільної) економічної зони. </w:t>
            </w:r>
          </w:p>
        </w:tc>
        <w:tc>
          <w:tcPr>
            <w:tcW w:w="2275" w:type="dxa"/>
            <w:shd w:val="clear" w:color="auto" w:fill="auto"/>
          </w:tcPr>
          <w:p w:rsidR="00AC0DC4" w:rsidRDefault="0022649D" w:rsidP="00565623">
            <w:pPr>
              <w:pStyle w:val="normal"/>
              <w:spacing w:before="120"/>
              <w:jc w:val="both"/>
              <w:rPr>
                <w:rFonts w:ascii="Times New Roman" w:hAnsi="Times New Roman" w:cs="Times New Roman"/>
                <w:lang w:val="uk-UA"/>
              </w:rPr>
            </w:pPr>
            <w:r>
              <w:rPr>
                <w:rFonts w:ascii="Times New Roman" w:hAnsi="Times New Roman" w:cs="Times New Roman"/>
                <w:lang w:val="uk-UA"/>
              </w:rPr>
              <w:lastRenderedPageBreak/>
              <w:t>Відсутні посилання на судову практику</w:t>
            </w:r>
          </w:p>
          <w:p w:rsidR="00671EB3" w:rsidRDefault="00671EB3" w:rsidP="00565623">
            <w:pPr>
              <w:pStyle w:val="normal"/>
              <w:spacing w:before="120"/>
              <w:jc w:val="both"/>
              <w:rPr>
                <w:rFonts w:ascii="Times New Roman" w:hAnsi="Times New Roman" w:cs="Times New Roman"/>
                <w:lang w:val="uk-UA"/>
              </w:rPr>
            </w:pPr>
          </w:p>
          <w:p w:rsidR="00671EB3" w:rsidRDefault="00671EB3" w:rsidP="00565623">
            <w:pPr>
              <w:pStyle w:val="normal"/>
              <w:spacing w:before="120"/>
              <w:jc w:val="both"/>
              <w:rPr>
                <w:rFonts w:ascii="Times New Roman" w:hAnsi="Times New Roman" w:cs="Times New Roman"/>
                <w:lang w:val="uk-UA"/>
              </w:rPr>
            </w:pPr>
          </w:p>
          <w:p w:rsidR="00671EB3" w:rsidRDefault="00671EB3" w:rsidP="00565623">
            <w:pPr>
              <w:pStyle w:val="normal"/>
              <w:spacing w:before="120"/>
              <w:jc w:val="both"/>
              <w:rPr>
                <w:rFonts w:ascii="Times New Roman" w:hAnsi="Times New Roman" w:cs="Times New Roman"/>
                <w:lang w:val="uk-UA"/>
              </w:rPr>
            </w:pPr>
          </w:p>
          <w:p w:rsidR="00671EB3" w:rsidRDefault="00671EB3" w:rsidP="00565623">
            <w:pPr>
              <w:pStyle w:val="normal"/>
              <w:spacing w:before="120"/>
              <w:jc w:val="both"/>
              <w:rPr>
                <w:rFonts w:ascii="Times New Roman" w:hAnsi="Times New Roman" w:cs="Times New Roman"/>
                <w:lang w:val="uk-UA"/>
              </w:rPr>
            </w:pPr>
          </w:p>
          <w:p w:rsidR="00671EB3" w:rsidRDefault="00671EB3" w:rsidP="00565623">
            <w:pPr>
              <w:pStyle w:val="normal"/>
              <w:spacing w:before="120"/>
              <w:jc w:val="both"/>
              <w:rPr>
                <w:rFonts w:ascii="Times New Roman" w:hAnsi="Times New Roman" w:cs="Times New Roman"/>
                <w:lang w:val="uk-UA"/>
              </w:rPr>
            </w:pPr>
          </w:p>
          <w:p w:rsidR="00671EB3" w:rsidRDefault="00671EB3" w:rsidP="00565623">
            <w:pPr>
              <w:pStyle w:val="normal"/>
              <w:spacing w:before="120"/>
              <w:jc w:val="both"/>
              <w:rPr>
                <w:rFonts w:ascii="Times New Roman" w:hAnsi="Times New Roman" w:cs="Times New Roman"/>
                <w:lang w:val="uk-UA"/>
              </w:rPr>
            </w:pPr>
          </w:p>
          <w:p w:rsidR="00671EB3" w:rsidRDefault="00671EB3" w:rsidP="003B5D0A">
            <w:pPr>
              <w:pStyle w:val="normal"/>
              <w:spacing w:before="120"/>
              <w:jc w:val="both"/>
              <w:rPr>
                <w:rFonts w:ascii="Times New Roman" w:hAnsi="Times New Roman" w:cs="Times New Roman"/>
                <w:lang w:val="uk-UA"/>
              </w:rPr>
            </w:pPr>
          </w:p>
          <w:p w:rsidR="003B5D0A" w:rsidRDefault="003B5D0A" w:rsidP="003B5D0A">
            <w:pPr>
              <w:pStyle w:val="normal"/>
              <w:spacing w:before="120"/>
              <w:jc w:val="both"/>
              <w:rPr>
                <w:rFonts w:ascii="Times New Roman" w:hAnsi="Times New Roman" w:cs="Times New Roman"/>
                <w:lang w:val="uk-UA"/>
              </w:rPr>
            </w:pPr>
          </w:p>
          <w:p w:rsidR="003B5D0A" w:rsidRPr="009628B1" w:rsidRDefault="003B5D0A" w:rsidP="003B5D0A">
            <w:pPr>
              <w:pStyle w:val="normal"/>
              <w:spacing w:before="120"/>
              <w:jc w:val="both"/>
              <w:rPr>
                <w:rFonts w:ascii="Times New Roman" w:hAnsi="Times New Roman" w:cs="Times New Roman"/>
                <w:lang w:val="uk-UA"/>
              </w:rPr>
            </w:pPr>
          </w:p>
        </w:tc>
        <w:tc>
          <w:tcPr>
            <w:tcW w:w="2127" w:type="dxa"/>
            <w:shd w:val="clear" w:color="auto" w:fill="auto"/>
          </w:tcPr>
          <w:p w:rsidR="00AC0DC4" w:rsidRDefault="00AC0DC4" w:rsidP="00565623">
            <w:pPr>
              <w:pStyle w:val="normal"/>
              <w:spacing w:before="120"/>
              <w:jc w:val="both"/>
              <w:rPr>
                <w:rFonts w:ascii="Times New Roman" w:hAnsi="Times New Roman" w:cs="Times New Roman"/>
                <w:lang w:val="uk-UA"/>
              </w:rPr>
            </w:pPr>
            <w:r w:rsidRPr="009628B1">
              <w:rPr>
                <w:rFonts w:ascii="Times New Roman" w:hAnsi="Times New Roman" w:cs="Times New Roman"/>
                <w:lang w:val="uk-UA"/>
              </w:rPr>
              <w:lastRenderedPageBreak/>
              <w:t>ПОЗИЦІЯ 1:</w:t>
            </w:r>
          </w:p>
          <w:p w:rsidR="00AC0DC4" w:rsidRPr="009628B1" w:rsidRDefault="0022649D" w:rsidP="00565623">
            <w:pPr>
              <w:pStyle w:val="normal"/>
              <w:spacing w:before="120"/>
              <w:jc w:val="both"/>
              <w:rPr>
                <w:rFonts w:ascii="Times New Roman" w:hAnsi="Times New Roman" w:cs="Times New Roman"/>
                <w:lang w:val="uk-UA"/>
              </w:rPr>
            </w:pPr>
            <w:r>
              <w:rPr>
                <w:rFonts w:ascii="Times New Roman" w:hAnsi="Times New Roman" w:cs="Times New Roman"/>
                <w:lang w:val="uk-UA"/>
              </w:rPr>
              <w:t>Вилучити</w:t>
            </w:r>
          </w:p>
          <w:p w:rsidR="00AC0DC4" w:rsidRPr="009628B1" w:rsidRDefault="00AC0DC4" w:rsidP="00565623">
            <w:pPr>
              <w:pStyle w:val="normal"/>
              <w:spacing w:before="120"/>
              <w:jc w:val="both"/>
              <w:rPr>
                <w:rFonts w:ascii="Times New Roman" w:hAnsi="Times New Roman" w:cs="Times New Roman"/>
                <w:lang w:val="uk-UA"/>
              </w:rPr>
            </w:pPr>
          </w:p>
          <w:p w:rsidR="00AC0DC4" w:rsidRPr="009628B1" w:rsidRDefault="00AC0DC4" w:rsidP="00565623">
            <w:pPr>
              <w:pStyle w:val="normal"/>
              <w:spacing w:before="120"/>
              <w:jc w:val="both"/>
              <w:rPr>
                <w:rFonts w:ascii="Times New Roman" w:hAnsi="Times New Roman" w:cs="Times New Roman"/>
                <w:lang w:val="uk-UA"/>
              </w:rPr>
            </w:pPr>
          </w:p>
          <w:p w:rsidR="00AC0DC4" w:rsidRPr="009628B1" w:rsidRDefault="00AC0DC4" w:rsidP="00565623">
            <w:pPr>
              <w:pStyle w:val="normal"/>
              <w:spacing w:before="120"/>
              <w:jc w:val="both"/>
              <w:rPr>
                <w:rFonts w:ascii="Times New Roman" w:hAnsi="Times New Roman" w:cs="Times New Roman"/>
                <w:lang w:val="uk-UA"/>
              </w:rPr>
            </w:pPr>
          </w:p>
          <w:p w:rsidR="00AC0DC4" w:rsidRPr="009628B1" w:rsidRDefault="00AC0DC4" w:rsidP="00BB2381">
            <w:pPr>
              <w:pStyle w:val="normal"/>
              <w:spacing w:before="120"/>
              <w:jc w:val="both"/>
              <w:rPr>
                <w:rFonts w:ascii="Times New Roman" w:hAnsi="Times New Roman" w:cs="Times New Roman"/>
                <w:lang w:val="uk-UA"/>
              </w:rPr>
            </w:pPr>
          </w:p>
        </w:tc>
        <w:tc>
          <w:tcPr>
            <w:tcW w:w="2834" w:type="dxa"/>
            <w:shd w:val="clear" w:color="auto" w:fill="auto"/>
          </w:tcPr>
          <w:p w:rsidR="00671EB3" w:rsidRPr="00623C72" w:rsidRDefault="00671EB3" w:rsidP="00671EB3">
            <w:pPr>
              <w:pStyle w:val="normal"/>
              <w:spacing w:before="120"/>
              <w:jc w:val="both"/>
              <w:rPr>
                <w:rFonts w:ascii="Times New Roman" w:hAnsi="Times New Roman" w:cs="Times New Roman"/>
                <w:lang w:val="uk-UA"/>
              </w:rPr>
            </w:pPr>
            <w:r w:rsidRPr="00623C72">
              <w:rPr>
                <w:rFonts w:ascii="Times New Roman" w:hAnsi="Times New Roman" w:cs="Times New Roman"/>
                <w:lang w:val="uk-UA"/>
              </w:rPr>
              <w:t>ПОЗИЦІЯ 1:</w:t>
            </w:r>
          </w:p>
          <w:p w:rsidR="00671EB3" w:rsidRPr="00623C72" w:rsidRDefault="00671EB3" w:rsidP="00671EB3">
            <w:pPr>
              <w:pStyle w:val="normal"/>
              <w:spacing w:before="120"/>
              <w:jc w:val="both"/>
              <w:rPr>
                <w:rFonts w:ascii="Times New Roman" w:hAnsi="Times New Roman" w:cs="Times New Roman"/>
                <w:lang w:val="uk-UA"/>
              </w:rPr>
            </w:pPr>
            <w:r w:rsidRPr="00623C72">
              <w:rPr>
                <w:rFonts w:ascii="Times New Roman" w:hAnsi="Times New Roman" w:cs="Times New Roman"/>
                <w:lang w:val="uk-UA"/>
              </w:rPr>
              <w:t>Вилучити з метою усунення дублювання норм</w:t>
            </w:r>
          </w:p>
          <w:p w:rsidR="00671EB3" w:rsidRPr="00671EB3" w:rsidRDefault="00671EB3" w:rsidP="0022649D">
            <w:pPr>
              <w:pStyle w:val="normal"/>
              <w:jc w:val="both"/>
              <w:rPr>
                <w:lang w:val="uk-UA"/>
              </w:rPr>
            </w:pPr>
          </w:p>
        </w:tc>
      </w:tr>
      <w:tr w:rsidR="003B5D0A" w:rsidRPr="00245E67" w:rsidTr="00375BF8">
        <w:trPr>
          <w:trHeight w:val="1112"/>
        </w:trPr>
        <w:tc>
          <w:tcPr>
            <w:tcW w:w="568" w:type="dxa"/>
            <w:shd w:val="clear" w:color="auto" w:fill="auto"/>
          </w:tcPr>
          <w:p w:rsidR="003B5D0A" w:rsidRPr="009628B1" w:rsidRDefault="003B5D0A" w:rsidP="00565623">
            <w:pPr>
              <w:pStyle w:val="normal"/>
              <w:spacing w:before="120"/>
              <w:jc w:val="both"/>
              <w:rPr>
                <w:rFonts w:ascii="Times New Roman" w:hAnsi="Times New Roman" w:cs="Times New Roman"/>
                <w:lang w:val="uk-UA"/>
              </w:rPr>
            </w:pPr>
            <w:r>
              <w:rPr>
                <w:rFonts w:ascii="Times New Roman" w:hAnsi="Times New Roman" w:cs="Times New Roman"/>
                <w:lang w:val="uk-UA"/>
              </w:rPr>
              <w:lastRenderedPageBreak/>
              <w:t>3</w:t>
            </w:r>
          </w:p>
        </w:tc>
        <w:tc>
          <w:tcPr>
            <w:tcW w:w="3942" w:type="dxa"/>
            <w:shd w:val="clear" w:color="auto" w:fill="auto"/>
          </w:tcPr>
          <w:p w:rsidR="003B5D0A" w:rsidRDefault="003B5D0A" w:rsidP="0084705C">
            <w:pPr>
              <w:pStyle w:val="normal"/>
              <w:spacing w:before="120"/>
              <w:jc w:val="both"/>
              <w:rPr>
                <w:rFonts w:ascii="Times New Roman" w:hAnsi="Times New Roman" w:cs="Times New Roman"/>
                <w:b/>
                <w:lang w:val="uk-UA"/>
              </w:rPr>
            </w:pPr>
            <w:r w:rsidRPr="003B5D0A">
              <w:rPr>
                <w:rFonts w:ascii="Times New Roman" w:hAnsi="Times New Roman" w:cs="Times New Roman"/>
                <w:b/>
                <w:lang w:val="uk-UA"/>
              </w:rPr>
              <w:t>Стаття 403. Типи спеціальних (вільних) економічних зон</w:t>
            </w:r>
          </w:p>
          <w:p w:rsidR="003B5D0A" w:rsidRPr="003B5D0A" w:rsidRDefault="003B5D0A" w:rsidP="0084705C">
            <w:pPr>
              <w:pStyle w:val="normal"/>
              <w:spacing w:before="120"/>
              <w:jc w:val="both"/>
              <w:rPr>
                <w:rFonts w:ascii="Times New Roman" w:hAnsi="Times New Roman" w:cs="Times New Roman"/>
                <w:lang w:val="uk-UA"/>
              </w:rPr>
            </w:pPr>
            <w:r w:rsidRPr="003B5D0A">
              <w:rPr>
                <w:rFonts w:ascii="Times New Roman" w:hAnsi="Times New Roman" w:cs="Times New Roman"/>
                <w:lang w:val="uk-UA"/>
              </w:rPr>
              <w:t>1. На території України можуть створюватися спеціальні (вільні) економічні зони різних функціональних типів: вільні митні зони і порти, експортні, транзитні зони, митні склади, технологічні парки, технополіси, комплексні виробничі зони, туристично-рекреаційні, страхові, банківські тощо. Окремі економічні зони можуть поєднувати в собі функції, властиві різним типам спеціальних (вільних) економічних зон, зазначених у цій статті.</w:t>
            </w:r>
          </w:p>
        </w:tc>
        <w:tc>
          <w:tcPr>
            <w:tcW w:w="3962" w:type="dxa"/>
            <w:shd w:val="clear" w:color="auto" w:fill="auto"/>
          </w:tcPr>
          <w:p w:rsidR="003B5D0A" w:rsidRDefault="003B5D0A" w:rsidP="003B5D0A">
            <w:pPr>
              <w:pStyle w:val="normal"/>
              <w:spacing w:before="120"/>
              <w:jc w:val="both"/>
              <w:rPr>
                <w:rFonts w:ascii="Times New Roman" w:hAnsi="Times New Roman" w:cs="Times New Roman"/>
                <w:lang w:val="uk-UA"/>
              </w:rPr>
            </w:pPr>
            <w:r>
              <w:rPr>
                <w:rFonts w:ascii="Times New Roman" w:hAnsi="Times New Roman" w:cs="Times New Roman"/>
                <w:lang w:val="uk-UA"/>
              </w:rPr>
              <w:t>Це</w:t>
            </w:r>
            <w:r w:rsidRPr="009628B1">
              <w:rPr>
                <w:rFonts w:ascii="Times New Roman" w:hAnsi="Times New Roman" w:cs="Times New Roman"/>
                <w:lang w:val="uk-UA"/>
              </w:rPr>
              <w:t xml:space="preserve"> положення дублює положення </w:t>
            </w:r>
            <w:r>
              <w:rPr>
                <w:rFonts w:ascii="Times New Roman" w:hAnsi="Times New Roman" w:cs="Times New Roman"/>
                <w:lang w:val="uk-UA"/>
              </w:rPr>
              <w:t>статті 3</w:t>
            </w:r>
            <w:r w:rsidRPr="00AC0DC4">
              <w:rPr>
                <w:rFonts w:ascii="Times New Roman" w:hAnsi="Times New Roman" w:cs="Times New Roman"/>
                <w:lang w:val="uk-UA"/>
              </w:rPr>
              <w:t xml:space="preserve"> </w:t>
            </w:r>
            <w:r w:rsidRPr="009628B1">
              <w:rPr>
                <w:rFonts w:ascii="Times New Roman" w:hAnsi="Times New Roman" w:cs="Times New Roman"/>
                <w:lang w:val="uk-UA"/>
              </w:rPr>
              <w:t xml:space="preserve">Закону України </w:t>
            </w:r>
            <w:r>
              <w:rPr>
                <w:rFonts w:ascii="Times New Roman" w:hAnsi="Times New Roman" w:cs="Times New Roman"/>
                <w:lang w:val="uk-UA"/>
              </w:rPr>
              <w:t>«</w:t>
            </w:r>
            <w:r w:rsidRPr="00BE1FF8">
              <w:rPr>
                <w:rFonts w:ascii="Times New Roman" w:hAnsi="Times New Roman" w:cs="Times New Roman"/>
                <w:lang w:val="uk-UA"/>
              </w:rPr>
              <w:t>Про загальні засади створення і функціонування спеціальних (вільних) економічних зон</w:t>
            </w:r>
            <w:r>
              <w:rPr>
                <w:rFonts w:ascii="Times New Roman" w:hAnsi="Times New Roman" w:cs="Times New Roman"/>
                <w:lang w:val="uk-UA"/>
              </w:rPr>
              <w:t>»</w:t>
            </w:r>
            <w:r w:rsidRPr="00BE1FF8">
              <w:rPr>
                <w:rFonts w:ascii="Times New Roman" w:hAnsi="Times New Roman" w:cs="Times New Roman"/>
                <w:lang w:val="uk-UA"/>
              </w:rPr>
              <w:t> </w:t>
            </w:r>
            <w:r w:rsidRPr="009628B1">
              <w:rPr>
                <w:rFonts w:ascii="Times New Roman" w:hAnsi="Times New Roman" w:cs="Times New Roman"/>
                <w:lang w:val="uk-UA"/>
              </w:rPr>
              <w:t xml:space="preserve">, </w:t>
            </w:r>
            <w:r>
              <w:rPr>
                <w:rFonts w:ascii="Times New Roman" w:hAnsi="Times New Roman" w:cs="Times New Roman"/>
                <w:lang w:val="uk-UA"/>
              </w:rPr>
              <w:t>відповідно до як</w:t>
            </w:r>
            <w:r w:rsidR="00D312E2">
              <w:rPr>
                <w:rFonts w:ascii="Times New Roman" w:hAnsi="Times New Roman" w:cs="Times New Roman"/>
                <w:lang w:val="uk-UA"/>
              </w:rPr>
              <w:t>ої</w:t>
            </w:r>
            <w:r>
              <w:rPr>
                <w:rFonts w:ascii="Times New Roman" w:hAnsi="Times New Roman" w:cs="Times New Roman"/>
                <w:lang w:val="uk-UA"/>
              </w:rPr>
              <w:t>:</w:t>
            </w:r>
          </w:p>
          <w:p w:rsidR="003B5D0A" w:rsidRPr="009628B1" w:rsidRDefault="003B5D0A" w:rsidP="003B5D0A">
            <w:pPr>
              <w:pStyle w:val="a5"/>
              <w:jc w:val="both"/>
            </w:pPr>
            <w:r w:rsidRPr="009628B1">
              <w:t xml:space="preserve"> </w:t>
            </w:r>
            <w:r w:rsidRPr="003B5D0A">
              <w:t>На території України можуть створюватись спеціальні (вільні) економічні зони різних функціональних типів: вільні митні зони і порти, експортні, транзитні зони, митні склади, технологічні парки, технополіси, комплексні виробничі зони, туристсько-рекреаційні, страхові, банківські тощо. Окремі зони можуть поєднувати в собі функції, властиві різним типам спеціальних (вільних) економічних зон, зазначених у цій статті.</w:t>
            </w:r>
          </w:p>
        </w:tc>
        <w:tc>
          <w:tcPr>
            <w:tcW w:w="2275" w:type="dxa"/>
            <w:shd w:val="clear" w:color="auto" w:fill="auto"/>
          </w:tcPr>
          <w:p w:rsidR="003B5D0A" w:rsidRDefault="003B5D0A" w:rsidP="00006FC4">
            <w:pPr>
              <w:pStyle w:val="normal"/>
              <w:spacing w:before="120"/>
              <w:jc w:val="both"/>
              <w:rPr>
                <w:rFonts w:ascii="Times New Roman" w:hAnsi="Times New Roman" w:cs="Times New Roman"/>
                <w:lang w:val="uk-UA"/>
              </w:rPr>
            </w:pPr>
            <w:r>
              <w:rPr>
                <w:rFonts w:ascii="Times New Roman" w:hAnsi="Times New Roman" w:cs="Times New Roman"/>
                <w:lang w:val="uk-UA"/>
              </w:rPr>
              <w:t>Відсутні посилання на судову практику</w:t>
            </w:r>
          </w:p>
          <w:p w:rsidR="003B5D0A" w:rsidRDefault="003B5D0A" w:rsidP="00006FC4">
            <w:pPr>
              <w:pStyle w:val="normal"/>
              <w:spacing w:before="120"/>
              <w:jc w:val="both"/>
              <w:rPr>
                <w:rFonts w:ascii="Times New Roman" w:hAnsi="Times New Roman" w:cs="Times New Roman"/>
                <w:lang w:val="uk-UA"/>
              </w:rPr>
            </w:pPr>
          </w:p>
          <w:p w:rsidR="003B5D0A" w:rsidRDefault="003B5D0A" w:rsidP="00006FC4">
            <w:pPr>
              <w:pStyle w:val="normal"/>
              <w:spacing w:before="120"/>
              <w:jc w:val="both"/>
              <w:rPr>
                <w:rFonts w:ascii="Times New Roman" w:hAnsi="Times New Roman" w:cs="Times New Roman"/>
                <w:lang w:val="uk-UA"/>
              </w:rPr>
            </w:pPr>
          </w:p>
          <w:p w:rsidR="003B5D0A" w:rsidRDefault="003B5D0A" w:rsidP="00006FC4">
            <w:pPr>
              <w:pStyle w:val="normal"/>
              <w:spacing w:before="120"/>
              <w:jc w:val="both"/>
              <w:rPr>
                <w:rFonts w:ascii="Times New Roman" w:hAnsi="Times New Roman" w:cs="Times New Roman"/>
                <w:lang w:val="uk-UA"/>
              </w:rPr>
            </w:pPr>
          </w:p>
          <w:p w:rsidR="003B5D0A" w:rsidRDefault="003B5D0A" w:rsidP="00006FC4">
            <w:pPr>
              <w:pStyle w:val="normal"/>
              <w:spacing w:before="120"/>
              <w:jc w:val="both"/>
              <w:rPr>
                <w:rFonts w:ascii="Times New Roman" w:hAnsi="Times New Roman" w:cs="Times New Roman"/>
                <w:lang w:val="uk-UA"/>
              </w:rPr>
            </w:pPr>
          </w:p>
          <w:p w:rsidR="003B5D0A" w:rsidRDefault="003B5D0A" w:rsidP="00006FC4">
            <w:pPr>
              <w:pStyle w:val="normal"/>
              <w:spacing w:before="120"/>
              <w:jc w:val="both"/>
              <w:rPr>
                <w:rFonts w:ascii="Times New Roman" w:hAnsi="Times New Roman" w:cs="Times New Roman"/>
                <w:lang w:val="uk-UA"/>
              </w:rPr>
            </w:pPr>
          </w:p>
          <w:p w:rsidR="003B5D0A" w:rsidRDefault="003B5D0A" w:rsidP="00006FC4">
            <w:pPr>
              <w:pStyle w:val="normal"/>
              <w:spacing w:before="120"/>
              <w:jc w:val="both"/>
              <w:rPr>
                <w:rFonts w:ascii="Times New Roman" w:hAnsi="Times New Roman" w:cs="Times New Roman"/>
                <w:lang w:val="uk-UA"/>
              </w:rPr>
            </w:pPr>
          </w:p>
          <w:p w:rsidR="003B5D0A" w:rsidRDefault="003B5D0A" w:rsidP="00006FC4">
            <w:pPr>
              <w:pStyle w:val="normal"/>
              <w:spacing w:before="120"/>
              <w:jc w:val="both"/>
              <w:rPr>
                <w:rFonts w:ascii="Times New Roman" w:hAnsi="Times New Roman" w:cs="Times New Roman"/>
                <w:lang w:val="uk-UA"/>
              </w:rPr>
            </w:pPr>
          </w:p>
          <w:p w:rsidR="003B5D0A" w:rsidRDefault="003B5D0A" w:rsidP="00006FC4">
            <w:pPr>
              <w:pStyle w:val="normal"/>
              <w:spacing w:before="120"/>
              <w:jc w:val="both"/>
              <w:rPr>
                <w:rFonts w:ascii="Times New Roman" w:hAnsi="Times New Roman" w:cs="Times New Roman"/>
                <w:lang w:val="uk-UA"/>
              </w:rPr>
            </w:pPr>
          </w:p>
          <w:p w:rsidR="003B5D0A" w:rsidRDefault="003B5D0A" w:rsidP="00006FC4">
            <w:pPr>
              <w:pStyle w:val="normal"/>
              <w:spacing w:before="120"/>
              <w:jc w:val="both"/>
              <w:rPr>
                <w:rFonts w:ascii="Times New Roman" w:hAnsi="Times New Roman" w:cs="Times New Roman"/>
                <w:lang w:val="uk-UA"/>
              </w:rPr>
            </w:pPr>
          </w:p>
          <w:p w:rsidR="003B5D0A" w:rsidRPr="009628B1" w:rsidRDefault="003B5D0A" w:rsidP="00006FC4">
            <w:pPr>
              <w:pStyle w:val="normal"/>
              <w:spacing w:before="120"/>
              <w:jc w:val="both"/>
              <w:rPr>
                <w:rFonts w:ascii="Times New Roman" w:hAnsi="Times New Roman" w:cs="Times New Roman"/>
                <w:lang w:val="uk-UA"/>
              </w:rPr>
            </w:pPr>
          </w:p>
        </w:tc>
        <w:tc>
          <w:tcPr>
            <w:tcW w:w="2127" w:type="dxa"/>
            <w:shd w:val="clear" w:color="auto" w:fill="auto"/>
          </w:tcPr>
          <w:p w:rsidR="003B5D0A" w:rsidRDefault="003B5D0A" w:rsidP="00006FC4">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3B5D0A" w:rsidRPr="009628B1" w:rsidRDefault="003B5D0A" w:rsidP="00006FC4">
            <w:pPr>
              <w:pStyle w:val="normal"/>
              <w:spacing w:before="120"/>
              <w:jc w:val="both"/>
              <w:rPr>
                <w:rFonts w:ascii="Times New Roman" w:hAnsi="Times New Roman" w:cs="Times New Roman"/>
                <w:lang w:val="uk-UA"/>
              </w:rPr>
            </w:pPr>
            <w:r>
              <w:rPr>
                <w:rFonts w:ascii="Times New Roman" w:hAnsi="Times New Roman" w:cs="Times New Roman"/>
                <w:lang w:val="uk-UA"/>
              </w:rPr>
              <w:t>Вилучити</w:t>
            </w:r>
          </w:p>
          <w:p w:rsidR="003B5D0A" w:rsidRPr="009628B1" w:rsidRDefault="003B5D0A" w:rsidP="00006FC4">
            <w:pPr>
              <w:pStyle w:val="normal"/>
              <w:spacing w:before="120"/>
              <w:jc w:val="both"/>
              <w:rPr>
                <w:rFonts w:ascii="Times New Roman" w:hAnsi="Times New Roman" w:cs="Times New Roman"/>
                <w:lang w:val="uk-UA"/>
              </w:rPr>
            </w:pPr>
          </w:p>
          <w:p w:rsidR="003B5D0A" w:rsidRPr="009628B1" w:rsidRDefault="003B5D0A" w:rsidP="00006FC4">
            <w:pPr>
              <w:pStyle w:val="normal"/>
              <w:spacing w:before="120"/>
              <w:jc w:val="both"/>
              <w:rPr>
                <w:rFonts w:ascii="Times New Roman" w:hAnsi="Times New Roman" w:cs="Times New Roman"/>
                <w:lang w:val="uk-UA"/>
              </w:rPr>
            </w:pPr>
          </w:p>
          <w:p w:rsidR="003B5D0A" w:rsidRPr="009628B1" w:rsidRDefault="003B5D0A" w:rsidP="00006FC4">
            <w:pPr>
              <w:pStyle w:val="normal"/>
              <w:spacing w:before="120"/>
              <w:jc w:val="both"/>
              <w:rPr>
                <w:rFonts w:ascii="Times New Roman" w:hAnsi="Times New Roman" w:cs="Times New Roman"/>
                <w:lang w:val="uk-UA"/>
              </w:rPr>
            </w:pPr>
          </w:p>
          <w:p w:rsidR="003B5D0A" w:rsidRPr="009628B1" w:rsidRDefault="003B5D0A" w:rsidP="00006FC4">
            <w:pPr>
              <w:pStyle w:val="normal"/>
              <w:spacing w:before="120"/>
              <w:jc w:val="both"/>
              <w:rPr>
                <w:rFonts w:ascii="Times New Roman" w:hAnsi="Times New Roman" w:cs="Times New Roman"/>
                <w:lang w:val="uk-UA"/>
              </w:rPr>
            </w:pPr>
          </w:p>
        </w:tc>
        <w:tc>
          <w:tcPr>
            <w:tcW w:w="2834" w:type="dxa"/>
            <w:shd w:val="clear" w:color="auto" w:fill="auto"/>
          </w:tcPr>
          <w:p w:rsidR="003B5D0A" w:rsidRPr="00623C72" w:rsidRDefault="003B5D0A" w:rsidP="00006FC4">
            <w:pPr>
              <w:pStyle w:val="normal"/>
              <w:spacing w:before="120"/>
              <w:jc w:val="both"/>
              <w:rPr>
                <w:rFonts w:ascii="Times New Roman" w:hAnsi="Times New Roman" w:cs="Times New Roman"/>
                <w:lang w:val="uk-UA"/>
              </w:rPr>
            </w:pPr>
            <w:r w:rsidRPr="00623C72">
              <w:rPr>
                <w:rFonts w:ascii="Times New Roman" w:hAnsi="Times New Roman" w:cs="Times New Roman"/>
                <w:lang w:val="uk-UA"/>
              </w:rPr>
              <w:t>ПОЗИЦІЯ 1:</w:t>
            </w:r>
          </w:p>
          <w:p w:rsidR="003B5D0A" w:rsidRPr="00623C72" w:rsidRDefault="003B5D0A" w:rsidP="00006FC4">
            <w:pPr>
              <w:pStyle w:val="normal"/>
              <w:spacing w:before="120"/>
              <w:jc w:val="both"/>
              <w:rPr>
                <w:rFonts w:ascii="Times New Roman" w:hAnsi="Times New Roman" w:cs="Times New Roman"/>
                <w:lang w:val="uk-UA"/>
              </w:rPr>
            </w:pPr>
            <w:r w:rsidRPr="00623C72">
              <w:rPr>
                <w:rFonts w:ascii="Times New Roman" w:hAnsi="Times New Roman" w:cs="Times New Roman"/>
                <w:lang w:val="uk-UA"/>
              </w:rPr>
              <w:t>Вилучити з метою усунення дублювання норм</w:t>
            </w:r>
          </w:p>
          <w:p w:rsidR="003B5D0A" w:rsidRPr="00671EB3" w:rsidRDefault="003B5D0A" w:rsidP="00006FC4">
            <w:pPr>
              <w:pStyle w:val="normal"/>
              <w:jc w:val="both"/>
              <w:rPr>
                <w:lang w:val="uk-UA"/>
              </w:rPr>
            </w:pPr>
          </w:p>
        </w:tc>
      </w:tr>
      <w:tr w:rsidR="00006FC4" w:rsidRPr="00245E67" w:rsidTr="00375BF8">
        <w:tc>
          <w:tcPr>
            <w:tcW w:w="568" w:type="dxa"/>
            <w:shd w:val="clear" w:color="auto" w:fill="auto"/>
          </w:tcPr>
          <w:p w:rsidR="00006FC4" w:rsidRPr="009628B1" w:rsidRDefault="00006FC4" w:rsidP="00565623">
            <w:pPr>
              <w:pStyle w:val="normal"/>
              <w:spacing w:before="120"/>
              <w:jc w:val="both"/>
              <w:rPr>
                <w:rFonts w:ascii="Times New Roman" w:hAnsi="Times New Roman" w:cs="Times New Roman"/>
                <w:lang w:val="uk-UA"/>
              </w:rPr>
            </w:pPr>
            <w:r>
              <w:rPr>
                <w:rFonts w:ascii="Times New Roman" w:hAnsi="Times New Roman" w:cs="Times New Roman"/>
                <w:lang w:val="uk-UA"/>
              </w:rPr>
              <w:t>4</w:t>
            </w:r>
          </w:p>
        </w:tc>
        <w:tc>
          <w:tcPr>
            <w:tcW w:w="3942" w:type="dxa"/>
            <w:shd w:val="clear" w:color="auto" w:fill="auto"/>
          </w:tcPr>
          <w:p w:rsidR="00006FC4" w:rsidRDefault="00006FC4" w:rsidP="00006FC4">
            <w:pPr>
              <w:rPr>
                <w:rFonts w:ascii="Times New Roman" w:hAnsi="Times New Roman" w:cs="Times New Roman"/>
                <w:b/>
                <w:lang w:val="uk-UA"/>
              </w:rPr>
            </w:pPr>
            <w:r w:rsidRPr="00006FC4">
              <w:rPr>
                <w:rFonts w:ascii="Times New Roman" w:hAnsi="Times New Roman" w:cs="Times New Roman"/>
                <w:b/>
                <w:lang w:val="uk-UA"/>
              </w:rPr>
              <w:t>Стаття 404. Державні гарантії інвестицій у спеціальній (вільній) економічній зоні</w:t>
            </w:r>
          </w:p>
          <w:p w:rsidR="00006FC4" w:rsidRDefault="00006FC4" w:rsidP="00006FC4">
            <w:pPr>
              <w:rPr>
                <w:rFonts w:ascii="Times New Roman" w:hAnsi="Times New Roman" w:cs="Times New Roman"/>
                <w:b/>
                <w:lang w:val="uk-UA"/>
              </w:rPr>
            </w:pPr>
            <w:r w:rsidRPr="00006FC4">
              <w:rPr>
                <w:rFonts w:ascii="Times New Roman" w:hAnsi="Times New Roman" w:cs="Times New Roman"/>
                <w:b/>
                <w:lang w:val="uk-UA"/>
              </w:rPr>
              <w:t xml:space="preserve"> </w:t>
            </w:r>
          </w:p>
          <w:p w:rsidR="00006FC4" w:rsidRPr="00006FC4" w:rsidRDefault="00006FC4" w:rsidP="00006FC4">
            <w:pPr>
              <w:jc w:val="both"/>
              <w:rPr>
                <w:rFonts w:ascii="Times New Roman" w:hAnsi="Times New Roman" w:cs="Times New Roman"/>
                <w:lang w:val="uk-UA"/>
              </w:rPr>
            </w:pPr>
            <w:r w:rsidRPr="00006FC4">
              <w:rPr>
                <w:rFonts w:ascii="Times New Roman" w:hAnsi="Times New Roman" w:cs="Times New Roman"/>
                <w:lang w:val="uk-UA"/>
              </w:rPr>
              <w:t xml:space="preserve">1. На всіх суб'єктів господарювання, що здійснюють інвестиції у спеціальній (вільній) економічній зоні, поширюється </w:t>
            </w:r>
            <w:r w:rsidRPr="00006FC4">
              <w:rPr>
                <w:rFonts w:ascii="Times New Roman" w:hAnsi="Times New Roman" w:cs="Times New Roman"/>
                <w:lang w:val="uk-UA"/>
              </w:rPr>
              <w:lastRenderedPageBreak/>
              <w:t>система державних гарантій захисту інвестицій, передбачена законодавством про інвестиційну діяльність та про іноземні інвестиції. Держава гарантує суб'єктам господарювання спеціальної (вільної) економічної зони право на вивезення прибутків та інвестицій за межі даної зони і межі України відповідно до закону.</w:t>
            </w:r>
          </w:p>
        </w:tc>
        <w:tc>
          <w:tcPr>
            <w:tcW w:w="3962" w:type="dxa"/>
            <w:shd w:val="clear" w:color="auto" w:fill="auto"/>
          </w:tcPr>
          <w:p w:rsidR="00006FC4" w:rsidRDefault="00006FC4" w:rsidP="00006FC4">
            <w:pPr>
              <w:pStyle w:val="normal"/>
              <w:spacing w:before="120"/>
              <w:jc w:val="both"/>
              <w:rPr>
                <w:rFonts w:ascii="Times New Roman" w:hAnsi="Times New Roman" w:cs="Times New Roman"/>
                <w:lang w:val="uk-UA"/>
              </w:rPr>
            </w:pPr>
            <w:r>
              <w:rPr>
                <w:rFonts w:ascii="Times New Roman" w:hAnsi="Times New Roman" w:cs="Times New Roman"/>
                <w:lang w:val="uk-UA"/>
              </w:rPr>
              <w:lastRenderedPageBreak/>
              <w:t>Це</w:t>
            </w:r>
            <w:r w:rsidRPr="009628B1">
              <w:rPr>
                <w:rFonts w:ascii="Times New Roman" w:hAnsi="Times New Roman" w:cs="Times New Roman"/>
                <w:lang w:val="uk-UA"/>
              </w:rPr>
              <w:t xml:space="preserve"> положення дублює положення </w:t>
            </w:r>
            <w:r>
              <w:rPr>
                <w:rFonts w:ascii="Times New Roman" w:hAnsi="Times New Roman" w:cs="Times New Roman"/>
                <w:lang w:val="uk-UA"/>
              </w:rPr>
              <w:t>статті 13</w:t>
            </w:r>
            <w:r w:rsidRPr="00AC0DC4">
              <w:rPr>
                <w:rFonts w:ascii="Times New Roman" w:hAnsi="Times New Roman" w:cs="Times New Roman"/>
                <w:lang w:val="uk-UA"/>
              </w:rPr>
              <w:t xml:space="preserve"> </w:t>
            </w:r>
            <w:r w:rsidRPr="009628B1">
              <w:rPr>
                <w:rFonts w:ascii="Times New Roman" w:hAnsi="Times New Roman" w:cs="Times New Roman"/>
                <w:lang w:val="uk-UA"/>
              </w:rPr>
              <w:t xml:space="preserve">Закону України </w:t>
            </w:r>
            <w:r>
              <w:rPr>
                <w:rFonts w:ascii="Times New Roman" w:hAnsi="Times New Roman" w:cs="Times New Roman"/>
                <w:lang w:val="uk-UA"/>
              </w:rPr>
              <w:t>«</w:t>
            </w:r>
            <w:r w:rsidRPr="00BE1FF8">
              <w:rPr>
                <w:rFonts w:ascii="Times New Roman" w:hAnsi="Times New Roman" w:cs="Times New Roman"/>
                <w:lang w:val="uk-UA"/>
              </w:rPr>
              <w:t>Про загальні засади створення і функціонування спеціальних (вільних) економічних зон</w:t>
            </w:r>
            <w:r>
              <w:rPr>
                <w:rFonts w:ascii="Times New Roman" w:hAnsi="Times New Roman" w:cs="Times New Roman"/>
                <w:lang w:val="uk-UA"/>
              </w:rPr>
              <w:t>»</w:t>
            </w:r>
            <w:r w:rsidRPr="00BE1FF8">
              <w:rPr>
                <w:rFonts w:ascii="Times New Roman" w:hAnsi="Times New Roman" w:cs="Times New Roman"/>
                <w:lang w:val="uk-UA"/>
              </w:rPr>
              <w:t> </w:t>
            </w:r>
            <w:r w:rsidRPr="009628B1">
              <w:rPr>
                <w:rFonts w:ascii="Times New Roman" w:hAnsi="Times New Roman" w:cs="Times New Roman"/>
                <w:lang w:val="uk-UA"/>
              </w:rPr>
              <w:t xml:space="preserve">, </w:t>
            </w:r>
            <w:r>
              <w:rPr>
                <w:rFonts w:ascii="Times New Roman" w:hAnsi="Times New Roman" w:cs="Times New Roman"/>
                <w:lang w:val="uk-UA"/>
              </w:rPr>
              <w:t>відповідно до як</w:t>
            </w:r>
            <w:r w:rsidR="00123D2C">
              <w:rPr>
                <w:rFonts w:ascii="Times New Roman" w:hAnsi="Times New Roman" w:cs="Times New Roman"/>
                <w:lang w:val="uk-UA"/>
              </w:rPr>
              <w:t>ої</w:t>
            </w:r>
            <w:r>
              <w:rPr>
                <w:rFonts w:ascii="Times New Roman" w:hAnsi="Times New Roman" w:cs="Times New Roman"/>
                <w:lang w:val="uk-UA"/>
              </w:rPr>
              <w:t>:</w:t>
            </w:r>
          </w:p>
          <w:p w:rsidR="00006FC4" w:rsidRPr="009628B1" w:rsidRDefault="00006FC4" w:rsidP="00F365E8">
            <w:pPr>
              <w:pStyle w:val="a5"/>
              <w:jc w:val="both"/>
            </w:pPr>
            <w:r w:rsidRPr="009628B1">
              <w:lastRenderedPageBreak/>
              <w:t xml:space="preserve"> </w:t>
            </w:r>
            <w:r w:rsidRPr="00006FC4">
              <w:t>На всі об'єкти та суб'єкти економічної діяльності спеціальної (вільної) економічної зони поширюється система державних гарантій захисту інвестицій, передбачена законодавством України про інвестиційну діяльність та іноземні інвестиції. Держава гарантує суб'єктам господарської діяльності спеціальної (вільної) економічної зони право на вивезення прибутків і капіталу, інвестованого в спеціальну (вільну) економічну зону, за межі спеціальної (вільної) економічної зони і України.</w:t>
            </w:r>
          </w:p>
        </w:tc>
        <w:tc>
          <w:tcPr>
            <w:tcW w:w="2275" w:type="dxa"/>
            <w:shd w:val="clear" w:color="auto" w:fill="auto"/>
          </w:tcPr>
          <w:p w:rsidR="00006FC4" w:rsidRPr="009628B1" w:rsidRDefault="00006FC4" w:rsidP="00565623">
            <w:pPr>
              <w:pStyle w:val="normal"/>
              <w:spacing w:before="120"/>
              <w:jc w:val="both"/>
              <w:rPr>
                <w:rFonts w:ascii="Times New Roman" w:hAnsi="Times New Roman" w:cs="Times New Roman"/>
                <w:lang w:val="uk-UA"/>
              </w:rPr>
            </w:pPr>
            <w:r>
              <w:rPr>
                <w:rFonts w:ascii="Times New Roman" w:hAnsi="Times New Roman" w:cs="Times New Roman"/>
                <w:lang w:val="uk-UA"/>
              </w:rPr>
              <w:lastRenderedPageBreak/>
              <w:t>Відсутні посилання на судову практику</w:t>
            </w:r>
          </w:p>
        </w:tc>
        <w:tc>
          <w:tcPr>
            <w:tcW w:w="2127" w:type="dxa"/>
            <w:shd w:val="clear" w:color="auto" w:fill="auto"/>
          </w:tcPr>
          <w:p w:rsidR="00006FC4" w:rsidRPr="009628B1" w:rsidRDefault="00006FC4" w:rsidP="00565623">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006FC4" w:rsidRPr="009628B1" w:rsidRDefault="00006FC4" w:rsidP="00565623">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w:t>
            </w:r>
          </w:p>
          <w:p w:rsidR="00006FC4" w:rsidRPr="009628B1" w:rsidRDefault="00006FC4" w:rsidP="00565623">
            <w:pPr>
              <w:pStyle w:val="normal"/>
              <w:spacing w:before="120"/>
              <w:jc w:val="both"/>
              <w:rPr>
                <w:rFonts w:ascii="Times New Roman" w:hAnsi="Times New Roman" w:cs="Times New Roman"/>
                <w:lang w:val="uk-UA"/>
              </w:rPr>
            </w:pPr>
          </w:p>
        </w:tc>
        <w:tc>
          <w:tcPr>
            <w:tcW w:w="2834" w:type="dxa"/>
            <w:shd w:val="clear" w:color="auto" w:fill="auto"/>
          </w:tcPr>
          <w:p w:rsidR="00006FC4" w:rsidRPr="009628B1" w:rsidRDefault="00006FC4" w:rsidP="00565623">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006FC4" w:rsidRPr="009628B1" w:rsidRDefault="00006FC4" w:rsidP="00565623">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 з метою усунення дублювання норм.</w:t>
            </w:r>
          </w:p>
          <w:p w:rsidR="00006FC4" w:rsidRPr="009628B1" w:rsidRDefault="00006FC4" w:rsidP="00565623">
            <w:pPr>
              <w:pStyle w:val="normal"/>
              <w:spacing w:before="120"/>
              <w:jc w:val="both"/>
              <w:rPr>
                <w:rFonts w:ascii="Times New Roman" w:hAnsi="Times New Roman" w:cs="Times New Roman"/>
                <w:lang w:val="uk-UA"/>
              </w:rPr>
            </w:pPr>
          </w:p>
        </w:tc>
      </w:tr>
      <w:tr w:rsidR="00006FC4" w:rsidRPr="00245E67" w:rsidTr="00375BF8">
        <w:tc>
          <w:tcPr>
            <w:tcW w:w="568" w:type="dxa"/>
            <w:shd w:val="clear" w:color="auto" w:fill="auto"/>
          </w:tcPr>
          <w:p w:rsidR="00006FC4" w:rsidRPr="009628B1" w:rsidRDefault="00006FC4" w:rsidP="00565623">
            <w:pPr>
              <w:pStyle w:val="normal"/>
              <w:spacing w:before="120"/>
              <w:jc w:val="both"/>
              <w:rPr>
                <w:rFonts w:ascii="Times New Roman" w:hAnsi="Times New Roman" w:cs="Times New Roman"/>
                <w:lang w:val="uk-UA"/>
              </w:rPr>
            </w:pPr>
            <w:r>
              <w:rPr>
                <w:rFonts w:ascii="Times New Roman" w:hAnsi="Times New Roman" w:cs="Times New Roman"/>
                <w:lang w:val="uk-UA"/>
              </w:rPr>
              <w:lastRenderedPageBreak/>
              <w:t>5</w:t>
            </w:r>
          </w:p>
        </w:tc>
        <w:tc>
          <w:tcPr>
            <w:tcW w:w="3942" w:type="dxa"/>
            <w:shd w:val="clear" w:color="auto" w:fill="auto"/>
          </w:tcPr>
          <w:p w:rsidR="00006FC4" w:rsidRDefault="00006FC4" w:rsidP="00006FC4">
            <w:pPr>
              <w:rPr>
                <w:rFonts w:ascii="Times New Roman" w:hAnsi="Times New Roman" w:cs="Times New Roman"/>
                <w:b/>
                <w:lang w:val="uk-UA"/>
              </w:rPr>
            </w:pPr>
            <w:r w:rsidRPr="00006FC4">
              <w:rPr>
                <w:rFonts w:ascii="Times New Roman" w:hAnsi="Times New Roman" w:cs="Times New Roman"/>
                <w:b/>
                <w:lang w:val="uk-UA"/>
              </w:rPr>
              <w:t>Стаття 405. Законодавство, що діє на території спеціальної (вільної) економічної зони</w:t>
            </w:r>
          </w:p>
          <w:p w:rsidR="00006FC4" w:rsidRPr="00006FC4" w:rsidRDefault="00006FC4" w:rsidP="00006FC4">
            <w:pPr>
              <w:jc w:val="both"/>
              <w:rPr>
                <w:rFonts w:ascii="Times New Roman" w:hAnsi="Times New Roman" w:cs="Times New Roman"/>
                <w:lang w:val="uk-UA"/>
              </w:rPr>
            </w:pPr>
          </w:p>
          <w:p w:rsidR="00006FC4" w:rsidRPr="00006FC4" w:rsidRDefault="00006FC4" w:rsidP="00006FC4">
            <w:pPr>
              <w:jc w:val="both"/>
              <w:rPr>
                <w:rFonts w:ascii="Times New Roman" w:hAnsi="Times New Roman" w:cs="Times New Roman"/>
                <w:b/>
                <w:lang w:val="uk-UA"/>
              </w:rPr>
            </w:pPr>
            <w:r w:rsidRPr="00006FC4">
              <w:rPr>
                <w:rFonts w:ascii="Times New Roman" w:hAnsi="Times New Roman" w:cs="Times New Roman"/>
                <w:lang w:val="uk-UA"/>
              </w:rPr>
              <w:t>1. На території спеціальної (вільної) економічної зони діє законодавство України з урахуванням особливостей, передбачених цим Кодексом, законом про загальні засади створення і функціонування спеціальних (вільних) економічних зон, а також законом про створення конкретної спеціальної (вільної) економічної зони, прийнятим відповідно до цього Кодексу.</w:t>
            </w:r>
          </w:p>
        </w:tc>
        <w:tc>
          <w:tcPr>
            <w:tcW w:w="3962" w:type="dxa"/>
            <w:shd w:val="clear" w:color="auto" w:fill="auto"/>
          </w:tcPr>
          <w:p w:rsidR="00006FC4" w:rsidRPr="00006FC4" w:rsidRDefault="00006FC4" w:rsidP="00006FC4">
            <w:pPr>
              <w:pStyle w:val="normal"/>
              <w:spacing w:before="120"/>
              <w:jc w:val="both"/>
              <w:rPr>
                <w:rFonts w:ascii="Times New Roman" w:hAnsi="Times New Roman" w:cs="Times New Roman"/>
                <w:lang w:val="uk-UA"/>
              </w:rPr>
            </w:pPr>
            <w:r w:rsidRPr="00006FC4">
              <w:rPr>
                <w:rFonts w:ascii="Times New Roman" w:hAnsi="Times New Roman" w:cs="Times New Roman"/>
                <w:lang w:val="uk-UA"/>
              </w:rPr>
              <w:t xml:space="preserve">Це положення </w:t>
            </w:r>
            <w:r w:rsidR="00B25F69">
              <w:rPr>
                <w:rFonts w:ascii="Times New Roman" w:hAnsi="Times New Roman" w:cs="Times New Roman"/>
                <w:lang w:val="uk-UA"/>
              </w:rPr>
              <w:t xml:space="preserve">фактично </w:t>
            </w:r>
            <w:r w:rsidRPr="00006FC4">
              <w:rPr>
                <w:rFonts w:ascii="Times New Roman" w:hAnsi="Times New Roman" w:cs="Times New Roman"/>
                <w:lang w:val="uk-UA"/>
              </w:rPr>
              <w:t xml:space="preserve">дублює положення статті </w:t>
            </w:r>
            <w:r w:rsidR="00B25F69">
              <w:rPr>
                <w:rFonts w:ascii="Times New Roman" w:hAnsi="Times New Roman" w:cs="Times New Roman"/>
                <w:lang w:val="uk-UA"/>
              </w:rPr>
              <w:t>4</w:t>
            </w:r>
            <w:r w:rsidRPr="00006FC4">
              <w:rPr>
                <w:rFonts w:ascii="Times New Roman" w:hAnsi="Times New Roman" w:cs="Times New Roman"/>
                <w:lang w:val="uk-UA"/>
              </w:rPr>
              <w:t xml:space="preserve"> Закону України «Про загальні засади створення і функціонування спеціальних (вільних) економічних зон», відповідно до як</w:t>
            </w:r>
            <w:r w:rsidR="00123D2C">
              <w:rPr>
                <w:rFonts w:ascii="Times New Roman" w:hAnsi="Times New Roman" w:cs="Times New Roman"/>
                <w:lang w:val="uk-UA"/>
              </w:rPr>
              <w:t>ої</w:t>
            </w:r>
            <w:r w:rsidRPr="00006FC4">
              <w:rPr>
                <w:rFonts w:ascii="Times New Roman" w:hAnsi="Times New Roman" w:cs="Times New Roman"/>
                <w:lang w:val="uk-UA"/>
              </w:rPr>
              <w:t>:</w:t>
            </w:r>
          </w:p>
          <w:p w:rsidR="00006FC4" w:rsidRDefault="00006FC4" w:rsidP="00006FC4">
            <w:pPr>
              <w:pStyle w:val="normal"/>
              <w:spacing w:before="120"/>
              <w:jc w:val="both"/>
              <w:rPr>
                <w:rFonts w:ascii="Times New Roman" w:hAnsi="Times New Roman" w:cs="Times New Roman"/>
                <w:lang w:val="uk-UA"/>
              </w:rPr>
            </w:pPr>
            <w:r w:rsidRPr="00006FC4">
              <w:rPr>
                <w:rFonts w:ascii="Times New Roman" w:hAnsi="Times New Roman" w:cs="Times New Roman"/>
                <w:lang w:val="uk-UA"/>
              </w:rPr>
              <w:t xml:space="preserve"> </w:t>
            </w:r>
            <w:r w:rsidR="00B25F69" w:rsidRPr="00B25F69">
              <w:rPr>
                <w:rFonts w:ascii="Times New Roman" w:hAnsi="Times New Roman" w:cs="Times New Roman"/>
                <w:lang w:val="uk-UA"/>
              </w:rPr>
              <w:t>На території спеціальної (вільної) економічної зони діє законодавство України з урахуванням особливостей, передбачених цим Законом або законом про створення конкретної спеціальної (вільної) економічної зони. Закон про створення конкретної спеціальної (вільної) економічної зони не може суперечити цьому Закону.</w:t>
            </w:r>
          </w:p>
          <w:p w:rsidR="00B25F69" w:rsidRPr="00006FC4" w:rsidRDefault="00B25F69" w:rsidP="00006FC4">
            <w:pPr>
              <w:pStyle w:val="normal"/>
              <w:spacing w:before="120"/>
              <w:jc w:val="both"/>
              <w:rPr>
                <w:rFonts w:ascii="Times New Roman" w:hAnsi="Times New Roman" w:cs="Times New Roman"/>
                <w:lang w:val="uk-UA"/>
              </w:rPr>
            </w:pPr>
          </w:p>
        </w:tc>
        <w:tc>
          <w:tcPr>
            <w:tcW w:w="2275" w:type="dxa"/>
            <w:shd w:val="clear" w:color="auto" w:fill="auto"/>
          </w:tcPr>
          <w:p w:rsidR="00006FC4" w:rsidRPr="009628B1" w:rsidRDefault="00006FC4" w:rsidP="00565623">
            <w:pPr>
              <w:pStyle w:val="normal"/>
              <w:spacing w:before="120"/>
              <w:jc w:val="both"/>
              <w:rPr>
                <w:rFonts w:ascii="Times New Roman" w:hAnsi="Times New Roman" w:cs="Times New Roman"/>
                <w:lang w:val="uk-UA"/>
              </w:rPr>
            </w:pPr>
            <w:r>
              <w:rPr>
                <w:rFonts w:ascii="Times New Roman" w:hAnsi="Times New Roman" w:cs="Times New Roman"/>
                <w:lang w:val="uk-UA"/>
              </w:rPr>
              <w:lastRenderedPageBreak/>
              <w:t>Відсутні посилання на судову практику</w:t>
            </w:r>
          </w:p>
        </w:tc>
        <w:tc>
          <w:tcPr>
            <w:tcW w:w="2127" w:type="dxa"/>
            <w:shd w:val="clear" w:color="auto" w:fill="auto"/>
          </w:tcPr>
          <w:p w:rsidR="00006FC4" w:rsidRPr="009628B1" w:rsidRDefault="00006FC4" w:rsidP="00565623">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006FC4" w:rsidRPr="009628B1" w:rsidRDefault="00006FC4" w:rsidP="00565623">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w:t>
            </w:r>
          </w:p>
          <w:p w:rsidR="00006FC4" w:rsidRPr="009628B1" w:rsidRDefault="00006FC4" w:rsidP="00565623">
            <w:pPr>
              <w:pStyle w:val="normal"/>
              <w:spacing w:before="120"/>
              <w:jc w:val="both"/>
              <w:rPr>
                <w:rFonts w:ascii="Times New Roman" w:hAnsi="Times New Roman" w:cs="Times New Roman"/>
                <w:lang w:val="uk-UA"/>
              </w:rPr>
            </w:pPr>
          </w:p>
        </w:tc>
        <w:tc>
          <w:tcPr>
            <w:tcW w:w="2834" w:type="dxa"/>
            <w:shd w:val="clear" w:color="auto" w:fill="auto"/>
          </w:tcPr>
          <w:p w:rsidR="00006FC4" w:rsidRPr="009628B1" w:rsidRDefault="00006FC4" w:rsidP="00565623">
            <w:pPr>
              <w:pStyle w:val="normal"/>
              <w:spacing w:before="120"/>
              <w:jc w:val="both"/>
              <w:rPr>
                <w:rFonts w:ascii="Times New Roman" w:hAnsi="Times New Roman" w:cs="Times New Roman"/>
                <w:lang w:val="uk-UA"/>
              </w:rPr>
            </w:pPr>
            <w:r w:rsidRPr="009628B1">
              <w:rPr>
                <w:rFonts w:ascii="Times New Roman" w:hAnsi="Times New Roman" w:cs="Times New Roman"/>
                <w:lang w:val="uk-UA"/>
              </w:rPr>
              <w:t>ПОЗИЦІЯ 1:</w:t>
            </w:r>
          </w:p>
          <w:p w:rsidR="00006FC4" w:rsidRPr="009628B1" w:rsidRDefault="00006FC4" w:rsidP="00565623">
            <w:pPr>
              <w:pStyle w:val="normal"/>
              <w:spacing w:before="120"/>
              <w:jc w:val="both"/>
              <w:rPr>
                <w:rFonts w:ascii="Times New Roman" w:hAnsi="Times New Roman" w:cs="Times New Roman"/>
                <w:lang w:val="uk-UA"/>
              </w:rPr>
            </w:pPr>
            <w:r w:rsidRPr="009628B1">
              <w:rPr>
                <w:rFonts w:ascii="Times New Roman" w:hAnsi="Times New Roman" w:cs="Times New Roman"/>
                <w:lang w:val="uk-UA"/>
              </w:rPr>
              <w:t>Вилучити з метою усунення дублювання норм.</w:t>
            </w:r>
          </w:p>
          <w:p w:rsidR="00006FC4" w:rsidRPr="009628B1" w:rsidRDefault="00006FC4" w:rsidP="00565623">
            <w:pPr>
              <w:pStyle w:val="normal"/>
              <w:spacing w:before="120"/>
              <w:jc w:val="both"/>
              <w:rPr>
                <w:rFonts w:ascii="Times New Roman" w:hAnsi="Times New Roman" w:cs="Times New Roman"/>
                <w:lang w:val="uk-UA"/>
              </w:rPr>
            </w:pPr>
          </w:p>
        </w:tc>
      </w:tr>
    </w:tbl>
    <w:p w:rsidR="00AC0DC4" w:rsidRPr="009628B1" w:rsidRDefault="00AC0DC4" w:rsidP="00AC0DC4">
      <w:pPr>
        <w:pStyle w:val="normal"/>
        <w:spacing w:before="120"/>
        <w:jc w:val="both"/>
        <w:rPr>
          <w:rFonts w:ascii="Times New Roman" w:hAnsi="Times New Roman" w:cs="Times New Roman"/>
          <w:lang w:val="uk-UA"/>
        </w:rPr>
      </w:pPr>
    </w:p>
    <w:p w:rsidR="00510C93" w:rsidRPr="00AC0DC4" w:rsidRDefault="00510C93">
      <w:pPr>
        <w:rPr>
          <w:lang w:val="uk-UA"/>
        </w:rPr>
      </w:pPr>
    </w:p>
    <w:sectPr w:rsidR="00510C93" w:rsidRPr="00AC0DC4" w:rsidSect="00565623">
      <w:headerReference w:type="default" r:id="rId7"/>
      <w:pgSz w:w="16840" w:h="11900"/>
      <w:pgMar w:top="567" w:right="1134" w:bottom="850" w:left="1134"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7F8" w:rsidRDefault="009C37F8" w:rsidP="00402D92">
      <w:r>
        <w:separator/>
      </w:r>
    </w:p>
  </w:endnote>
  <w:endnote w:type="continuationSeparator" w:id="0">
    <w:p w:rsidR="009C37F8" w:rsidRDefault="009C37F8" w:rsidP="00402D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7F8" w:rsidRDefault="009C37F8" w:rsidP="00402D92">
      <w:r>
        <w:separator/>
      </w:r>
    </w:p>
  </w:footnote>
  <w:footnote w:type="continuationSeparator" w:id="0">
    <w:p w:rsidR="009C37F8" w:rsidRDefault="009C37F8" w:rsidP="00402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5577"/>
      <w:docPartObj>
        <w:docPartGallery w:val="Page Numbers (Top of Page)"/>
        <w:docPartUnique/>
      </w:docPartObj>
    </w:sdtPr>
    <w:sdtContent>
      <w:p w:rsidR="009C37F8" w:rsidRDefault="009C37F8">
        <w:pPr>
          <w:pStyle w:val="a3"/>
          <w:jc w:val="center"/>
        </w:pPr>
        <w:fldSimple w:instr=" PAGE   \* MERGEFORMAT ">
          <w:r w:rsidR="00123D2C">
            <w:rPr>
              <w:noProof/>
            </w:rPr>
            <w:t>4</w:t>
          </w:r>
        </w:fldSimple>
      </w:p>
    </w:sdtContent>
  </w:sdt>
  <w:p w:rsidR="009C37F8" w:rsidRDefault="009C37F8" w:rsidP="00565623">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footnotePr>
    <w:footnote w:id="-1"/>
    <w:footnote w:id="0"/>
  </w:footnotePr>
  <w:endnotePr>
    <w:endnote w:id="-1"/>
    <w:endnote w:id="0"/>
  </w:endnotePr>
  <w:compat/>
  <w:rsids>
    <w:rsidRoot w:val="00AC0DC4"/>
    <w:rsid w:val="00002444"/>
    <w:rsid w:val="00006FC4"/>
    <w:rsid w:val="00016AB4"/>
    <w:rsid w:val="000179EB"/>
    <w:rsid w:val="00033C29"/>
    <w:rsid w:val="000531C0"/>
    <w:rsid w:val="00060AF3"/>
    <w:rsid w:val="000A6117"/>
    <w:rsid w:val="000C2AF3"/>
    <w:rsid w:val="000D3669"/>
    <w:rsid w:val="000D433E"/>
    <w:rsid w:val="000F6E2B"/>
    <w:rsid w:val="00100963"/>
    <w:rsid w:val="0010180B"/>
    <w:rsid w:val="001132EA"/>
    <w:rsid w:val="00113CAC"/>
    <w:rsid w:val="001176CB"/>
    <w:rsid w:val="00123D2C"/>
    <w:rsid w:val="00133DB7"/>
    <w:rsid w:val="00137EC5"/>
    <w:rsid w:val="00154B34"/>
    <w:rsid w:val="0018694B"/>
    <w:rsid w:val="001A212D"/>
    <w:rsid w:val="001C2664"/>
    <w:rsid w:val="00200051"/>
    <w:rsid w:val="00206668"/>
    <w:rsid w:val="00206B86"/>
    <w:rsid w:val="0022649D"/>
    <w:rsid w:val="002266B5"/>
    <w:rsid w:val="00234B19"/>
    <w:rsid w:val="00245E67"/>
    <w:rsid w:val="00251E6C"/>
    <w:rsid w:val="00272BAE"/>
    <w:rsid w:val="00276986"/>
    <w:rsid w:val="00286388"/>
    <w:rsid w:val="00286B1B"/>
    <w:rsid w:val="00291B0A"/>
    <w:rsid w:val="00332564"/>
    <w:rsid w:val="003555F7"/>
    <w:rsid w:val="00357428"/>
    <w:rsid w:val="00366244"/>
    <w:rsid w:val="00375BF8"/>
    <w:rsid w:val="00383BD0"/>
    <w:rsid w:val="003959F6"/>
    <w:rsid w:val="003A3B8D"/>
    <w:rsid w:val="003B4671"/>
    <w:rsid w:val="003B5D0A"/>
    <w:rsid w:val="003C4EE9"/>
    <w:rsid w:val="003D5DB4"/>
    <w:rsid w:val="003F2500"/>
    <w:rsid w:val="003F5311"/>
    <w:rsid w:val="00402D92"/>
    <w:rsid w:val="004251A7"/>
    <w:rsid w:val="004425A9"/>
    <w:rsid w:val="00456420"/>
    <w:rsid w:val="0046362F"/>
    <w:rsid w:val="00484F37"/>
    <w:rsid w:val="00494DED"/>
    <w:rsid w:val="004C7205"/>
    <w:rsid w:val="004F118F"/>
    <w:rsid w:val="00510C93"/>
    <w:rsid w:val="005300F5"/>
    <w:rsid w:val="0055380D"/>
    <w:rsid w:val="0056063C"/>
    <w:rsid w:val="00565623"/>
    <w:rsid w:val="00575366"/>
    <w:rsid w:val="0059436B"/>
    <w:rsid w:val="005B17EF"/>
    <w:rsid w:val="00627BE4"/>
    <w:rsid w:val="006335B6"/>
    <w:rsid w:val="00663258"/>
    <w:rsid w:val="00671EB3"/>
    <w:rsid w:val="00687E09"/>
    <w:rsid w:val="00690AB9"/>
    <w:rsid w:val="006B12FD"/>
    <w:rsid w:val="006D286D"/>
    <w:rsid w:val="006D28A6"/>
    <w:rsid w:val="006E2B95"/>
    <w:rsid w:val="006F216B"/>
    <w:rsid w:val="007304B0"/>
    <w:rsid w:val="007338BA"/>
    <w:rsid w:val="00756437"/>
    <w:rsid w:val="00770977"/>
    <w:rsid w:val="007759A1"/>
    <w:rsid w:val="00776A1F"/>
    <w:rsid w:val="00783147"/>
    <w:rsid w:val="007A6C3B"/>
    <w:rsid w:val="007B65BB"/>
    <w:rsid w:val="007D3467"/>
    <w:rsid w:val="007E788B"/>
    <w:rsid w:val="007F61AA"/>
    <w:rsid w:val="00820103"/>
    <w:rsid w:val="00821489"/>
    <w:rsid w:val="0084705C"/>
    <w:rsid w:val="00866F86"/>
    <w:rsid w:val="008A673F"/>
    <w:rsid w:val="008C7A4C"/>
    <w:rsid w:val="008E0E73"/>
    <w:rsid w:val="008E2083"/>
    <w:rsid w:val="008E6145"/>
    <w:rsid w:val="008F0C90"/>
    <w:rsid w:val="00920686"/>
    <w:rsid w:val="0092482B"/>
    <w:rsid w:val="00931600"/>
    <w:rsid w:val="00941017"/>
    <w:rsid w:val="00945C35"/>
    <w:rsid w:val="009528CE"/>
    <w:rsid w:val="009542FC"/>
    <w:rsid w:val="009560EC"/>
    <w:rsid w:val="0095732A"/>
    <w:rsid w:val="009B2907"/>
    <w:rsid w:val="009C37F8"/>
    <w:rsid w:val="009C4198"/>
    <w:rsid w:val="009C536B"/>
    <w:rsid w:val="009C5FEB"/>
    <w:rsid w:val="009E0519"/>
    <w:rsid w:val="009E1104"/>
    <w:rsid w:val="00A0408C"/>
    <w:rsid w:val="00A21FA6"/>
    <w:rsid w:val="00A24104"/>
    <w:rsid w:val="00A416F9"/>
    <w:rsid w:val="00A65D29"/>
    <w:rsid w:val="00A7569A"/>
    <w:rsid w:val="00A76BFE"/>
    <w:rsid w:val="00AB4F93"/>
    <w:rsid w:val="00AC0DC4"/>
    <w:rsid w:val="00AC377A"/>
    <w:rsid w:val="00AC7FAA"/>
    <w:rsid w:val="00AD589A"/>
    <w:rsid w:val="00B00E9E"/>
    <w:rsid w:val="00B069AB"/>
    <w:rsid w:val="00B10A9C"/>
    <w:rsid w:val="00B136E3"/>
    <w:rsid w:val="00B25F3E"/>
    <w:rsid w:val="00B25F69"/>
    <w:rsid w:val="00B315A3"/>
    <w:rsid w:val="00B35F9C"/>
    <w:rsid w:val="00B415CB"/>
    <w:rsid w:val="00B433A8"/>
    <w:rsid w:val="00B4754E"/>
    <w:rsid w:val="00B51DAF"/>
    <w:rsid w:val="00B77E01"/>
    <w:rsid w:val="00B90F48"/>
    <w:rsid w:val="00B92D66"/>
    <w:rsid w:val="00B9707F"/>
    <w:rsid w:val="00BB1D8F"/>
    <w:rsid w:val="00BB2381"/>
    <w:rsid w:val="00BC570A"/>
    <w:rsid w:val="00BD4E27"/>
    <w:rsid w:val="00BE1FF8"/>
    <w:rsid w:val="00C44069"/>
    <w:rsid w:val="00C44074"/>
    <w:rsid w:val="00C545EB"/>
    <w:rsid w:val="00C733DB"/>
    <w:rsid w:val="00C91609"/>
    <w:rsid w:val="00C91C97"/>
    <w:rsid w:val="00C93571"/>
    <w:rsid w:val="00CB364C"/>
    <w:rsid w:val="00CB5A52"/>
    <w:rsid w:val="00CC077D"/>
    <w:rsid w:val="00CE5AB8"/>
    <w:rsid w:val="00CF5316"/>
    <w:rsid w:val="00D00282"/>
    <w:rsid w:val="00D06B6F"/>
    <w:rsid w:val="00D312E2"/>
    <w:rsid w:val="00D331ED"/>
    <w:rsid w:val="00D441B7"/>
    <w:rsid w:val="00D5049C"/>
    <w:rsid w:val="00D55689"/>
    <w:rsid w:val="00D5582A"/>
    <w:rsid w:val="00D77664"/>
    <w:rsid w:val="00D8625D"/>
    <w:rsid w:val="00DA7AA7"/>
    <w:rsid w:val="00DB0941"/>
    <w:rsid w:val="00E152F7"/>
    <w:rsid w:val="00E15531"/>
    <w:rsid w:val="00E1589A"/>
    <w:rsid w:val="00E41433"/>
    <w:rsid w:val="00E51FC3"/>
    <w:rsid w:val="00E65B2A"/>
    <w:rsid w:val="00EA1024"/>
    <w:rsid w:val="00EB1F95"/>
    <w:rsid w:val="00EB4EAC"/>
    <w:rsid w:val="00ED281A"/>
    <w:rsid w:val="00EF6FA8"/>
    <w:rsid w:val="00F05267"/>
    <w:rsid w:val="00F21A6B"/>
    <w:rsid w:val="00F27D2D"/>
    <w:rsid w:val="00F3254F"/>
    <w:rsid w:val="00F365E8"/>
    <w:rsid w:val="00F426E7"/>
    <w:rsid w:val="00F54F21"/>
    <w:rsid w:val="00F57653"/>
    <w:rsid w:val="00F62018"/>
    <w:rsid w:val="00F648EA"/>
    <w:rsid w:val="00F9252A"/>
    <w:rsid w:val="00FA5060"/>
    <w:rsid w:val="00FE7B49"/>
    <w:rsid w:val="00FF21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C4"/>
    <w:pPr>
      <w:spacing w:after="0" w:line="240" w:lineRule="auto"/>
    </w:pPr>
    <w:rPr>
      <w:rFonts w:ascii="Cambria" w:eastAsia="Cambria" w:hAnsi="Cambria" w:cs="Cambria"/>
      <w:color w:val="00000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C0DC4"/>
    <w:pPr>
      <w:spacing w:after="0" w:line="240" w:lineRule="auto"/>
    </w:pPr>
    <w:rPr>
      <w:rFonts w:ascii="Cambria" w:eastAsia="Cambria" w:hAnsi="Cambria" w:cs="Cambria"/>
      <w:color w:val="000000"/>
      <w:sz w:val="24"/>
      <w:szCs w:val="24"/>
      <w:lang w:val="en-US" w:eastAsia="ru-RU"/>
    </w:rPr>
  </w:style>
  <w:style w:type="paragraph" w:styleId="a3">
    <w:name w:val="header"/>
    <w:basedOn w:val="a"/>
    <w:link w:val="a4"/>
    <w:uiPriority w:val="99"/>
    <w:unhideWhenUsed/>
    <w:rsid w:val="00AC0DC4"/>
    <w:pPr>
      <w:tabs>
        <w:tab w:val="center" w:pos="4677"/>
        <w:tab w:val="right" w:pos="9355"/>
      </w:tabs>
    </w:pPr>
  </w:style>
  <w:style w:type="character" w:customStyle="1" w:styleId="a4">
    <w:name w:val="Верхній колонтитул Знак"/>
    <w:basedOn w:val="a0"/>
    <w:link w:val="a3"/>
    <w:uiPriority w:val="99"/>
    <w:rsid w:val="00AC0DC4"/>
    <w:rPr>
      <w:rFonts w:ascii="Cambria" w:eastAsia="Cambria" w:hAnsi="Cambria" w:cs="Cambria"/>
      <w:color w:val="000000"/>
      <w:sz w:val="24"/>
      <w:szCs w:val="24"/>
      <w:lang w:val="en-US" w:eastAsia="ru-RU"/>
    </w:rPr>
  </w:style>
  <w:style w:type="paragraph" w:styleId="a5">
    <w:name w:val="Normal (Web)"/>
    <w:basedOn w:val="a"/>
    <w:uiPriority w:val="99"/>
    <w:unhideWhenUsed/>
    <w:rsid w:val="00AC0DC4"/>
    <w:pPr>
      <w:spacing w:before="100" w:beforeAutospacing="1" w:after="100" w:afterAutospacing="1"/>
    </w:pPr>
    <w:rPr>
      <w:rFonts w:ascii="Times New Roman" w:eastAsia="Times New Roman" w:hAnsi="Times New Roman" w:cs="Times New Roman"/>
      <w:color w:val="auto"/>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9A2DC-B837-43E1-BA2B-2BA6B36E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4478</Words>
  <Characters>2553</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Ригун (RMJ-HP319V2 - n.rigun)</dc:creator>
  <cp:lastModifiedBy>Ганна Мандра (RMJ-FUJITSU37 - g.mandra)</cp:lastModifiedBy>
  <cp:revision>11</cp:revision>
  <dcterms:created xsi:type="dcterms:W3CDTF">2016-03-24T13:55:00Z</dcterms:created>
  <dcterms:modified xsi:type="dcterms:W3CDTF">2016-03-25T08:36:00Z</dcterms:modified>
</cp:coreProperties>
</file>