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01" w:rsidRPr="00B1361B" w:rsidRDefault="00820492" w:rsidP="00820492">
      <w:pPr>
        <w:pStyle w:val="normal"/>
        <w:spacing w:before="120"/>
        <w:jc w:val="center"/>
        <w:rPr>
          <w:rFonts w:ascii="Times New Roman" w:hAnsi="Times New Roman" w:cs="Times New Roman"/>
          <w:b/>
          <w:color w:val="auto"/>
          <w:lang w:val="uk-UA"/>
        </w:rPr>
      </w:pPr>
      <w:r w:rsidRPr="00B1361B">
        <w:rPr>
          <w:rFonts w:ascii="Times New Roman" w:hAnsi="Times New Roman" w:cs="Times New Roman"/>
          <w:b/>
          <w:color w:val="auto"/>
          <w:lang w:val="uk-UA"/>
        </w:rPr>
        <w:t xml:space="preserve">Аналіз </w:t>
      </w:r>
      <w:r w:rsidR="000B4033" w:rsidRPr="00B1361B">
        <w:rPr>
          <w:rFonts w:ascii="Times New Roman" w:hAnsi="Times New Roman" w:cs="Times New Roman"/>
          <w:b/>
          <w:color w:val="auto"/>
          <w:lang w:val="uk-UA"/>
        </w:rPr>
        <w:t>статей</w:t>
      </w:r>
      <w:r w:rsidRPr="00B1361B">
        <w:rPr>
          <w:rFonts w:ascii="Times New Roman" w:hAnsi="Times New Roman" w:cs="Times New Roman"/>
          <w:b/>
          <w:color w:val="auto"/>
          <w:lang w:val="uk-UA"/>
        </w:rPr>
        <w:t xml:space="preserve"> глави </w:t>
      </w:r>
      <w:r w:rsidR="00DC5072" w:rsidRPr="00B1361B">
        <w:rPr>
          <w:rFonts w:ascii="Times New Roman" w:hAnsi="Times New Roman" w:cs="Times New Roman"/>
          <w:b/>
          <w:color w:val="auto"/>
          <w:lang w:val="uk-UA"/>
        </w:rPr>
        <w:t>19</w:t>
      </w:r>
      <w:r w:rsidRPr="00B1361B">
        <w:rPr>
          <w:rFonts w:ascii="Times New Roman" w:hAnsi="Times New Roman" w:cs="Times New Roman"/>
          <w:b/>
          <w:color w:val="auto"/>
          <w:lang w:val="uk-UA"/>
        </w:rPr>
        <w:t xml:space="preserve"> Господарського Кодексу України</w:t>
      </w:r>
    </w:p>
    <w:p w:rsidR="00820492" w:rsidRPr="00B1361B" w:rsidRDefault="00820492">
      <w:pPr>
        <w:pStyle w:val="normal"/>
        <w:spacing w:before="120"/>
        <w:rPr>
          <w:rFonts w:ascii="Times New Roman" w:hAnsi="Times New Roman" w:cs="Times New Roman"/>
          <w:color w:val="auto"/>
          <w:lang w:val="uk-UA"/>
        </w:rPr>
      </w:pPr>
    </w:p>
    <w:tbl>
      <w:tblPr>
        <w:tblStyle w:val="a5"/>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942"/>
        <w:gridCol w:w="3969"/>
        <w:gridCol w:w="2268"/>
        <w:gridCol w:w="2127"/>
        <w:gridCol w:w="2834"/>
      </w:tblGrid>
      <w:tr w:rsidR="00811A01" w:rsidRPr="00B1361B" w:rsidTr="002348E5">
        <w:tc>
          <w:tcPr>
            <w:tcW w:w="15708" w:type="dxa"/>
            <w:gridSpan w:val="6"/>
            <w:shd w:val="clear" w:color="auto" w:fill="B6D7A8"/>
          </w:tcPr>
          <w:p w:rsidR="00811A01" w:rsidRPr="00B1361B" w:rsidRDefault="008C43EB">
            <w:pPr>
              <w:pStyle w:val="normal"/>
              <w:spacing w:before="120"/>
              <w:jc w:val="center"/>
              <w:rPr>
                <w:color w:val="auto"/>
                <w:lang w:val="uk-UA"/>
              </w:rPr>
            </w:pPr>
            <w:r w:rsidRPr="00B1361B">
              <w:rPr>
                <w:b/>
                <w:color w:val="auto"/>
                <w:lang w:val="uk-UA"/>
              </w:rPr>
              <w:t>Господарський кодекс України</w:t>
            </w:r>
          </w:p>
          <w:p w:rsidR="00811A01" w:rsidRPr="00B1361B" w:rsidRDefault="000B4033">
            <w:pPr>
              <w:pStyle w:val="normal"/>
              <w:spacing w:before="120"/>
              <w:jc w:val="center"/>
              <w:rPr>
                <w:color w:val="auto"/>
                <w:lang w:val="uk-UA"/>
              </w:rPr>
            </w:pPr>
            <w:bookmarkStart w:id="0" w:name="h.gjdgxs" w:colFirst="0" w:colLast="0"/>
            <w:bookmarkEnd w:id="0"/>
            <w:r w:rsidRPr="00B1361B">
              <w:rPr>
                <w:b/>
                <w:color w:val="auto"/>
                <w:lang w:val="uk-UA"/>
              </w:rPr>
              <w:t>Глава </w:t>
            </w:r>
            <w:r w:rsidR="00DC5072" w:rsidRPr="00B1361B">
              <w:rPr>
                <w:b/>
                <w:color w:val="auto"/>
                <w:lang w:val="uk-UA"/>
              </w:rPr>
              <w:t>19</w:t>
            </w:r>
            <w:r w:rsidRPr="00B1361B">
              <w:rPr>
                <w:b/>
                <w:color w:val="auto"/>
                <w:lang w:val="uk-UA"/>
              </w:rPr>
              <w:t>. </w:t>
            </w:r>
            <w:r w:rsidR="00DC5072" w:rsidRPr="00B1361B">
              <w:rPr>
                <w:b/>
                <w:color w:val="auto"/>
                <w:lang w:val="uk-UA"/>
              </w:rPr>
              <w:t>ЗАГАЛЬНІ ПОЛОЖЕННЯ ПРО ГОСПОДАРСЬКІ ЗОБОВ'ЯЗАННЯ</w:t>
            </w:r>
          </w:p>
          <w:p w:rsidR="00811A01" w:rsidRPr="00B1361B" w:rsidRDefault="00811A01">
            <w:pPr>
              <w:pStyle w:val="normal"/>
              <w:spacing w:before="120"/>
              <w:rPr>
                <w:color w:val="auto"/>
                <w:lang w:val="uk-UA"/>
              </w:rPr>
            </w:pPr>
          </w:p>
        </w:tc>
      </w:tr>
      <w:tr w:rsidR="00811A01" w:rsidRPr="00B1361B" w:rsidTr="00732776">
        <w:tc>
          <w:tcPr>
            <w:tcW w:w="568" w:type="dxa"/>
            <w:tcBorders>
              <w:bottom w:val="single" w:sz="4" w:space="0" w:color="000000"/>
            </w:tcBorders>
            <w:shd w:val="clear" w:color="auto" w:fill="C9DAF8"/>
          </w:tcPr>
          <w:p w:rsidR="00811A01" w:rsidRPr="00B1361B" w:rsidRDefault="008C43EB">
            <w:pPr>
              <w:pStyle w:val="normal"/>
              <w:spacing w:before="120"/>
              <w:jc w:val="center"/>
              <w:rPr>
                <w:color w:val="auto"/>
                <w:lang w:val="uk-UA"/>
              </w:rPr>
            </w:pPr>
            <w:r w:rsidRPr="00B1361B">
              <w:rPr>
                <w:b/>
                <w:color w:val="auto"/>
                <w:lang w:val="uk-UA"/>
              </w:rPr>
              <w:t>№</w:t>
            </w:r>
          </w:p>
        </w:tc>
        <w:tc>
          <w:tcPr>
            <w:tcW w:w="3942" w:type="dxa"/>
            <w:tcBorders>
              <w:bottom w:val="single" w:sz="4" w:space="0" w:color="000000"/>
            </w:tcBorders>
            <w:shd w:val="clear" w:color="auto" w:fill="C9DAF8"/>
          </w:tcPr>
          <w:p w:rsidR="00811A01" w:rsidRPr="00B1361B" w:rsidRDefault="008C43EB">
            <w:pPr>
              <w:pStyle w:val="normal"/>
              <w:spacing w:before="120"/>
              <w:jc w:val="center"/>
              <w:rPr>
                <w:color w:val="auto"/>
                <w:lang w:val="uk-UA"/>
              </w:rPr>
            </w:pPr>
            <w:r w:rsidRPr="00B1361B">
              <w:rPr>
                <w:b/>
                <w:color w:val="auto"/>
                <w:lang w:val="uk-UA"/>
              </w:rPr>
              <w:t>Норма діючого ГКУ</w:t>
            </w:r>
          </w:p>
        </w:tc>
        <w:tc>
          <w:tcPr>
            <w:tcW w:w="3969" w:type="dxa"/>
            <w:tcBorders>
              <w:bottom w:val="single" w:sz="4" w:space="0" w:color="000000"/>
            </w:tcBorders>
            <w:shd w:val="clear" w:color="auto" w:fill="C9DAF8"/>
          </w:tcPr>
          <w:p w:rsidR="00811A01" w:rsidRPr="00B1361B" w:rsidRDefault="008C43EB">
            <w:pPr>
              <w:pStyle w:val="normal"/>
              <w:spacing w:before="120"/>
              <w:jc w:val="center"/>
              <w:rPr>
                <w:color w:val="auto"/>
                <w:lang w:val="uk-UA"/>
              </w:rPr>
            </w:pPr>
            <w:r w:rsidRPr="00B1361B">
              <w:rPr>
                <w:b/>
                <w:color w:val="auto"/>
                <w:lang w:val="uk-UA"/>
              </w:rPr>
              <w:t>Чи дублює норма положення інших НПА/відсилає до них</w:t>
            </w:r>
          </w:p>
        </w:tc>
        <w:tc>
          <w:tcPr>
            <w:tcW w:w="2268" w:type="dxa"/>
            <w:tcBorders>
              <w:bottom w:val="single" w:sz="4" w:space="0" w:color="000000"/>
            </w:tcBorders>
            <w:shd w:val="clear" w:color="auto" w:fill="C9DAF8"/>
          </w:tcPr>
          <w:p w:rsidR="00811A01" w:rsidRPr="00B1361B" w:rsidRDefault="008C43EB">
            <w:pPr>
              <w:pStyle w:val="normal"/>
              <w:spacing w:before="120"/>
              <w:jc w:val="center"/>
              <w:rPr>
                <w:color w:val="auto"/>
                <w:lang w:val="uk-UA"/>
              </w:rPr>
            </w:pPr>
            <w:r w:rsidRPr="00B1361B">
              <w:rPr>
                <w:b/>
                <w:color w:val="auto"/>
                <w:lang w:val="uk-UA"/>
              </w:rPr>
              <w:t xml:space="preserve">Судова практика </w:t>
            </w:r>
          </w:p>
        </w:tc>
        <w:tc>
          <w:tcPr>
            <w:tcW w:w="2127" w:type="dxa"/>
            <w:tcBorders>
              <w:bottom w:val="single" w:sz="4" w:space="0" w:color="000000"/>
            </w:tcBorders>
            <w:shd w:val="clear" w:color="auto" w:fill="C9DAF8"/>
          </w:tcPr>
          <w:p w:rsidR="00811A01" w:rsidRPr="00B1361B" w:rsidRDefault="008C43EB">
            <w:pPr>
              <w:pStyle w:val="normal"/>
              <w:spacing w:before="120"/>
              <w:jc w:val="center"/>
              <w:rPr>
                <w:color w:val="auto"/>
                <w:lang w:val="uk-UA"/>
              </w:rPr>
            </w:pPr>
            <w:r w:rsidRPr="00B1361B">
              <w:rPr>
                <w:b/>
                <w:color w:val="auto"/>
                <w:lang w:val="uk-UA"/>
              </w:rPr>
              <w:t>Пропозиції щодо зміни формулювання / перенесення</w:t>
            </w:r>
          </w:p>
        </w:tc>
        <w:tc>
          <w:tcPr>
            <w:tcW w:w="2834" w:type="dxa"/>
            <w:tcBorders>
              <w:bottom w:val="single" w:sz="4" w:space="0" w:color="000000"/>
            </w:tcBorders>
            <w:shd w:val="clear" w:color="auto" w:fill="C9DAF8"/>
          </w:tcPr>
          <w:p w:rsidR="00811A01" w:rsidRPr="00B1361B" w:rsidRDefault="008C43EB">
            <w:pPr>
              <w:pStyle w:val="normal"/>
              <w:spacing w:before="120"/>
              <w:jc w:val="center"/>
              <w:rPr>
                <w:color w:val="auto"/>
                <w:lang w:val="uk-UA"/>
              </w:rPr>
            </w:pPr>
            <w:r w:rsidRPr="00B1361B">
              <w:rPr>
                <w:b/>
                <w:color w:val="auto"/>
                <w:lang w:val="uk-UA"/>
              </w:rPr>
              <w:t>Аргументація</w:t>
            </w:r>
          </w:p>
        </w:tc>
      </w:tr>
      <w:tr w:rsidR="00486ECF" w:rsidRPr="00B1361B" w:rsidTr="00486ECF">
        <w:trPr>
          <w:trHeight w:val="419"/>
        </w:trPr>
        <w:tc>
          <w:tcPr>
            <w:tcW w:w="568" w:type="dxa"/>
            <w:vMerge w:val="restart"/>
            <w:shd w:val="clear" w:color="auto" w:fill="auto"/>
          </w:tcPr>
          <w:p w:rsidR="00486ECF" w:rsidRPr="00B1361B" w:rsidRDefault="00486ECF" w:rsidP="00732776">
            <w:pPr>
              <w:pStyle w:val="normal"/>
              <w:spacing w:before="120"/>
              <w:jc w:val="both"/>
              <w:rPr>
                <w:color w:val="auto"/>
                <w:lang w:val="uk-UA"/>
              </w:rPr>
            </w:pPr>
          </w:p>
        </w:tc>
        <w:tc>
          <w:tcPr>
            <w:tcW w:w="3942" w:type="dxa"/>
            <w:tcBorders>
              <w:bottom w:val="single" w:sz="4" w:space="0" w:color="auto"/>
            </w:tcBorders>
            <w:shd w:val="clear" w:color="auto" w:fill="auto"/>
          </w:tcPr>
          <w:p w:rsidR="00486ECF" w:rsidRPr="00B1361B" w:rsidRDefault="00486ECF" w:rsidP="00DC5072">
            <w:pPr>
              <w:pStyle w:val="normal"/>
              <w:spacing w:before="120"/>
              <w:jc w:val="both"/>
              <w:rPr>
                <w:b/>
                <w:color w:val="auto"/>
                <w:lang w:val="uk-UA"/>
              </w:rPr>
            </w:pPr>
            <w:r w:rsidRPr="00B1361B">
              <w:rPr>
                <w:b/>
                <w:color w:val="auto"/>
                <w:lang w:val="uk-UA"/>
              </w:rPr>
              <w:t xml:space="preserve">Стаття 173. Господарське зобов'язання </w:t>
            </w:r>
          </w:p>
          <w:p w:rsidR="00486ECF" w:rsidRPr="00B1361B" w:rsidRDefault="00486ECF" w:rsidP="00DC5072">
            <w:pPr>
              <w:pStyle w:val="normal"/>
              <w:spacing w:before="120"/>
              <w:jc w:val="both"/>
              <w:rPr>
                <w:color w:val="auto"/>
                <w:lang w:val="uk-UA"/>
              </w:rPr>
            </w:pPr>
            <w:r w:rsidRPr="00B1361B">
              <w:rPr>
                <w:color w:val="auto"/>
                <w:lang w:val="uk-UA"/>
              </w:rPr>
              <w:t>1. Господарським визнається зобов'язання, що виникає між суб'єктом господарювання та іншим учасником (учасниками) відносин у сфері господарювання з підстав, передбачених цим Кодексом,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w:t>
            </w:r>
            <w:proofErr w:type="spellStart"/>
            <w:r w:rsidRPr="00B1361B">
              <w:rPr>
                <w:color w:val="auto"/>
                <w:lang w:val="uk-UA"/>
              </w:rPr>
              <w:t>управнена</w:t>
            </w:r>
            <w:proofErr w:type="spellEnd"/>
            <w:r w:rsidRPr="00B1361B">
              <w:rPr>
                <w:color w:val="auto"/>
                <w:lang w:val="uk-UA"/>
              </w:rPr>
              <w:t xml:space="preserve"> сторона, у тому числі кредитор) має право вимагати від зобов'язаної сторони виконання </w:t>
            </w:r>
            <w:r w:rsidRPr="00B1361B">
              <w:rPr>
                <w:color w:val="auto"/>
                <w:lang w:val="uk-UA"/>
              </w:rPr>
              <w:lastRenderedPageBreak/>
              <w:t xml:space="preserve">її обов'язку. </w:t>
            </w:r>
          </w:p>
        </w:tc>
        <w:tc>
          <w:tcPr>
            <w:tcW w:w="3969" w:type="dxa"/>
            <w:tcBorders>
              <w:bottom w:val="single" w:sz="4" w:space="0" w:color="auto"/>
            </w:tcBorders>
            <w:shd w:val="clear" w:color="auto" w:fill="auto"/>
          </w:tcPr>
          <w:p w:rsidR="00486ECF" w:rsidRPr="00B1361B" w:rsidRDefault="00486ECF" w:rsidP="00732776">
            <w:pPr>
              <w:pStyle w:val="normal"/>
              <w:spacing w:before="120"/>
              <w:jc w:val="both"/>
              <w:rPr>
                <w:color w:val="auto"/>
                <w:lang w:val="uk-UA"/>
              </w:rPr>
            </w:pPr>
            <w:r w:rsidRPr="00B1361B">
              <w:rPr>
                <w:color w:val="auto"/>
                <w:lang w:val="uk-UA"/>
              </w:rPr>
              <w:lastRenderedPageBreak/>
              <w:t xml:space="preserve">За змістом стаття 173 ГК відповідає статті 509 ЦК, відповідно до якої зобов'язанням є </w:t>
            </w:r>
            <w:proofErr w:type="spellStart"/>
            <w:r w:rsidRPr="00B1361B">
              <w:rPr>
                <w:color w:val="auto"/>
                <w:lang w:val="uk-UA"/>
              </w:rPr>
              <w:t>правовідношення</w:t>
            </w:r>
            <w:proofErr w:type="spellEnd"/>
            <w:r w:rsidRPr="00B1361B">
              <w:rPr>
                <w:color w:val="auto"/>
                <w:lang w:val="uk-UA"/>
              </w:rPr>
              <w:t>,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486ECF" w:rsidRPr="00B1361B" w:rsidRDefault="00486ECF" w:rsidP="00732776">
            <w:pPr>
              <w:pStyle w:val="normal"/>
              <w:spacing w:before="120"/>
              <w:jc w:val="both"/>
              <w:rPr>
                <w:color w:val="auto"/>
                <w:lang w:val="uk-UA"/>
              </w:rPr>
            </w:pPr>
            <w:r w:rsidRPr="00B1361B">
              <w:rPr>
                <w:color w:val="auto"/>
                <w:lang w:val="uk-UA"/>
              </w:rPr>
              <w:t>Відмінність у особливому статусі суб’єктів – суб'єкти господарювання та інші учасники (учасниками) відносин у сфері господарювання, а також у характері дій, які зобов’язані вчинити (господарський чи управлінсько-господарський характер)</w:t>
            </w:r>
          </w:p>
          <w:p w:rsidR="00486ECF" w:rsidRPr="00B1361B" w:rsidRDefault="00486ECF" w:rsidP="00732776">
            <w:pPr>
              <w:pStyle w:val="normal"/>
              <w:spacing w:before="120"/>
              <w:jc w:val="both"/>
              <w:rPr>
                <w:color w:val="auto"/>
                <w:lang w:val="uk-UA"/>
              </w:rPr>
            </w:pPr>
          </w:p>
        </w:tc>
        <w:tc>
          <w:tcPr>
            <w:tcW w:w="2268" w:type="dxa"/>
            <w:tcBorders>
              <w:bottom w:val="single" w:sz="4" w:space="0" w:color="auto"/>
            </w:tcBorders>
            <w:shd w:val="clear" w:color="auto" w:fill="auto"/>
          </w:tcPr>
          <w:p w:rsidR="00486ECF" w:rsidRPr="00B1361B" w:rsidRDefault="00486ECF" w:rsidP="00732776">
            <w:pPr>
              <w:pStyle w:val="normal"/>
              <w:spacing w:before="120"/>
              <w:jc w:val="both"/>
              <w:rPr>
                <w:color w:val="auto"/>
                <w:lang w:val="uk-UA"/>
              </w:rPr>
            </w:pPr>
            <w:r w:rsidRPr="00B1361B">
              <w:rPr>
                <w:color w:val="auto"/>
                <w:lang w:val="uk-UA"/>
              </w:rPr>
              <w:t>Ст.. 183 – 202 посилання на судову практику</w:t>
            </w:r>
          </w:p>
        </w:tc>
        <w:tc>
          <w:tcPr>
            <w:tcW w:w="2127" w:type="dxa"/>
            <w:vMerge w:val="restart"/>
            <w:shd w:val="clear" w:color="auto" w:fill="auto"/>
          </w:tcPr>
          <w:p w:rsidR="00486ECF" w:rsidRPr="00B1361B" w:rsidRDefault="00486ECF" w:rsidP="00C721E5">
            <w:pPr>
              <w:pStyle w:val="normal"/>
              <w:spacing w:before="120"/>
              <w:jc w:val="both"/>
              <w:rPr>
                <w:color w:val="auto"/>
                <w:lang w:val="uk-UA"/>
              </w:rPr>
            </w:pPr>
            <w:r w:rsidRPr="00B1361B">
              <w:rPr>
                <w:color w:val="auto"/>
                <w:lang w:val="uk-UA"/>
              </w:rPr>
              <w:t>Можливо  ст. 173 перенести в ЦК, визначивши окремою частиною у ст.. 509</w:t>
            </w:r>
          </w:p>
          <w:p w:rsidR="00486ECF" w:rsidRPr="00B1361B" w:rsidRDefault="00486ECF" w:rsidP="00C721E5">
            <w:pPr>
              <w:pStyle w:val="normal"/>
              <w:spacing w:before="120"/>
              <w:jc w:val="both"/>
              <w:rPr>
                <w:color w:val="auto"/>
                <w:lang w:val="uk-UA"/>
              </w:rPr>
            </w:pPr>
          </w:p>
          <w:p w:rsidR="00486ECF" w:rsidRPr="00B1361B" w:rsidRDefault="00486ECF" w:rsidP="00C721E5">
            <w:pPr>
              <w:pStyle w:val="normal"/>
              <w:spacing w:before="120"/>
              <w:jc w:val="both"/>
              <w:rPr>
                <w:color w:val="auto"/>
                <w:lang w:val="uk-UA"/>
              </w:rPr>
            </w:pPr>
          </w:p>
          <w:p w:rsidR="00486ECF" w:rsidRPr="00B1361B" w:rsidRDefault="00486ECF" w:rsidP="00C721E5">
            <w:pPr>
              <w:pStyle w:val="normal"/>
              <w:spacing w:before="120"/>
              <w:jc w:val="both"/>
              <w:rPr>
                <w:color w:val="auto"/>
                <w:lang w:val="uk-UA"/>
              </w:rPr>
            </w:pPr>
          </w:p>
          <w:p w:rsidR="00486ECF" w:rsidRPr="00B1361B" w:rsidRDefault="00486ECF" w:rsidP="00C721E5">
            <w:pPr>
              <w:pStyle w:val="normal"/>
              <w:spacing w:before="120"/>
              <w:jc w:val="both"/>
              <w:rPr>
                <w:color w:val="auto"/>
                <w:lang w:val="uk-UA"/>
              </w:rPr>
            </w:pPr>
          </w:p>
          <w:p w:rsidR="00486ECF" w:rsidRPr="00B1361B" w:rsidRDefault="00486ECF" w:rsidP="00C721E5">
            <w:pPr>
              <w:pStyle w:val="normal"/>
              <w:spacing w:before="120"/>
              <w:jc w:val="both"/>
              <w:rPr>
                <w:color w:val="auto"/>
                <w:lang w:val="uk-UA"/>
              </w:rPr>
            </w:pPr>
          </w:p>
          <w:p w:rsidR="00486ECF" w:rsidRPr="00B1361B" w:rsidRDefault="00486ECF" w:rsidP="00C721E5">
            <w:pPr>
              <w:pStyle w:val="normal"/>
              <w:spacing w:before="120"/>
              <w:jc w:val="both"/>
              <w:rPr>
                <w:color w:val="auto"/>
                <w:lang w:val="uk-UA"/>
              </w:rPr>
            </w:pPr>
            <w:r w:rsidRPr="00B1361B">
              <w:rPr>
                <w:color w:val="auto"/>
                <w:lang w:val="uk-UA"/>
              </w:rPr>
              <w:t>Перенести в проект Закону «Про засади господарської діяльності»</w:t>
            </w:r>
          </w:p>
        </w:tc>
        <w:tc>
          <w:tcPr>
            <w:tcW w:w="2834" w:type="dxa"/>
            <w:vMerge w:val="restart"/>
            <w:shd w:val="clear" w:color="auto" w:fill="auto"/>
          </w:tcPr>
          <w:p w:rsidR="00486ECF" w:rsidRPr="00B1361B" w:rsidRDefault="00486ECF" w:rsidP="00732776">
            <w:pPr>
              <w:pStyle w:val="normal"/>
              <w:spacing w:before="120"/>
              <w:jc w:val="both"/>
              <w:rPr>
                <w:color w:val="auto"/>
                <w:lang w:val="uk-UA"/>
              </w:rPr>
            </w:pPr>
            <w:r w:rsidRPr="00B1361B">
              <w:rPr>
                <w:color w:val="auto"/>
                <w:lang w:val="uk-UA"/>
              </w:rPr>
              <w:t>Зважаючи на специфіку суб’єктного складу господарських відносин, є необхідність відображення загальних положень, що регулюватимуть вказані відносини у законодавстві.</w:t>
            </w:r>
          </w:p>
        </w:tc>
      </w:tr>
      <w:tr w:rsidR="00486ECF" w:rsidRPr="00B1361B" w:rsidTr="00486ECF">
        <w:trPr>
          <w:trHeight w:val="1636"/>
        </w:trPr>
        <w:tc>
          <w:tcPr>
            <w:tcW w:w="568" w:type="dxa"/>
            <w:vMerge/>
            <w:shd w:val="clear" w:color="auto" w:fill="auto"/>
          </w:tcPr>
          <w:p w:rsidR="00486ECF" w:rsidRPr="00B1361B" w:rsidRDefault="00486ECF" w:rsidP="00732776">
            <w:pPr>
              <w:pStyle w:val="normal"/>
              <w:spacing w:before="120"/>
              <w:jc w:val="both"/>
              <w:rPr>
                <w:color w:val="auto"/>
                <w:lang w:val="uk-UA"/>
              </w:rPr>
            </w:pPr>
          </w:p>
        </w:tc>
        <w:tc>
          <w:tcPr>
            <w:tcW w:w="3942" w:type="dxa"/>
            <w:tcBorders>
              <w:top w:val="single" w:sz="4" w:space="0" w:color="auto"/>
              <w:bottom w:val="single" w:sz="4" w:space="0" w:color="auto"/>
            </w:tcBorders>
            <w:shd w:val="clear" w:color="auto" w:fill="auto"/>
          </w:tcPr>
          <w:p w:rsidR="00486ECF" w:rsidRPr="00B1361B" w:rsidRDefault="00486ECF" w:rsidP="00DC5072">
            <w:pPr>
              <w:pStyle w:val="normal"/>
              <w:spacing w:before="120"/>
              <w:jc w:val="both"/>
              <w:rPr>
                <w:b/>
                <w:color w:val="auto"/>
                <w:lang w:val="uk-UA"/>
              </w:rPr>
            </w:pPr>
            <w:r w:rsidRPr="00B1361B">
              <w:rPr>
                <w:color w:val="auto"/>
                <w:lang w:val="uk-UA"/>
              </w:rPr>
              <w:t xml:space="preserve">2. Основними видами господарських зобов'язань є майново-господарські зобов'язання та організаційно-господарські зобов'язання. </w:t>
            </w:r>
          </w:p>
        </w:tc>
        <w:tc>
          <w:tcPr>
            <w:tcW w:w="3969" w:type="dxa"/>
            <w:tcBorders>
              <w:top w:val="single" w:sz="4" w:space="0" w:color="auto"/>
              <w:bottom w:val="single" w:sz="4" w:space="0" w:color="auto"/>
            </w:tcBorders>
            <w:shd w:val="clear" w:color="auto" w:fill="auto"/>
          </w:tcPr>
          <w:p w:rsidR="00486ECF" w:rsidRPr="00B1361B" w:rsidRDefault="00486ECF" w:rsidP="00014F42">
            <w:pPr>
              <w:pStyle w:val="normal"/>
              <w:spacing w:before="120"/>
              <w:jc w:val="both"/>
              <w:rPr>
                <w:color w:val="auto"/>
                <w:lang w:val="uk-UA"/>
              </w:rPr>
            </w:pPr>
            <w:r w:rsidRPr="00B1361B">
              <w:rPr>
                <w:color w:val="auto"/>
                <w:lang w:val="uk-UA"/>
              </w:rPr>
              <w:t>Поділ на види відсутній у інших законодавчих актах</w:t>
            </w:r>
          </w:p>
        </w:tc>
        <w:tc>
          <w:tcPr>
            <w:tcW w:w="2268" w:type="dxa"/>
            <w:tcBorders>
              <w:top w:val="nil"/>
              <w:bottom w:val="single" w:sz="4" w:space="0" w:color="auto"/>
            </w:tcBorders>
            <w:shd w:val="clear" w:color="auto" w:fill="auto"/>
          </w:tcPr>
          <w:p w:rsidR="00486ECF" w:rsidRPr="00B1361B" w:rsidRDefault="00486ECF" w:rsidP="00732776">
            <w:pPr>
              <w:pStyle w:val="normal"/>
              <w:spacing w:before="120"/>
              <w:jc w:val="both"/>
              <w:rPr>
                <w:color w:val="auto"/>
                <w:lang w:val="uk-UA"/>
              </w:rPr>
            </w:pPr>
            <w:r>
              <w:rPr>
                <w:color w:val="auto"/>
                <w:lang w:val="uk-UA"/>
              </w:rPr>
              <w:t>2</w:t>
            </w:r>
            <w:r w:rsidRPr="00B1361B">
              <w:rPr>
                <w:color w:val="auto"/>
                <w:lang w:val="uk-UA"/>
              </w:rPr>
              <w:t xml:space="preserve"> посилання на судову практику</w:t>
            </w:r>
          </w:p>
        </w:tc>
        <w:tc>
          <w:tcPr>
            <w:tcW w:w="2127" w:type="dxa"/>
            <w:vMerge/>
            <w:shd w:val="clear" w:color="auto" w:fill="auto"/>
          </w:tcPr>
          <w:p w:rsidR="00486ECF" w:rsidRPr="00B1361B" w:rsidRDefault="00486ECF" w:rsidP="00732776">
            <w:pPr>
              <w:pStyle w:val="normal"/>
              <w:spacing w:before="120"/>
              <w:jc w:val="both"/>
              <w:rPr>
                <w:color w:val="auto"/>
                <w:lang w:val="uk-UA"/>
              </w:rPr>
            </w:pPr>
          </w:p>
        </w:tc>
        <w:tc>
          <w:tcPr>
            <w:tcW w:w="2834" w:type="dxa"/>
            <w:vMerge/>
            <w:shd w:val="clear" w:color="auto" w:fill="auto"/>
          </w:tcPr>
          <w:p w:rsidR="00486ECF" w:rsidRPr="00B1361B" w:rsidRDefault="00486ECF" w:rsidP="00732776">
            <w:pPr>
              <w:pStyle w:val="normal"/>
              <w:spacing w:before="120"/>
              <w:jc w:val="both"/>
              <w:rPr>
                <w:color w:val="auto"/>
                <w:lang w:val="uk-UA"/>
              </w:rPr>
            </w:pPr>
          </w:p>
        </w:tc>
      </w:tr>
      <w:tr w:rsidR="00486ECF" w:rsidRPr="00B1361B" w:rsidTr="00486ECF">
        <w:trPr>
          <w:trHeight w:val="1689"/>
        </w:trPr>
        <w:tc>
          <w:tcPr>
            <w:tcW w:w="568" w:type="dxa"/>
            <w:vMerge/>
            <w:shd w:val="clear" w:color="auto" w:fill="auto"/>
          </w:tcPr>
          <w:p w:rsidR="00486ECF" w:rsidRPr="00B1361B" w:rsidRDefault="00486ECF" w:rsidP="00732776">
            <w:pPr>
              <w:pStyle w:val="normal"/>
              <w:spacing w:before="120"/>
              <w:jc w:val="both"/>
              <w:rPr>
                <w:color w:val="auto"/>
                <w:lang w:val="uk-UA"/>
              </w:rPr>
            </w:pPr>
          </w:p>
        </w:tc>
        <w:tc>
          <w:tcPr>
            <w:tcW w:w="3942" w:type="dxa"/>
            <w:tcBorders>
              <w:top w:val="single" w:sz="4" w:space="0" w:color="auto"/>
            </w:tcBorders>
            <w:shd w:val="clear" w:color="auto" w:fill="auto"/>
          </w:tcPr>
          <w:p w:rsidR="00486ECF" w:rsidRPr="00B1361B" w:rsidRDefault="00486ECF" w:rsidP="00DC5072">
            <w:pPr>
              <w:pStyle w:val="normal"/>
              <w:spacing w:before="120"/>
              <w:jc w:val="both"/>
              <w:rPr>
                <w:color w:val="auto"/>
                <w:lang w:val="uk-UA"/>
              </w:rPr>
            </w:pPr>
            <w:r w:rsidRPr="00B1361B">
              <w:rPr>
                <w:color w:val="auto"/>
                <w:lang w:val="uk-UA"/>
              </w:rPr>
              <w:t>3. Сторони можуть за взаємною згодою конкретизувати або розширити зміст господарського зобов'язання в процесі його виконання, якщо законом не встановлено інше.</w:t>
            </w:r>
          </w:p>
        </w:tc>
        <w:tc>
          <w:tcPr>
            <w:tcW w:w="3969" w:type="dxa"/>
            <w:tcBorders>
              <w:top w:val="single" w:sz="4" w:space="0" w:color="auto"/>
            </w:tcBorders>
            <w:shd w:val="clear" w:color="auto" w:fill="auto"/>
          </w:tcPr>
          <w:p w:rsidR="00486ECF" w:rsidRPr="00B1361B" w:rsidRDefault="00486ECF" w:rsidP="00732776">
            <w:pPr>
              <w:pStyle w:val="normal"/>
              <w:spacing w:before="120"/>
              <w:jc w:val="both"/>
              <w:rPr>
                <w:color w:val="auto"/>
                <w:lang w:val="uk-UA"/>
              </w:rPr>
            </w:pPr>
            <w:r w:rsidRPr="00B1361B">
              <w:rPr>
                <w:color w:val="auto"/>
                <w:lang w:val="uk-UA"/>
              </w:rPr>
              <w:t>Ч. 3 ст. 173 не відображена у інших законодавчих актах</w:t>
            </w:r>
          </w:p>
        </w:tc>
        <w:tc>
          <w:tcPr>
            <w:tcW w:w="2268" w:type="dxa"/>
            <w:tcBorders>
              <w:top w:val="single" w:sz="4" w:space="0" w:color="auto"/>
            </w:tcBorders>
            <w:shd w:val="clear" w:color="auto" w:fill="auto"/>
          </w:tcPr>
          <w:p w:rsidR="00486ECF" w:rsidRPr="00B1361B" w:rsidRDefault="00486ECF" w:rsidP="00732776">
            <w:pPr>
              <w:pStyle w:val="normal"/>
              <w:spacing w:before="120"/>
              <w:jc w:val="both"/>
              <w:rPr>
                <w:color w:val="auto"/>
                <w:lang w:val="uk-UA"/>
              </w:rPr>
            </w:pPr>
            <w:r w:rsidRPr="00B1361B">
              <w:rPr>
                <w:color w:val="auto"/>
                <w:lang w:val="uk-UA"/>
              </w:rPr>
              <w:t>4 посилання на судову практику</w:t>
            </w:r>
          </w:p>
        </w:tc>
        <w:tc>
          <w:tcPr>
            <w:tcW w:w="2127" w:type="dxa"/>
            <w:vMerge/>
            <w:shd w:val="clear" w:color="auto" w:fill="auto"/>
          </w:tcPr>
          <w:p w:rsidR="00486ECF" w:rsidRPr="00B1361B" w:rsidRDefault="00486ECF" w:rsidP="00732776">
            <w:pPr>
              <w:pStyle w:val="normal"/>
              <w:spacing w:before="120"/>
              <w:jc w:val="both"/>
              <w:rPr>
                <w:color w:val="auto"/>
                <w:lang w:val="uk-UA"/>
              </w:rPr>
            </w:pPr>
          </w:p>
        </w:tc>
        <w:tc>
          <w:tcPr>
            <w:tcW w:w="2834" w:type="dxa"/>
            <w:vMerge/>
            <w:shd w:val="clear" w:color="auto" w:fill="auto"/>
          </w:tcPr>
          <w:p w:rsidR="00486ECF" w:rsidRPr="00B1361B" w:rsidRDefault="00486ECF" w:rsidP="00732776">
            <w:pPr>
              <w:pStyle w:val="normal"/>
              <w:spacing w:before="120"/>
              <w:jc w:val="both"/>
              <w:rPr>
                <w:color w:val="auto"/>
                <w:lang w:val="uk-UA"/>
              </w:rPr>
            </w:pPr>
          </w:p>
        </w:tc>
      </w:tr>
      <w:tr w:rsidR="00732776" w:rsidRPr="00B1361B" w:rsidTr="00732776">
        <w:tc>
          <w:tcPr>
            <w:tcW w:w="568" w:type="dxa"/>
            <w:shd w:val="clear" w:color="auto" w:fill="auto"/>
          </w:tcPr>
          <w:p w:rsidR="00732776" w:rsidRPr="00B1361B" w:rsidRDefault="00732776" w:rsidP="00732776">
            <w:pPr>
              <w:pStyle w:val="normal"/>
              <w:spacing w:before="120"/>
              <w:jc w:val="both"/>
              <w:rPr>
                <w:color w:val="auto"/>
                <w:lang w:val="uk-UA"/>
              </w:rPr>
            </w:pPr>
          </w:p>
        </w:tc>
        <w:tc>
          <w:tcPr>
            <w:tcW w:w="3942" w:type="dxa"/>
            <w:shd w:val="clear" w:color="auto" w:fill="auto"/>
          </w:tcPr>
          <w:p w:rsidR="00DC5072" w:rsidRPr="00B1361B" w:rsidRDefault="00DC5072" w:rsidP="00DC5072">
            <w:pPr>
              <w:pStyle w:val="normal"/>
              <w:spacing w:before="120"/>
              <w:jc w:val="both"/>
              <w:rPr>
                <w:b/>
                <w:color w:val="auto"/>
                <w:lang w:val="uk-UA"/>
              </w:rPr>
            </w:pPr>
            <w:r w:rsidRPr="00B1361B">
              <w:rPr>
                <w:b/>
                <w:color w:val="auto"/>
                <w:lang w:val="uk-UA"/>
              </w:rPr>
              <w:t xml:space="preserve">Стаття 174. Підстави виникнення господарських зобов'язань </w:t>
            </w:r>
          </w:p>
          <w:p w:rsidR="00DC5072" w:rsidRPr="00B1361B" w:rsidRDefault="00DC5072" w:rsidP="00DC5072">
            <w:pPr>
              <w:pStyle w:val="normal"/>
              <w:spacing w:before="120"/>
              <w:jc w:val="both"/>
              <w:rPr>
                <w:color w:val="auto"/>
                <w:lang w:val="uk-UA"/>
              </w:rPr>
            </w:pPr>
            <w:r w:rsidRPr="00B1361B">
              <w:rPr>
                <w:color w:val="auto"/>
                <w:lang w:val="uk-UA"/>
              </w:rPr>
              <w:t xml:space="preserve">1. Господарські зобов'язання можуть виникати: </w:t>
            </w:r>
          </w:p>
          <w:p w:rsidR="00DC5072" w:rsidRPr="00B1361B" w:rsidRDefault="00DC5072" w:rsidP="00DC5072">
            <w:pPr>
              <w:pStyle w:val="normal"/>
              <w:spacing w:before="120"/>
              <w:jc w:val="both"/>
              <w:rPr>
                <w:color w:val="auto"/>
                <w:lang w:val="uk-UA"/>
              </w:rPr>
            </w:pPr>
            <w:r w:rsidRPr="00B1361B">
              <w:rPr>
                <w:color w:val="auto"/>
                <w:lang w:val="uk-UA"/>
              </w:rPr>
              <w:t xml:space="preserve">безпосередньо із закону або іншого нормативно-правового акта, що регулює господарську діяльність; </w:t>
            </w:r>
          </w:p>
          <w:p w:rsidR="00DC5072" w:rsidRPr="00B1361B" w:rsidRDefault="00DC5072" w:rsidP="00DC5072">
            <w:pPr>
              <w:pStyle w:val="normal"/>
              <w:spacing w:before="120"/>
              <w:jc w:val="both"/>
              <w:rPr>
                <w:color w:val="auto"/>
                <w:lang w:val="uk-UA"/>
              </w:rPr>
            </w:pPr>
            <w:r w:rsidRPr="00B1361B">
              <w:rPr>
                <w:color w:val="auto"/>
                <w:lang w:val="uk-UA"/>
              </w:rPr>
              <w:t xml:space="preserve">з акту управління господарською діяльністю; </w:t>
            </w:r>
          </w:p>
          <w:p w:rsidR="00DC5072" w:rsidRPr="00B1361B" w:rsidRDefault="00DC5072" w:rsidP="00DC5072">
            <w:pPr>
              <w:pStyle w:val="normal"/>
              <w:spacing w:before="120"/>
              <w:jc w:val="both"/>
              <w:rPr>
                <w:color w:val="auto"/>
                <w:lang w:val="uk-UA"/>
              </w:rPr>
            </w:pPr>
            <w:r w:rsidRPr="00B1361B">
              <w:rPr>
                <w:color w:val="auto"/>
                <w:lang w:val="uk-UA"/>
              </w:rPr>
              <w:t xml:space="preserve">з господарського договору та інших угод, передбачених законом, а також з угод, не передбачених законом, але таких, які йому не суперечать; </w:t>
            </w:r>
          </w:p>
          <w:p w:rsidR="00DC5072" w:rsidRPr="00B1361B" w:rsidRDefault="00DC5072" w:rsidP="00DC5072">
            <w:pPr>
              <w:pStyle w:val="normal"/>
              <w:spacing w:before="120"/>
              <w:jc w:val="both"/>
              <w:rPr>
                <w:color w:val="auto"/>
                <w:lang w:val="uk-UA"/>
              </w:rPr>
            </w:pPr>
            <w:r w:rsidRPr="00B1361B">
              <w:rPr>
                <w:color w:val="auto"/>
                <w:lang w:val="uk-UA"/>
              </w:rPr>
              <w:t xml:space="preserve">внаслідок заподіяння шкоди суб'єкту або суб'єктом господарювання, придбання або </w:t>
            </w:r>
            <w:r w:rsidRPr="00B1361B">
              <w:rPr>
                <w:color w:val="auto"/>
                <w:lang w:val="uk-UA"/>
              </w:rPr>
              <w:lastRenderedPageBreak/>
              <w:t xml:space="preserve">збереження майна суб'єкта або суб'єктом господарювання за рахунок іншої особи без достатніх на те підстав; </w:t>
            </w:r>
          </w:p>
          <w:p w:rsidR="00732776" w:rsidRPr="00B1361B" w:rsidRDefault="00DC5072" w:rsidP="00DC5072">
            <w:pPr>
              <w:pStyle w:val="normal"/>
              <w:spacing w:before="120"/>
              <w:jc w:val="both"/>
              <w:rPr>
                <w:color w:val="auto"/>
                <w:lang w:val="uk-UA"/>
              </w:rPr>
            </w:pPr>
            <w:r w:rsidRPr="00B1361B">
              <w:rPr>
                <w:color w:val="auto"/>
                <w:lang w:val="uk-UA"/>
              </w:rPr>
              <w:t>у результаті створення об'єктів інтелектуальної власності та інших дій суб'єктів, а також внаслідок подій, з якими закон пов'язує настання правових наслідків у сфері господарювання.</w:t>
            </w:r>
          </w:p>
        </w:tc>
        <w:tc>
          <w:tcPr>
            <w:tcW w:w="3969" w:type="dxa"/>
            <w:shd w:val="clear" w:color="auto" w:fill="auto"/>
          </w:tcPr>
          <w:p w:rsidR="00732776" w:rsidRPr="00B1361B" w:rsidRDefault="00B857D8" w:rsidP="00C721E5">
            <w:pPr>
              <w:pStyle w:val="normal"/>
              <w:spacing w:before="120"/>
              <w:jc w:val="both"/>
              <w:rPr>
                <w:color w:val="auto"/>
                <w:lang w:val="uk-UA"/>
              </w:rPr>
            </w:pPr>
            <w:r w:rsidRPr="00B1361B">
              <w:rPr>
                <w:color w:val="auto"/>
                <w:lang w:val="uk-UA"/>
              </w:rPr>
              <w:lastRenderedPageBreak/>
              <w:t>С</w:t>
            </w:r>
            <w:r w:rsidR="00C721E5" w:rsidRPr="00B1361B">
              <w:rPr>
                <w:color w:val="auto"/>
                <w:lang w:val="uk-UA"/>
              </w:rPr>
              <w:t>т. 174 кореспондується із ч. 2 ст. 509</w:t>
            </w:r>
            <w:r w:rsidRPr="00B1361B">
              <w:rPr>
                <w:color w:val="auto"/>
                <w:lang w:val="uk-UA"/>
              </w:rPr>
              <w:t>, яка відсилає до ч. 2 ст. 11 ЦКУ, що визначає загальні підстави виникнення цивільних прав та обов’язків.</w:t>
            </w:r>
          </w:p>
          <w:p w:rsidR="00B857D8" w:rsidRPr="00B1361B" w:rsidRDefault="00B857D8" w:rsidP="00B857D8">
            <w:pPr>
              <w:pStyle w:val="normal"/>
              <w:spacing w:before="120"/>
              <w:jc w:val="both"/>
              <w:rPr>
                <w:color w:val="auto"/>
                <w:lang w:val="uk-UA"/>
              </w:rPr>
            </w:pPr>
            <w:r w:rsidRPr="00B1361B">
              <w:rPr>
                <w:color w:val="auto"/>
                <w:lang w:val="uk-UA"/>
              </w:rPr>
              <w:t xml:space="preserve">Підставами виникнення цивільних прав та обов'язків, зокрема, є: </w:t>
            </w:r>
          </w:p>
          <w:p w:rsidR="00B857D8" w:rsidRPr="00B1361B" w:rsidRDefault="00B857D8" w:rsidP="00B857D8">
            <w:pPr>
              <w:pStyle w:val="normal"/>
              <w:spacing w:before="120"/>
              <w:jc w:val="both"/>
              <w:rPr>
                <w:color w:val="auto"/>
                <w:lang w:val="uk-UA"/>
              </w:rPr>
            </w:pPr>
            <w:r w:rsidRPr="00B1361B">
              <w:rPr>
                <w:color w:val="auto"/>
                <w:lang w:val="uk-UA"/>
              </w:rPr>
              <w:t xml:space="preserve">1) договори та інші правочини; </w:t>
            </w:r>
          </w:p>
          <w:p w:rsidR="00B857D8" w:rsidRPr="00B1361B" w:rsidRDefault="00B857D8" w:rsidP="00B857D8">
            <w:pPr>
              <w:pStyle w:val="normal"/>
              <w:spacing w:before="120"/>
              <w:jc w:val="both"/>
              <w:rPr>
                <w:color w:val="auto"/>
                <w:lang w:val="uk-UA"/>
              </w:rPr>
            </w:pPr>
            <w:r w:rsidRPr="00B1361B">
              <w:rPr>
                <w:color w:val="auto"/>
                <w:lang w:val="uk-UA"/>
              </w:rPr>
              <w:t xml:space="preserve">2) створення літературних, художніх творів, винаходів та інших результатів інтелектуальної, творчої діяльності; </w:t>
            </w:r>
          </w:p>
          <w:p w:rsidR="00B857D8" w:rsidRPr="00B1361B" w:rsidRDefault="00B857D8" w:rsidP="00B857D8">
            <w:pPr>
              <w:pStyle w:val="normal"/>
              <w:spacing w:before="120"/>
              <w:jc w:val="both"/>
              <w:rPr>
                <w:color w:val="auto"/>
                <w:lang w:val="uk-UA"/>
              </w:rPr>
            </w:pPr>
            <w:r w:rsidRPr="00B1361B">
              <w:rPr>
                <w:color w:val="auto"/>
                <w:lang w:val="uk-UA"/>
              </w:rPr>
              <w:t xml:space="preserve">3) завдання майнової (матеріальної) та моральної шкоди іншій особі; </w:t>
            </w:r>
          </w:p>
          <w:p w:rsidR="00B857D8" w:rsidRPr="00B1361B" w:rsidRDefault="00B857D8" w:rsidP="00B857D8">
            <w:pPr>
              <w:pStyle w:val="normal"/>
              <w:spacing w:before="120"/>
              <w:jc w:val="both"/>
              <w:rPr>
                <w:color w:val="auto"/>
                <w:lang w:val="uk-UA"/>
              </w:rPr>
            </w:pPr>
            <w:r w:rsidRPr="00B1361B">
              <w:rPr>
                <w:color w:val="auto"/>
                <w:lang w:val="uk-UA"/>
              </w:rPr>
              <w:t>4) інші юридичні факти.</w:t>
            </w:r>
          </w:p>
          <w:p w:rsidR="00B857D8" w:rsidRPr="00B1361B" w:rsidRDefault="00B857D8" w:rsidP="00B857D8">
            <w:pPr>
              <w:pStyle w:val="normal"/>
              <w:spacing w:before="120"/>
              <w:jc w:val="both"/>
              <w:rPr>
                <w:color w:val="auto"/>
                <w:lang w:val="uk-UA"/>
              </w:rPr>
            </w:pPr>
            <w:r w:rsidRPr="00B1361B">
              <w:rPr>
                <w:color w:val="auto"/>
                <w:lang w:val="uk-UA"/>
              </w:rPr>
              <w:lastRenderedPageBreak/>
              <w:t>Список не є вичерпним.</w:t>
            </w:r>
          </w:p>
        </w:tc>
        <w:tc>
          <w:tcPr>
            <w:tcW w:w="2268" w:type="dxa"/>
            <w:shd w:val="clear" w:color="auto" w:fill="auto"/>
          </w:tcPr>
          <w:p w:rsidR="00732776" w:rsidRPr="00B1361B" w:rsidRDefault="00B857D8" w:rsidP="00732776">
            <w:pPr>
              <w:pStyle w:val="normal"/>
              <w:spacing w:before="120"/>
              <w:jc w:val="both"/>
              <w:rPr>
                <w:color w:val="auto"/>
                <w:lang w:val="uk-UA"/>
              </w:rPr>
            </w:pPr>
            <w:r w:rsidRPr="00B1361B">
              <w:rPr>
                <w:color w:val="auto"/>
                <w:lang w:val="uk-UA"/>
              </w:rPr>
              <w:lastRenderedPageBreak/>
              <w:t>240 посилань на судову практику</w:t>
            </w:r>
          </w:p>
        </w:tc>
        <w:tc>
          <w:tcPr>
            <w:tcW w:w="2127" w:type="dxa"/>
            <w:shd w:val="clear" w:color="auto" w:fill="auto"/>
          </w:tcPr>
          <w:p w:rsidR="00732776" w:rsidRPr="00B1361B" w:rsidRDefault="009B5372" w:rsidP="00732776">
            <w:pPr>
              <w:pStyle w:val="normal"/>
              <w:spacing w:before="120"/>
              <w:jc w:val="both"/>
              <w:rPr>
                <w:color w:val="auto"/>
                <w:lang w:val="uk-UA"/>
              </w:rPr>
            </w:pPr>
            <w:r w:rsidRPr="00B1361B">
              <w:rPr>
                <w:color w:val="auto"/>
                <w:lang w:val="uk-UA"/>
              </w:rPr>
              <w:t>Доповнити ч. 2 ст. 11 ЦК положення щодо акту управління суб’єкта господарювання як підстави виникнення зобов’язань</w:t>
            </w:r>
          </w:p>
        </w:tc>
        <w:tc>
          <w:tcPr>
            <w:tcW w:w="2834" w:type="dxa"/>
            <w:shd w:val="clear" w:color="auto" w:fill="auto"/>
          </w:tcPr>
          <w:p w:rsidR="00732776" w:rsidRPr="00B1361B" w:rsidRDefault="009B5372" w:rsidP="009B5372">
            <w:pPr>
              <w:pStyle w:val="normal"/>
              <w:spacing w:before="120"/>
              <w:jc w:val="both"/>
              <w:rPr>
                <w:color w:val="auto"/>
                <w:lang w:val="uk-UA"/>
              </w:rPr>
            </w:pPr>
            <w:r w:rsidRPr="00B1361B">
              <w:rPr>
                <w:color w:val="auto"/>
                <w:lang w:val="uk-UA"/>
              </w:rPr>
              <w:t>Зважаючи на специфіку господарських відносин, є необхідність відображення загальних положень, що регулюватимуть вказані відносини у законодавстві.</w:t>
            </w:r>
          </w:p>
        </w:tc>
      </w:tr>
      <w:tr w:rsidR="00982AE0" w:rsidRPr="00B1361B" w:rsidTr="00486ECF">
        <w:trPr>
          <w:trHeight w:val="5083"/>
        </w:trPr>
        <w:tc>
          <w:tcPr>
            <w:tcW w:w="568" w:type="dxa"/>
            <w:vMerge w:val="restart"/>
            <w:shd w:val="clear" w:color="auto" w:fill="auto"/>
          </w:tcPr>
          <w:p w:rsidR="00982AE0" w:rsidRPr="00B1361B" w:rsidRDefault="00982AE0" w:rsidP="00732776">
            <w:pPr>
              <w:pStyle w:val="normal"/>
              <w:spacing w:before="120"/>
              <w:jc w:val="both"/>
              <w:rPr>
                <w:color w:val="auto"/>
                <w:lang w:val="uk-UA"/>
              </w:rPr>
            </w:pPr>
          </w:p>
        </w:tc>
        <w:tc>
          <w:tcPr>
            <w:tcW w:w="3942" w:type="dxa"/>
            <w:shd w:val="clear" w:color="auto" w:fill="auto"/>
          </w:tcPr>
          <w:p w:rsidR="00982AE0" w:rsidRPr="00B1361B" w:rsidRDefault="00982AE0" w:rsidP="00DC5072">
            <w:pPr>
              <w:pStyle w:val="normal"/>
              <w:spacing w:before="120"/>
              <w:jc w:val="both"/>
              <w:rPr>
                <w:b/>
                <w:color w:val="auto"/>
                <w:lang w:val="uk-UA"/>
              </w:rPr>
            </w:pPr>
            <w:r w:rsidRPr="00B1361B">
              <w:rPr>
                <w:b/>
                <w:color w:val="auto"/>
                <w:lang w:val="uk-UA"/>
              </w:rPr>
              <w:t xml:space="preserve">Стаття 175. Майново-господарські зобов'язання </w:t>
            </w:r>
          </w:p>
          <w:p w:rsidR="00982AE0" w:rsidRPr="00B1361B" w:rsidRDefault="00982AE0" w:rsidP="00DC5072">
            <w:pPr>
              <w:pStyle w:val="normal"/>
              <w:spacing w:before="120"/>
              <w:jc w:val="both"/>
              <w:rPr>
                <w:color w:val="auto"/>
                <w:lang w:val="uk-UA"/>
              </w:rPr>
            </w:pPr>
            <w:r w:rsidRPr="00B1361B">
              <w:rPr>
                <w:color w:val="auto"/>
                <w:lang w:val="uk-UA"/>
              </w:rPr>
              <w:t xml:space="preserve">1. Майново-господарськими визнаються цивільно-правові зобов'язання, що виникають між учасниками господарських відносин при здійсненні господарської діяльності, в силу яких зобов'язана сторона повинна вчинити певну господарську дію на користь другої сторони або утриматися від певної дії, а </w:t>
            </w:r>
            <w:proofErr w:type="spellStart"/>
            <w:r w:rsidRPr="00B1361B">
              <w:rPr>
                <w:color w:val="auto"/>
                <w:lang w:val="uk-UA"/>
              </w:rPr>
              <w:t>управнена</w:t>
            </w:r>
            <w:proofErr w:type="spellEnd"/>
            <w:r w:rsidRPr="00B1361B">
              <w:rPr>
                <w:color w:val="auto"/>
                <w:lang w:val="uk-UA"/>
              </w:rPr>
              <w:t xml:space="preserve"> сторона має право вимагати від зобов'язаної сторони виконання її обов'язку. </w:t>
            </w:r>
          </w:p>
          <w:p w:rsidR="00982AE0" w:rsidRPr="00B1361B" w:rsidRDefault="00982AE0" w:rsidP="00DC5072">
            <w:pPr>
              <w:pStyle w:val="normal"/>
              <w:spacing w:before="120"/>
              <w:jc w:val="both"/>
              <w:rPr>
                <w:color w:val="auto"/>
                <w:lang w:val="uk-UA"/>
              </w:rPr>
            </w:pPr>
            <w:r w:rsidRPr="00B1361B">
              <w:rPr>
                <w:color w:val="auto"/>
                <w:lang w:val="uk-UA"/>
              </w:rPr>
              <w:t xml:space="preserve">Майнові зобов'язання, які виникають між учасниками господарських відносин, регулюються Цивільним кодексом України з урахуванням особливостей, передбачених цим </w:t>
            </w:r>
            <w:r w:rsidRPr="00B1361B">
              <w:rPr>
                <w:color w:val="auto"/>
                <w:lang w:val="uk-UA"/>
              </w:rPr>
              <w:lastRenderedPageBreak/>
              <w:t xml:space="preserve">Кодексом. </w:t>
            </w:r>
          </w:p>
          <w:p w:rsidR="00982AE0" w:rsidRPr="00B1361B" w:rsidRDefault="00982AE0" w:rsidP="00DC5072">
            <w:pPr>
              <w:pStyle w:val="normal"/>
              <w:spacing w:before="120"/>
              <w:jc w:val="both"/>
              <w:rPr>
                <w:b/>
                <w:color w:val="auto"/>
                <w:lang w:val="uk-UA"/>
              </w:rPr>
            </w:pPr>
            <w:r w:rsidRPr="00B1361B">
              <w:rPr>
                <w:color w:val="auto"/>
                <w:lang w:val="uk-UA"/>
              </w:rPr>
              <w:t xml:space="preserve">2. Суб'єктами майново-господарських зобов'язань можуть бути суб'єкти господарювання, зазначені у статті 55 цього Кодексу, </w:t>
            </w:r>
            <w:proofErr w:type="spellStart"/>
            <w:r w:rsidRPr="00B1361B">
              <w:rPr>
                <w:color w:val="auto"/>
                <w:lang w:val="uk-UA"/>
              </w:rPr>
              <w:t>негосподарюючі</w:t>
            </w:r>
            <w:proofErr w:type="spellEnd"/>
            <w:r w:rsidRPr="00B1361B">
              <w:rPr>
                <w:color w:val="auto"/>
                <w:lang w:val="uk-UA"/>
              </w:rPr>
              <w:t xml:space="preserve"> суб'єкти - юридичні особи, а також органи державної влади, органи місцевого самоврядування, наділені господарською компетенцією. Якщо майново-господарське зобов'язання виникає між суб'єктами господарювання або між суб'єктами господарювання і </w:t>
            </w:r>
            <w:proofErr w:type="spellStart"/>
            <w:r w:rsidRPr="00B1361B">
              <w:rPr>
                <w:color w:val="auto"/>
                <w:lang w:val="uk-UA"/>
              </w:rPr>
              <w:t>негосподарюючими</w:t>
            </w:r>
            <w:proofErr w:type="spellEnd"/>
            <w:r w:rsidRPr="00B1361B">
              <w:rPr>
                <w:color w:val="auto"/>
                <w:lang w:val="uk-UA"/>
              </w:rPr>
              <w:t xml:space="preserve"> суб'єктами - юридичними особами, зобов'язаною та </w:t>
            </w:r>
            <w:proofErr w:type="spellStart"/>
            <w:r w:rsidRPr="00B1361B">
              <w:rPr>
                <w:color w:val="auto"/>
                <w:lang w:val="uk-UA"/>
              </w:rPr>
              <w:t>управненою</w:t>
            </w:r>
            <w:proofErr w:type="spellEnd"/>
            <w:r w:rsidRPr="00B1361B">
              <w:rPr>
                <w:color w:val="auto"/>
                <w:lang w:val="uk-UA"/>
              </w:rPr>
              <w:t xml:space="preserve"> сторонами зобов'язання є відповідно боржник і кредитор. </w:t>
            </w:r>
          </w:p>
          <w:p w:rsidR="00982AE0" w:rsidRPr="00B1361B" w:rsidRDefault="00982AE0" w:rsidP="00DC5072">
            <w:pPr>
              <w:pStyle w:val="normal"/>
              <w:spacing w:before="120"/>
              <w:jc w:val="both"/>
              <w:rPr>
                <w:color w:val="auto"/>
                <w:lang w:val="uk-UA"/>
              </w:rPr>
            </w:pPr>
            <w:r w:rsidRPr="00B1361B">
              <w:rPr>
                <w:color w:val="auto"/>
                <w:lang w:val="uk-UA"/>
              </w:rPr>
              <w:t xml:space="preserve">3. Зобов'язання майнового характеру, що виникають між суб'єктами господарювання та </w:t>
            </w:r>
            <w:proofErr w:type="spellStart"/>
            <w:r w:rsidRPr="00B1361B">
              <w:rPr>
                <w:color w:val="auto"/>
                <w:lang w:val="uk-UA"/>
              </w:rPr>
              <w:t>негосподарюючими</w:t>
            </w:r>
            <w:proofErr w:type="spellEnd"/>
            <w:r w:rsidRPr="00B1361B">
              <w:rPr>
                <w:color w:val="auto"/>
                <w:lang w:val="uk-UA"/>
              </w:rPr>
              <w:t xml:space="preserve"> суб'єктами - громадянами, не є господарськими і регулюються іншими актами законодавства. </w:t>
            </w:r>
          </w:p>
        </w:tc>
        <w:tc>
          <w:tcPr>
            <w:tcW w:w="3969" w:type="dxa"/>
            <w:vMerge w:val="restart"/>
            <w:shd w:val="clear" w:color="auto" w:fill="auto"/>
          </w:tcPr>
          <w:p w:rsidR="00982AE0" w:rsidRPr="00B1361B" w:rsidRDefault="00982AE0" w:rsidP="005114E5">
            <w:pPr>
              <w:pStyle w:val="normal"/>
              <w:spacing w:before="120"/>
              <w:jc w:val="both"/>
              <w:rPr>
                <w:color w:val="auto"/>
                <w:lang w:val="uk-UA"/>
              </w:rPr>
            </w:pPr>
            <w:r w:rsidRPr="00B1361B">
              <w:rPr>
                <w:color w:val="auto"/>
                <w:lang w:val="uk-UA"/>
              </w:rPr>
              <w:lastRenderedPageBreak/>
              <w:t xml:space="preserve">Ст. 175 не відображена в інших законодавчих актах </w:t>
            </w:r>
          </w:p>
        </w:tc>
        <w:tc>
          <w:tcPr>
            <w:tcW w:w="2268" w:type="dxa"/>
            <w:vMerge w:val="restart"/>
            <w:shd w:val="clear" w:color="auto" w:fill="auto"/>
          </w:tcPr>
          <w:p w:rsidR="00982AE0" w:rsidRPr="00B1361B" w:rsidRDefault="00982AE0" w:rsidP="00732776">
            <w:pPr>
              <w:pStyle w:val="normal"/>
              <w:spacing w:before="120"/>
              <w:jc w:val="both"/>
              <w:rPr>
                <w:color w:val="auto"/>
                <w:lang w:val="uk-UA"/>
              </w:rPr>
            </w:pPr>
            <w:r w:rsidRPr="00B1361B">
              <w:rPr>
                <w:color w:val="auto"/>
                <w:lang w:val="uk-UA"/>
              </w:rPr>
              <w:t>103 посилання на судову практику</w:t>
            </w:r>
          </w:p>
        </w:tc>
        <w:tc>
          <w:tcPr>
            <w:tcW w:w="2127" w:type="dxa"/>
            <w:vMerge w:val="restart"/>
            <w:shd w:val="clear" w:color="auto" w:fill="auto"/>
          </w:tcPr>
          <w:p w:rsidR="00982AE0" w:rsidRPr="00B1361B" w:rsidRDefault="00982AE0" w:rsidP="00732776">
            <w:pPr>
              <w:pStyle w:val="normal"/>
              <w:spacing w:before="120"/>
              <w:jc w:val="both"/>
              <w:rPr>
                <w:color w:val="auto"/>
                <w:lang w:val="uk-UA"/>
              </w:rPr>
            </w:pPr>
            <w:r w:rsidRPr="00B1361B">
              <w:rPr>
                <w:color w:val="auto"/>
                <w:lang w:val="uk-UA"/>
              </w:rPr>
              <w:t>Перенести в проект Закону «Про засади господарської діяльності»</w:t>
            </w:r>
          </w:p>
        </w:tc>
        <w:tc>
          <w:tcPr>
            <w:tcW w:w="2834" w:type="dxa"/>
            <w:vMerge w:val="restart"/>
            <w:shd w:val="clear" w:color="auto" w:fill="auto"/>
          </w:tcPr>
          <w:p w:rsidR="00982AE0" w:rsidRPr="00B1361B" w:rsidRDefault="00982AE0" w:rsidP="00732776">
            <w:pPr>
              <w:pStyle w:val="normal"/>
              <w:spacing w:before="120"/>
              <w:jc w:val="both"/>
              <w:rPr>
                <w:color w:val="auto"/>
                <w:lang w:val="uk-UA"/>
              </w:rPr>
            </w:pPr>
          </w:p>
        </w:tc>
      </w:tr>
      <w:tr w:rsidR="005114E5" w:rsidRPr="00B1361B" w:rsidTr="005114E5">
        <w:trPr>
          <w:trHeight w:val="3255"/>
        </w:trPr>
        <w:tc>
          <w:tcPr>
            <w:tcW w:w="568" w:type="dxa"/>
            <w:vMerge/>
            <w:shd w:val="clear" w:color="auto" w:fill="auto"/>
          </w:tcPr>
          <w:p w:rsidR="005114E5" w:rsidRPr="00B1361B" w:rsidRDefault="005114E5" w:rsidP="00732776">
            <w:pPr>
              <w:pStyle w:val="normal"/>
              <w:spacing w:before="120"/>
              <w:jc w:val="both"/>
              <w:rPr>
                <w:color w:val="auto"/>
                <w:lang w:val="uk-UA"/>
              </w:rPr>
            </w:pPr>
          </w:p>
        </w:tc>
        <w:tc>
          <w:tcPr>
            <w:tcW w:w="3942" w:type="dxa"/>
            <w:tcBorders>
              <w:top w:val="single" w:sz="4" w:space="0" w:color="auto"/>
            </w:tcBorders>
            <w:shd w:val="clear" w:color="auto" w:fill="auto"/>
          </w:tcPr>
          <w:p w:rsidR="005114E5" w:rsidRPr="00B1361B" w:rsidRDefault="005114E5" w:rsidP="00DC5072">
            <w:pPr>
              <w:pStyle w:val="normal"/>
              <w:spacing w:before="120"/>
              <w:jc w:val="both"/>
              <w:rPr>
                <w:color w:val="auto"/>
                <w:lang w:val="uk-UA"/>
              </w:rPr>
            </w:pPr>
            <w:r w:rsidRPr="00B1361B">
              <w:rPr>
                <w:color w:val="auto"/>
                <w:lang w:val="uk-UA"/>
              </w:rPr>
              <w:t>4. Суб'єкти господарювання у випадках, передбачених цим Кодексом та іншими законами, можуть добровільно брати на себе зобов'язання майнового характеру на користь інших учасників господарських відносин (благодійництво тощо). Такі зобов'язання не є підставою для вимог щодо їх обов'язкового виконання.</w:t>
            </w:r>
          </w:p>
        </w:tc>
        <w:tc>
          <w:tcPr>
            <w:tcW w:w="3969" w:type="dxa"/>
            <w:vMerge/>
            <w:shd w:val="clear" w:color="auto" w:fill="auto"/>
          </w:tcPr>
          <w:p w:rsidR="005114E5" w:rsidRPr="00B1361B" w:rsidRDefault="005114E5" w:rsidP="00732776">
            <w:pPr>
              <w:pStyle w:val="normal"/>
              <w:spacing w:before="120"/>
              <w:jc w:val="both"/>
              <w:rPr>
                <w:color w:val="auto"/>
                <w:lang w:val="uk-UA"/>
              </w:rPr>
            </w:pPr>
          </w:p>
        </w:tc>
        <w:tc>
          <w:tcPr>
            <w:tcW w:w="2268" w:type="dxa"/>
            <w:vMerge/>
            <w:shd w:val="clear" w:color="auto" w:fill="auto"/>
          </w:tcPr>
          <w:p w:rsidR="005114E5" w:rsidRPr="00B1361B" w:rsidRDefault="005114E5" w:rsidP="00732776">
            <w:pPr>
              <w:pStyle w:val="normal"/>
              <w:spacing w:before="120"/>
              <w:jc w:val="both"/>
              <w:rPr>
                <w:color w:val="auto"/>
                <w:lang w:val="uk-UA"/>
              </w:rPr>
            </w:pPr>
          </w:p>
        </w:tc>
        <w:tc>
          <w:tcPr>
            <w:tcW w:w="2127" w:type="dxa"/>
            <w:vMerge/>
            <w:shd w:val="clear" w:color="auto" w:fill="auto"/>
          </w:tcPr>
          <w:p w:rsidR="005114E5" w:rsidRPr="00B1361B" w:rsidRDefault="005114E5" w:rsidP="00732776">
            <w:pPr>
              <w:pStyle w:val="normal"/>
              <w:spacing w:before="120"/>
              <w:jc w:val="both"/>
              <w:rPr>
                <w:color w:val="auto"/>
                <w:lang w:val="uk-UA"/>
              </w:rPr>
            </w:pPr>
          </w:p>
        </w:tc>
        <w:tc>
          <w:tcPr>
            <w:tcW w:w="2834" w:type="dxa"/>
            <w:vMerge/>
            <w:shd w:val="clear" w:color="auto" w:fill="auto"/>
          </w:tcPr>
          <w:p w:rsidR="005114E5" w:rsidRPr="00B1361B" w:rsidRDefault="005114E5" w:rsidP="00732776">
            <w:pPr>
              <w:pStyle w:val="normal"/>
              <w:spacing w:before="120"/>
              <w:jc w:val="both"/>
              <w:rPr>
                <w:color w:val="auto"/>
                <w:lang w:val="uk-UA"/>
              </w:rPr>
            </w:pPr>
          </w:p>
        </w:tc>
      </w:tr>
      <w:tr w:rsidR="00982AE0" w:rsidRPr="00B1361B" w:rsidTr="00147A78">
        <w:trPr>
          <w:trHeight w:val="5642"/>
        </w:trPr>
        <w:tc>
          <w:tcPr>
            <w:tcW w:w="568" w:type="dxa"/>
            <w:vMerge w:val="restart"/>
            <w:shd w:val="clear" w:color="auto" w:fill="auto"/>
          </w:tcPr>
          <w:p w:rsidR="00982AE0" w:rsidRPr="00B1361B" w:rsidRDefault="00982AE0" w:rsidP="00732776">
            <w:pPr>
              <w:pStyle w:val="normal"/>
              <w:spacing w:before="120"/>
              <w:jc w:val="both"/>
              <w:rPr>
                <w:color w:val="auto"/>
                <w:lang w:val="uk-UA"/>
              </w:rPr>
            </w:pPr>
          </w:p>
        </w:tc>
        <w:tc>
          <w:tcPr>
            <w:tcW w:w="3942" w:type="dxa"/>
            <w:tcBorders>
              <w:bottom w:val="single" w:sz="4" w:space="0" w:color="auto"/>
            </w:tcBorders>
            <w:shd w:val="clear" w:color="auto" w:fill="auto"/>
          </w:tcPr>
          <w:p w:rsidR="00982AE0" w:rsidRPr="00B1361B" w:rsidRDefault="00982AE0" w:rsidP="00DC5072">
            <w:pPr>
              <w:pStyle w:val="normal"/>
              <w:spacing w:before="120"/>
              <w:jc w:val="both"/>
              <w:rPr>
                <w:b/>
                <w:color w:val="auto"/>
                <w:lang w:val="uk-UA"/>
              </w:rPr>
            </w:pPr>
            <w:r w:rsidRPr="00B1361B">
              <w:rPr>
                <w:b/>
                <w:color w:val="auto"/>
                <w:lang w:val="uk-UA"/>
              </w:rPr>
              <w:t xml:space="preserve">Стаття 176. Організаційно-господарські зобов'язання </w:t>
            </w:r>
          </w:p>
          <w:p w:rsidR="00982AE0" w:rsidRPr="00B1361B" w:rsidRDefault="00982AE0" w:rsidP="00DC5072">
            <w:pPr>
              <w:pStyle w:val="normal"/>
              <w:spacing w:before="120"/>
              <w:jc w:val="both"/>
              <w:rPr>
                <w:color w:val="auto"/>
                <w:lang w:val="uk-UA"/>
              </w:rPr>
            </w:pPr>
            <w:r w:rsidRPr="00B1361B">
              <w:rPr>
                <w:color w:val="auto"/>
                <w:lang w:val="uk-UA"/>
              </w:rPr>
              <w:t xml:space="preserve">1. Організаційно-господарськими визнаються господарські зобов'язання, що виникають у процесі управління господарською діяльністю між суб'єктом господарювання та суб'єктом організаційно-господарських повноважень, в силу яких зобов'язана сторона повинна здійснити на користь другої сторони певну управлінсько-господарську (організаційну) дію або утриматися від певної дії, а </w:t>
            </w:r>
            <w:proofErr w:type="spellStart"/>
            <w:r w:rsidRPr="00B1361B">
              <w:rPr>
                <w:color w:val="auto"/>
                <w:lang w:val="uk-UA"/>
              </w:rPr>
              <w:t>управнена</w:t>
            </w:r>
            <w:proofErr w:type="spellEnd"/>
            <w:r w:rsidRPr="00B1361B">
              <w:rPr>
                <w:color w:val="auto"/>
                <w:lang w:val="uk-UA"/>
              </w:rPr>
              <w:t xml:space="preserve"> сторона має право вимагати від зобов'язаної сторони виконання її обов'язку. </w:t>
            </w:r>
          </w:p>
        </w:tc>
        <w:tc>
          <w:tcPr>
            <w:tcW w:w="3969" w:type="dxa"/>
            <w:tcBorders>
              <w:bottom w:val="single" w:sz="4" w:space="0" w:color="auto"/>
            </w:tcBorders>
            <w:shd w:val="clear" w:color="auto" w:fill="auto"/>
          </w:tcPr>
          <w:p w:rsidR="00982AE0" w:rsidRPr="00B1361B" w:rsidRDefault="00122F0C" w:rsidP="00982AE0">
            <w:pPr>
              <w:pStyle w:val="normal"/>
              <w:spacing w:before="120"/>
              <w:jc w:val="both"/>
              <w:rPr>
                <w:color w:val="auto"/>
                <w:lang w:val="uk-UA"/>
              </w:rPr>
            </w:pPr>
            <w:r w:rsidRPr="00B1361B">
              <w:rPr>
                <w:color w:val="auto"/>
                <w:lang w:val="uk-UA"/>
              </w:rPr>
              <w:t>Ст. 176</w:t>
            </w:r>
            <w:r w:rsidR="00982AE0" w:rsidRPr="00B1361B">
              <w:rPr>
                <w:color w:val="auto"/>
                <w:lang w:val="uk-UA"/>
              </w:rPr>
              <w:t xml:space="preserve"> не відображена в інших законодавчих актах </w:t>
            </w:r>
          </w:p>
        </w:tc>
        <w:tc>
          <w:tcPr>
            <w:tcW w:w="2268" w:type="dxa"/>
            <w:tcBorders>
              <w:bottom w:val="single" w:sz="4" w:space="0" w:color="auto"/>
            </w:tcBorders>
            <w:shd w:val="clear" w:color="auto" w:fill="auto"/>
          </w:tcPr>
          <w:p w:rsidR="00982AE0" w:rsidRPr="00B1361B" w:rsidRDefault="00982AE0" w:rsidP="00982AE0">
            <w:pPr>
              <w:pStyle w:val="normal"/>
              <w:spacing w:before="120"/>
              <w:jc w:val="both"/>
              <w:rPr>
                <w:color w:val="auto"/>
                <w:lang w:val="uk-UA"/>
              </w:rPr>
            </w:pPr>
            <w:r w:rsidRPr="00B1361B">
              <w:rPr>
                <w:color w:val="auto"/>
                <w:lang w:val="uk-UA"/>
              </w:rPr>
              <w:t>103 посилання на судову практику</w:t>
            </w:r>
          </w:p>
        </w:tc>
        <w:tc>
          <w:tcPr>
            <w:tcW w:w="2127" w:type="dxa"/>
            <w:tcBorders>
              <w:bottom w:val="single" w:sz="4" w:space="0" w:color="auto"/>
            </w:tcBorders>
            <w:shd w:val="clear" w:color="auto" w:fill="auto"/>
          </w:tcPr>
          <w:p w:rsidR="00982AE0" w:rsidRPr="00B1361B" w:rsidRDefault="00982AE0" w:rsidP="00982AE0">
            <w:pPr>
              <w:pStyle w:val="normal"/>
              <w:spacing w:before="120"/>
              <w:jc w:val="both"/>
              <w:rPr>
                <w:color w:val="auto"/>
                <w:lang w:val="uk-UA"/>
              </w:rPr>
            </w:pPr>
            <w:r w:rsidRPr="00B1361B">
              <w:rPr>
                <w:color w:val="auto"/>
                <w:lang w:val="uk-UA"/>
              </w:rPr>
              <w:t>Перенести в проект Закону «Про засади господарської діяльності»</w:t>
            </w:r>
          </w:p>
        </w:tc>
        <w:tc>
          <w:tcPr>
            <w:tcW w:w="2834" w:type="dxa"/>
            <w:tcBorders>
              <w:bottom w:val="single" w:sz="4" w:space="0" w:color="auto"/>
            </w:tcBorders>
            <w:shd w:val="clear" w:color="auto" w:fill="auto"/>
          </w:tcPr>
          <w:p w:rsidR="00982AE0" w:rsidRPr="00B1361B" w:rsidRDefault="00982AE0" w:rsidP="00732776">
            <w:pPr>
              <w:pStyle w:val="normal"/>
              <w:spacing w:before="120"/>
              <w:jc w:val="both"/>
              <w:rPr>
                <w:color w:val="auto"/>
                <w:lang w:val="uk-UA"/>
              </w:rPr>
            </w:pPr>
          </w:p>
        </w:tc>
      </w:tr>
      <w:tr w:rsidR="00486ECF" w:rsidRPr="00B1361B" w:rsidTr="00486ECF">
        <w:trPr>
          <w:trHeight w:val="8598"/>
        </w:trPr>
        <w:tc>
          <w:tcPr>
            <w:tcW w:w="568" w:type="dxa"/>
            <w:vMerge/>
            <w:shd w:val="clear" w:color="auto" w:fill="auto"/>
          </w:tcPr>
          <w:p w:rsidR="00486ECF" w:rsidRPr="00B1361B" w:rsidRDefault="00486ECF" w:rsidP="00732776">
            <w:pPr>
              <w:pStyle w:val="normal"/>
              <w:spacing w:before="120"/>
              <w:jc w:val="both"/>
              <w:rPr>
                <w:color w:val="auto"/>
                <w:lang w:val="uk-UA"/>
              </w:rPr>
            </w:pPr>
          </w:p>
        </w:tc>
        <w:tc>
          <w:tcPr>
            <w:tcW w:w="3942" w:type="dxa"/>
            <w:tcBorders>
              <w:top w:val="single" w:sz="4" w:space="0" w:color="auto"/>
            </w:tcBorders>
            <w:shd w:val="clear" w:color="auto" w:fill="auto"/>
          </w:tcPr>
          <w:p w:rsidR="00486ECF" w:rsidRPr="00B1361B" w:rsidRDefault="00486ECF" w:rsidP="00DC5072">
            <w:pPr>
              <w:pStyle w:val="normal"/>
              <w:spacing w:before="120"/>
              <w:jc w:val="both"/>
              <w:rPr>
                <w:color w:val="auto"/>
                <w:lang w:val="uk-UA"/>
              </w:rPr>
            </w:pPr>
            <w:r w:rsidRPr="00B1361B">
              <w:rPr>
                <w:color w:val="auto"/>
                <w:lang w:val="uk-UA"/>
              </w:rPr>
              <w:t xml:space="preserve">2. Організаційно-господарські зобов'язання можуть виникати: </w:t>
            </w:r>
          </w:p>
          <w:p w:rsidR="00486ECF" w:rsidRPr="00B1361B" w:rsidRDefault="00486ECF" w:rsidP="00DC5072">
            <w:pPr>
              <w:pStyle w:val="normal"/>
              <w:spacing w:before="120"/>
              <w:jc w:val="both"/>
              <w:rPr>
                <w:color w:val="auto"/>
                <w:lang w:val="uk-UA"/>
              </w:rPr>
            </w:pPr>
            <w:r w:rsidRPr="00B1361B">
              <w:rPr>
                <w:color w:val="auto"/>
                <w:lang w:val="uk-UA"/>
              </w:rPr>
              <w:t xml:space="preserve">між суб'єктом господарювання та власником, який є засновником даного суб'єкта, або органом державної влади, органом місцевого самоврядування, наділеним господарською компетенцією щодо цього суб'єкта; </w:t>
            </w:r>
          </w:p>
          <w:p w:rsidR="00486ECF" w:rsidRPr="00B1361B" w:rsidRDefault="00486ECF" w:rsidP="00DC5072">
            <w:pPr>
              <w:pStyle w:val="normal"/>
              <w:spacing w:before="120"/>
              <w:jc w:val="both"/>
              <w:rPr>
                <w:color w:val="auto"/>
                <w:lang w:val="uk-UA"/>
              </w:rPr>
            </w:pPr>
            <w:r w:rsidRPr="00B1361B">
              <w:rPr>
                <w:color w:val="auto"/>
                <w:lang w:val="uk-UA"/>
              </w:rPr>
              <w:t xml:space="preserve">між суб'єктами господарювання, які разом організовують об'єднання підприємств чи господарське товариство, та органами управління цих об'єднань чи товариств; </w:t>
            </w:r>
          </w:p>
          <w:p w:rsidR="00486ECF" w:rsidRPr="00B1361B" w:rsidRDefault="00486ECF" w:rsidP="00DC5072">
            <w:pPr>
              <w:pStyle w:val="normal"/>
              <w:spacing w:before="120"/>
              <w:jc w:val="both"/>
              <w:rPr>
                <w:color w:val="auto"/>
                <w:lang w:val="uk-UA"/>
              </w:rPr>
            </w:pPr>
            <w:r w:rsidRPr="00B1361B">
              <w:rPr>
                <w:color w:val="auto"/>
                <w:lang w:val="uk-UA"/>
              </w:rPr>
              <w:t xml:space="preserve">між суб'єктами господарювання, у разі якщо один з них є щодо іншого дочірнім підприємством; </w:t>
            </w:r>
          </w:p>
          <w:p w:rsidR="00486ECF" w:rsidRPr="00B1361B" w:rsidRDefault="00486ECF" w:rsidP="00DC5072">
            <w:pPr>
              <w:pStyle w:val="normal"/>
              <w:spacing w:before="120"/>
              <w:jc w:val="both"/>
              <w:rPr>
                <w:color w:val="auto"/>
                <w:lang w:val="uk-UA"/>
              </w:rPr>
            </w:pPr>
            <w:r w:rsidRPr="00B1361B">
              <w:rPr>
                <w:color w:val="auto"/>
                <w:lang w:val="uk-UA"/>
              </w:rPr>
              <w:t xml:space="preserve">в інших випадках, передбачених цим Кодексом, іншими законодавчими актами або установчими документами суб'єкта господарювання. </w:t>
            </w:r>
          </w:p>
          <w:p w:rsidR="00486ECF" w:rsidRPr="00B1361B" w:rsidRDefault="00486ECF" w:rsidP="00DC5072">
            <w:pPr>
              <w:pStyle w:val="normal"/>
              <w:spacing w:before="120"/>
              <w:jc w:val="both"/>
              <w:rPr>
                <w:color w:val="auto"/>
                <w:lang w:val="uk-UA"/>
              </w:rPr>
            </w:pPr>
            <w:r w:rsidRPr="00B1361B">
              <w:rPr>
                <w:color w:val="auto"/>
                <w:lang w:val="uk-UA"/>
              </w:rPr>
              <w:t xml:space="preserve">3. Організаційно-господарські зобов'язання суб'єктів можуть виникати з договору та набувати форми договору. </w:t>
            </w:r>
          </w:p>
        </w:tc>
        <w:tc>
          <w:tcPr>
            <w:tcW w:w="3969" w:type="dxa"/>
            <w:tcBorders>
              <w:top w:val="single" w:sz="4" w:space="0" w:color="auto"/>
            </w:tcBorders>
            <w:shd w:val="clear" w:color="auto" w:fill="auto"/>
          </w:tcPr>
          <w:p w:rsidR="00486ECF" w:rsidRPr="00B1361B" w:rsidRDefault="00486ECF" w:rsidP="00732776">
            <w:pPr>
              <w:pStyle w:val="normal"/>
              <w:spacing w:before="120"/>
              <w:jc w:val="both"/>
              <w:rPr>
                <w:color w:val="auto"/>
                <w:lang w:val="uk-UA"/>
              </w:rPr>
            </w:pPr>
          </w:p>
        </w:tc>
        <w:tc>
          <w:tcPr>
            <w:tcW w:w="2268" w:type="dxa"/>
            <w:tcBorders>
              <w:top w:val="single" w:sz="4" w:space="0" w:color="auto"/>
            </w:tcBorders>
            <w:shd w:val="clear" w:color="auto" w:fill="auto"/>
          </w:tcPr>
          <w:p w:rsidR="00486ECF" w:rsidRPr="00B1361B" w:rsidRDefault="00486ECF" w:rsidP="00732776">
            <w:pPr>
              <w:pStyle w:val="normal"/>
              <w:spacing w:before="120"/>
              <w:jc w:val="both"/>
              <w:rPr>
                <w:color w:val="auto"/>
                <w:lang w:val="uk-UA"/>
              </w:rPr>
            </w:pPr>
          </w:p>
        </w:tc>
        <w:tc>
          <w:tcPr>
            <w:tcW w:w="2127" w:type="dxa"/>
            <w:tcBorders>
              <w:top w:val="single" w:sz="4" w:space="0" w:color="auto"/>
            </w:tcBorders>
            <w:shd w:val="clear" w:color="auto" w:fill="auto"/>
          </w:tcPr>
          <w:p w:rsidR="00486ECF" w:rsidRPr="00B1361B" w:rsidRDefault="00486ECF" w:rsidP="00732776">
            <w:pPr>
              <w:pStyle w:val="normal"/>
              <w:spacing w:before="120"/>
              <w:jc w:val="both"/>
              <w:rPr>
                <w:color w:val="auto"/>
                <w:lang w:val="uk-UA"/>
              </w:rPr>
            </w:pPr>
          </w:p>
        </w:tc>
        <w:tc>
          <w:tcPr>
            <w:tcW w:w="2834" w:type="dxa"/>
            <w:tcBorders>
              <w:top w:val="single" w:sz="4" w:space="0" w:color="auto"/>
            </w:tcBorders>
            <w:shd w:val="clear" w:color="auto" w:fill="auto"/>
          </w:tcPr>
          <w:p w:rsidR="00486ECF" w:rsidRPr="00B1361B" w:rsidRDefault="00486ECF" w:rsidP="00732776">
            <w:pPr>
              <w:pStyle w:val="normal"/>
              <w:spacing w:before="120"/>
              <w:jc w:val="both"/>
              <w:rPr>
                <w:color w:val="auto"/>
                <w:lang w:val="uk-UA"/>
              </w:rPr>
            </w:pPr>
          </w:p>
        </w:tc>
      </w:tr>
      <w:tr w:rsidR="00147A78" w:rsidRPr="00B1361B" w:rsidTr="00147A78">
        <w:trPr>
          <w:trHeight w:val="5239"/>
        </w:trPr>
        <w:tc>
          <w:tcPr>
            <w:tcW w:w="568" w:type="dxa"/>
            <w:vMerge/>
            <w:shd w:val="clear" w:color="auto" w:fill="auto"/>
          </w:tcPr>
          <w:p w:rsidR="00147A78" w:rsidRPr="00B1361B" w:rsidRDefault="00147A78" w:rsidP="00732776">
            <w:pPr>
              <w:pStyle w:val="normal"/>
              <w:spacing w:before="120"/>
              <w:jc w:val="both"/>
              <w:rPr>
                <w:color w:val="auto"/>
                <w:lang w:val="uk-UA"/>
              </w:rPr>
            </w:pPr>
          </w:p>
        </w:tc>
        <w:tc>
          <w:tcPr>
            <w:tcW w:w="3942" w:type="dxa"/>
            <w:tcBorders>
              <w:top w:val="single" w:sz="4" w:space="0" w:color="auto"/>
            </w:tcBorders>
            <w:shd w:val="clear" w:color="auto" w:fill="auto"/>
          </w:tcPr>
          <w:p w:rsidR="00147A78" w:rsidRPr="00B1361B" w:rsidRDefault="00147A78" w:rsidP="00147A78">
            <w:pPr>
              <w:pStyle w:val="normal"/>
              <w:spacing w:before="120"/>
              <w:jc w:val="both"/>
              <w:rPr>
                <w:color w:val="auto"/>
                <w:lang w:val="uk-UA"/>
              </w:rPr>
            </w:pPr>
            <w:r w:rsidRPr="00B1361B">
              <w:rPr>
                <w:color w:val="auto"/>
                <w:lang w:val="uk-UA"/>
              </w:rPr>
              <w:t>4. Суб'єкти господарювання мають право разом здійснювати господарську діяльність для досягнення спільної мети, без утворення єдиного суб'єкта господарювання, на умовах, визначених договором про спільну діяльність. У разі якщо учасники договору про спільну діяльність доручають керівництво спільною діяльністю одному з учасників, на нього може бути покладено обов'язок ведення спільних справ. Такий учасник здійснює організаційно-управлінські повноваження на підставі доручення, підписаного іншими учасниками.</w:t>
            </w:r>
          </w:p>
        </w:tc>
        <w:tc>
          <w:tcPr>
            <w:tcW w:w="3969" w:type="dxa"/>
            <w:tcBorders>
              <w:top w:val="single" w:sz="4" w:space="0" w:color="auto"/>
            </w:tcBorders>
            <w:shd w:val="clear" w:color="auto" w:fill="auto"/>
          </w:tcPr>
          <w:p w:rsidR="00147A78" w:rsidRPr="00B1361B" w:rsidRDefault="00147A78" w:rsidP="00732776">
            <w:pPr>
              <w:pStyle w:val="normal"/>
              <w:spacing w:before="120"/>
              <w:jc w:val="both"/>
              <w:rPr>
                <w:color w:val="auto"/>
                <w:lang w:val="uk-UA"/>
              </w:rPr>
            </w:pPr>
          </w:p>
        </w:tc>
        <w:tc>
          <w:tcPr>
            <w:tcW w:w="2268" w:type="dxa"/>
            <w:tcBorders>
              <w:top w:val="single" w:sz="4" w:space="0" w:color="auto"/>
            </w:tcBorders>
            <w:shd w:val="clear" w:color="auto" w:fill="auto"/>
          </w:tcPr>
          <w:p w:rsidR="00147A78" w:rsidRPr="00B1361B" w:rsidRDefault="00147A78" w:rsidP="00732776">
            <w:pPr>
              <w:pStyle w:val="normal"/>
              <w:spacing w:before="120"/>
              <w:jc w:val="both"/>
              <w:rPr>
                <w:color w:val="auto"/>
                <w:lang w:val="uk-UA"/>
              </w:rPr>
            </w:pPr>
          </w:p>
        </w:tc>
        <w:tc>
          <w:tcPr>
            <w:tcW w:w="2127" w:type="dxa"/>
            <w:tcBorders>
              <w:top w:val="single" w:sz="4" w:space="0" w:color="auto"/>
            </w:tcBorders>
            <w:shd w:val="clear" w:color="auto" w:fill="auto"/>
          </w:tcPr>
          <w:p w:rsidR="00147A78" w:rsidRPr="00B1361B" w:rsidRDefault="00147A78" w:rsidP="00732776">
            <w:pPr>
              <w:pStyle w:val="normal"/>
              <w:spacing w:before="120"/>
              <w:jc w:val="both"/>
              <w:rPr>
                <w:color w:val="auto"/>
                <w:lang w:val="uk-UA"/>
              </w:rPr>
            </w:pPr>
          </w:p>
        </w:tc>
        <w:tc>
          <w:tcPr>
            <w:tcW w:w="2834" w:type="dxa"/>
            <w:tcBorders>
              <w:top w:val="single" w:sz="4" w:space="0" w:color="auto"/>
            </w:tcBorders>
            <w:shd w:val="clear" w:color="auto" w:fill="auto"/>
          </w:tcPr>
          <w:p w:rsidR="00147A78" w:rsidRPr="00B1361B" w:rsidRDefault="00147A78" w:rsidP="00732776">
            <w:pPr>
              <w:pStyle w:val="normal"/>
              <w:spacing w:before="120"/>
              <w:jc w:val="both"/>
              <w:rPr>
                <w:color w:val="auto"/>
                <w:lang w:val="uk-UA"/>
              </w:rPr>
            </w:pPr>
          </w:p>
        </w:tc>
      </w:tr>
      <w:tr w:rsidR="00147A78" w:rsidRPr="00B1361B" w:rsidTr="009611E7">
        <w:trPr>
          <w:trHeight w:val="1114"/>
        </w:trPr>
        <w:tc>
          <w:tcPr>
            <w:tcW w:w="568" w:type="dxa"/>
            <w:vMerge w:val="restart"/>
            <w:shd w:val="clear" w:color="auto" w:fill="auto"/>
          </w:tcPr>
          <w:p w:rsidR="00147A78" w:rsidRPr="00B1361B" w:rsidRDefault="00147A78" w:rsidP="00732776">
            <w:pPr>
              <w:pStyle w:val="normal"/>
              <w:spacing w:before="120"/>
              <w:jc w:val="both"/>
              <w:rPr>
                <w:color w:val="auto"/>
                <w:lang w:val="uk-UA"/>
              </w:rPr>
            </w:pPr>
          </w:p>
        </w:tc>
        <w:tc>
          <w:tcPr>
            <w:tcW w:w="3942" w:type="dxa"/>
            <w:tcBorders>
              <w:bottom w:val="single" w:sz="4" w:space="0" w:color="auto"/>
            </w:tcBorders>
            <w:shd w:val="clear" w:color="auto" w:fill="auto"/>
          </w:tcPr>
          <w:p w:rsidR="00147A78" w:rsidRPr="00B1361B" w:rsidRDefault="00147A78" w:rsidP="00DC5072">
            <w:pPr>
              <w:pStyle w:val="normal"/>
              <w:spacing w:before="120"/>
              <w:jc w:val="both"/>
              <w:rPr>
                <w:b/>
                <w:color w:val="auto"/>
                <w:lang w:val="uk-UA"/>
              </w:rPr>
            </w:pPr>
            <w:r w:rsidRPr="00B1361B">
              <w:rPr>
                <w:b/>
                <w:color w:val="auto"/>
                <w:lang w:val="uk-UA"/>
              </w:rPr>
              <w:t xml:space="preserve">Стаття 177. Соціально-комунальні зобов'язання суб'єктів господарювання </w:t>
            </w:r>
          </w:p>
          <w:p w:rsidR="00147A78" w:rsidRPr="00B1361B" w:rsidRDefault="00147A78" w:rsidP="00DC5072">
            <w:pPr>
              <w:pStyle w:val="normal"/>
              <w:spacing w:before="120"/>
              <w:jc w:val="both"/>
              <w:rPr>
                <w:color w:val="auto"/>
                <w:lang w:val="uk-UA"/>
              </w:rPr>
            </w:pPr>
            <w:r w:rsidRPr="00B1361B">
              <w:rPr>
                <w:color w:val="auto"/>
                <w:lang w:val="uk-UA"/>
              </w:rPr>
              <w:t xml:space="preserve">1. 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 </w:t>
            </w:r>
          </w:p>
        </w:tc>
        <w:tc>
          <w:tcPr>
            <w:tcW w:w="3969" w:type="dxa"/>
            <w:tcBorders>
              <w:bottom w:val="single" w:sz="4" w:space="0" w:color="auto"/>
            </w:tcBorders>
            <w:shd w:val="clear" w:color="auto" w:fill="auto"/>
          </w:tcPr>
          <w:p w:rsidR="00B1361B" w:rsidRPr="00B1361B" w:rsidRDefault="00B1361B" w:rsidP="00B1361B">
            <w:pPr>
              <w:pStyle w:val="normal"/>
              <w:spacing w:before="120"/>
              <w:jc w:val="both"/>
              <w:rPr>
                <w:color w:val="auto"/>
                <w:lang w:val="uk-UA"/>
              </w:rPr>
            </w:pPr>
            <w:r w:rsidRPr="00B1361B">
              <w:rPr>
                <w:color w:val="auto"/>
                <w:lang w:val="uk-UA"/>
              </w:rPr>
              <w:t xml:space="preserve">Ч. 1 ст. 177 дублює положення ч. 2 ст. 17 Закону України </w:t>
            </w:r>
            <w:r>
              <w:rPr>
                <w:color w:val="auto"/>
                <w:lang w:val="uk-UA"/>
              </w:rPr>
              <w:t>«</w:t>
            </w:r>
            <w:r w:rsidRPr="00B1361B">
              <w:rPr>
                <w:color w:val="auto"/>
                <w:lang w:val="uk-UA"/>
              </w:rPr>
              <w:t>Про основи соціальної захищеності інвалідів в Україні</w:t>
            </w:r>
            <w:r>
              <w:rPr>
                <w:color w:val="auto"/>
                <w:lang w:val="uk-UA"/>
              </w:rPr>
              <w:t>», відповідно до якої п</w:t>
            </w:r>
            <w:r w:rsidRPr="00B1361B">
              <w:rPr>
                <w:color w:val="auto"/>
                <w:lang w:val="uk-UA"/>
              </w:rPr>
              <w:t xml:space="preserve">ідприємства, установи і організації за рахунок коштів Фонду соціального захисту  інвалідів або за рішенням місцевої ради за рахунок власних коштів, у разі необхідності, створюють спеціальні робочі місця для працевлаштування інвалідів,  здійснюючи для цього адаптацію основного і додаткового обладнання, технічного оснащення і  </w:t>
            </w:r>
            <w:r w:rsidRPr="00B1361B">
              <w:rPr>
                <w:color w:val="auto"/>
                <w:lang w:val="uk-UA"/>
              </w:rPr>
              <w:lastRenderedPageBreak/>
              <w:t>пристосування тощо з урахуванням обмежених   можливостей інваліда.</w:t>
            </w:r>
          </w:p>
        </w:tc>
        <w:tc>
          <w:tcPr>
            <w:tcW w:w="2268" w:type="dxa"/>
            <w:tcBorders>
              <w:bottom w:val="single" w:sz="4" w:space="0" w:color="auto"/>
            </w:tcBorders>
            <w:shd w:val="clear" w:color="auto" w:fill="auto"/>
          </w:tcPr>
          <w:p w:rsidR="00147A78" w:rsidRPr="00B1361B" w:rsidRDefault="009611E7" w:rsidP="00732776">
            <w:pPr>
              <w:pStyle w:val="normal"/>
              <w:spacing w:before="120"/>
              <w:jc w:val="both"/>
              <w:rPr>
                <w:color w:val="auto"/>
                <w:lang w:val="uk-UA"/>
              </w:rPr>
            </w:pPr>
            <w:r>
              <w:rPr>
                <w:color w:val="auto"/>
                <w:lang w:val="uk-UA"/>
              </w:rPr>
              <w:lastRenderedPageBreak/>
              <w:t>4 посилання на судову практику</w:t>
            </w:r>
          </w:p>
        </w:tc>
        <w:tc>
          <w:tcPr>
            <w:tcW w:w="2127" w:type="dxa"/>
            <w:tcBorders>
              <w:bottom w:val="single" w:sz="4" w:space="0" w:color="auto"/>
            </w:tcBorders>
            <w:shd w:val="clear" w:color="auto" w:fill="auto"/>
          </w:tcPr>
          <w:p w:rsidR="00147A78" w:rsidRPr="00B1361B" w:rsidRDefault="009611E7" w:rsidP="00732776">
            <w:pPr>
              <w:pStyle w:val="normal"/>
              <w:spacing w:before="120"/>
              <w:jc w:val="both"/>
              <w:rPr>
                <w:color w:val="auto"/>
                <w:lang w:val="uk-UA"/>
              </w:rPr>
            </w:pPr>
            <w:r>
              <w:rPr>
                <w:color w:val="auto"/>
                <w:lang w:val="uk-UA"/>
              </w:rPr>
              <w:t>Вилучити</w:t>
            </w:r>
          </w:p>
        </w:tc>
        <w:tc>
          <w:tcPr>
            <w:tcW w:w="2834" w:type="dxa"/>
            <w:tcBorders>
              <w:bottom w:val="single" w:sz="4" w:space="0" w:color="auto"/>
            </w:tcBorders>
            <w:shd w:val="clear" w:color="auto" w:fill="auto"/>
          </w:tcPr>
          <w:p w:rsidR="00147A78" w:rsidRPr="00B1361B" w:rsidRDefault="009611E7" w:rsidP="00732776">
            <w:pPr>
              <w:pStyle w:val="normal"/>
              <w:spacing w:before="120"/>
              <w:jc w:val="both"/>
              <w:rPr>
                <w:color w:val="auto"/>
                <w:lang w:val="uk-UA"/>
              </w:rPr>
            </w:pPr>
            <w:r w:rsidRPr="007511C5">
              <w:rPr>
                <w:lang w:val="uk-UA"/>
              </w:rPr>
              <w:t>Вилучити</w:t>
            </w:r>
            <w:r>
              <w:rPr>
                <w:lang w:val="uk-UA"/>
              </w:rPr>
              <w:t xml:space="preserve"> з метою усунення дублювання норм.</w:t>
            </w:r>
          </w:p>
        </w:tc>
      </w:tr>
      <w:tr w:rsidR="00147A78" w:rsidRPr="00B1361B" w:rsidTr="00147A78">
        <w:trPr>
          <w:trHeight w:val="1139"/>
        </w:trPr>
        <w:tc>
          <w:tcPr>
            <w:tcW w:w="568" w:type="dxa"/>
            <w:vMerge/>
            <w:shd w:val="clear" w:color="auto" w:fill="auto"/>
          </w:tcPr>
          <w:p w:rsidR="00147A78" w:rsidRPr="00B1361B" w:rsidRDefault="00147A78" w:rsidP="00732776">
            <w:pPr>
              <w:pStyle w:val="normal"/>
              <w:spacing w:before="120"/>
              <w:jc w:val="both"/>
              <w:rPr>
                <w:color w:val="auto"/>
                <w:lang w:val="uk-UA"/>
              </w:rPr>
            </w:pPr>
          </w:p>
        </w:tc>
        <w:tc>
          <w:tcPr>
            <w:tcW w:w="3942" w:type="dxa"/>
            <w:tcBorders>
              <w:top w:val="single" w:sz="4" w:space="0" w:color="auto"/>
            </w:tcBorders>
            <w:shd w:val="clear" w:color="auto" w:fill="auto"/>
          </w:tcPr>
          <w:p w:rsidR="00147A78" w:rsidRPr="00B1361B" w:rsidRDefault="00147A78" w:rsidP="00DC5072">
            <w:pPr>
              <w:pStyle w:val="normal"/>
              <w:spacing w:before="120"/>
              <w:jc w:val="both"/>
              <w:rPr>
                <w:b/>
                <w:color w:val="auto"/>
                <w:lang w:val="uk-UA"/>
              </w:rPr>
            </w:pPr>
            <w:r w:rsidRPr="00B1361B">
              <w:rPr>
                <w:color w:val="auto"/>
                <w:lang w:val="uk-UA"/>
              </w:rPr>
              <w:t>2. Суб'єкти господарювання відповідно до частини четвертої статті 175 цього Кодексу можуть, незалежно від статутної мети своєї діяльності, брати на себе зобов'язання про господарську допомогу у вирішенні питань соціального розвитку населених пунктів їх місцезнаходження, у будівництві й утриманні соціально-культурних об'єктів та об'єктів комунального господарства і побутового обслуговування, подавати іншу господарську допомогу з метою розв'язання місцевих проблем. Суб'єкти господарювання мають право брати участь у формуванні відповідних фондів місцевих рад, якщо інше не встановлено законом, та у виконанні робіт щодо комплексного економічного і соціального розвитку територій.</w:t>
            </w:r>
          </w:p>
        </w:tc>
        <w:tc>
          <w:tcPr>
            <w:tcW w:w="3969" w:type="dxa"/>
            <w:tcBorders>
              <w:top w:val="single" w:sz="4" w:space="0" w:color="auto"/>
            </w:tcBorders>
            <w:shd w:val="clear" w:color="auto" w:fill="auto"/>
          </w:tcPr>
          <w:p w:rsidR="00C73E31" w:rsidRDefault="009611E7" w:rsidP="009611E7">
            <w:pPr>
              <w:pStyle w:val="normal"/>
              <w:spacing w:before="120"/>
              <w:jc w:val="both"/>
              <w:rPr>
                <w:color w:val="auto"/>
                <w:lang w:val="uk-UA"/>
              </w:rPr>
            </w:pPr>
            <w:r>
              <w:rPr>
                <w:color w:val="auto"/>
                <w:lang w:val="uk-UA"/>
              </w:rPr>
              <w:t>Положення чіт</w:t>
            </w:r>
            <w:r w:rsidR="006A59B1">
              <w:rPr>
                <w:color w:val="auto"/>
                <w:lang w:val="uk-UA"/>
              </w:rPr>
              <w:t>ко не передбачено у Законі</w:t>
            </w:r>
            <w:r>
              <w:rPr>
                <w:color w:val="auto"/>
                <w:lang w:val="uk-UA"/>
              </w:rPr>
              <w:t xml:space="preserve"> України «Про місцеве самоврядування в України» (в </w:t>
            </w:r>
            <w:r w:rsidR="00C73E31">
              <w:rPr>
                <w:color w:val="auto"/>
                <w:lang w:val="uk-UA"/>
              </w:rPr>
              <w:t>частині питань соціального розвитку населених пунктів та участі у формуванні фондів місцевих рад</w:t>
            </w:r>
            <w:r>
              <w:rPr>
                <w:color w:val="auto"/>
                <w:lang w:val="uk-UA"/>
              </w:rPr>
              <w:t>)</w:t>
            </w:r>
            <w:r w:rsidR="00C73E31">
              <w:rPr>
                <w:color w:val="auto"/>
                <w:lang w:val="uk-UA"/>
              </w:rPr>
              <w:t>. Зокрема, порядок формування фондів визначаються місцевою радою.</w:t>
            </w:r>
          </w:p>
          <w:p w:rsidR="00147A78" w:rsidRPr="00B1361B" w:rsidRDefault="009611E7" w:rsidP="009611E7">
            <w:pPr>
              <w:pStyle w:val="normal"/>
              <w:spacing w:before="120"/>
              <w:jc w:val="both"/>
              <w:rPr>
                <w:color w:val="auto"/>
                <w:lang w:val="uk-UA"/>
              </w:rPr>
            </w:pPr>
            <w:r>
              <w:rPr>
                <w:color w:val="auto"/>
                <w:lang w:val="uk-UA"/>
              </w:rPr>
              <w:t xml:space="preserve"> </w:t>
            </w:r>
          </w:p>
        </w:tc>
        <w:tc>
          <w:tcPr>
            <w:tcW w:w="2268" w:type="dxa"/>
            <w:tcBorders>
              <w:top w:val="single" w:sz="4" w:space="0" w:color="auto"/>
            </w:tcBorders>
            <w:shd w:val="clear" w:color="auto" w:fill="auto"/>
          </w:tcPr>
          <w:p w:rsidR="00147A78" w:rsidRPr="00B1361B" w:rsidRDefault="009611E7" w:rsidP="00732776">
            <w:pPr>
              <w:pStyle w:val="normal"/>
              <w:spacing w:before="120"/>
              <w:jc w:val="both"/>
              <w:rPr>
                <w:color w:val="auto"/>
                <w:lang w:val="uk-UA"/>
              </w:rPr>
            </w:pPr>
            <w:r>
              <w:rPr>
                <w:color w:val="auto"/>
                <w:lang w:val="uk-UA"/>
              </w:rPr>
              <w:t>5 посилань на судову практику</w:t>
            </w:r>
          </w:p>
        </w:tc>
        <w:tc>
          <w:tcPr>
            <w:tcW w:w="2127" w:type="dxa"/>
            <w:tcBorders>
              <w:top w:val="single" w:sz="4" w:space="0" w:color="auto"/>
            </w:tcBorders>
            <w:shd w:val="clear" w:color="auto" w:fill="auto"/>
          </w:tcPr>
          <w:p w:rsidR="00147A78" w:rsidRPr="00B1361B" w:rsidRDefault="009611E7" w:rsidP="00732776">
            <w:pPr>
              <w:pStyle w:val="normal"/>
              <w:spacing w:before="120"/>
              <w:jc w:val="both"/>
              <w:rPr>
                <w:color w:val="auto"/>
                <w:lang w:val="uk-UA"/>
              </w:rPr>
            </w:pPr>
            <w:r>
              <w:rPr>
                <w:color w:val="auto"/>
                <w:lang w:val="uk-UA"/>
              </w:rPr>
              <w:t xml:space="preserve">Частково (основні положення) перенести до </w:t>
            </w:r>
            <w:r w:rsidRPr="00B1361B">
              <w:rPr>
                <w:color w:val="auto"/>
                <w:lang w:val="uk-UA"/>
              </w:rPr>
              <w:t>проект</w:t>
            </w:r>
            <w:r>
              <w:rPr>
                <w:color w:val="auto"/>
                <w:lang w:val="uk-UA"/>
              </w:rPr>
              <w:t>у</w:t>
            </w:r>
            <w:r w:rsidRPr="00B1361B">
              <w:rPr>
                <w:color w:val="auto"/>
                <w:lang w:val="uk-UA"/>
              </w:rPr>
              <w:t xml:space="preserve"> Закону</w:t>
            </w:r>
            <w:r>
              <w:rPr>
                <w:color w:val="auto"/>
                <w:lang w:val="uk-UA"/>
              </w:rPr>
              <w:t xml:space="preserve"> України</w:t>
            </w:r>
            <w:r w:rsidRPr="00B1361B">
              <w:rPr>
                <w:color w:val="auto"/>
                <w:lang w:val="uk-UA"/>
              </w:rPr>
              <w:t xml:space="preserve"> «Про засади господарської діяльності»</w:t>
            </w:r>
            <w:r w:rsidR="00C73E31">
              <w:rPr>
                <w:color w:val="auto"/>
                <w:lang w:val="uk-UA"/>
              </w:rPr>
              <w:t xml:space="preserve"> або інших спеціальних Законів</w:t>
            </w:r>
          </w:p>
        </w:tc>
        <w:tc>
          <w:tcPr>
            <w:tcW w:w="2834" w:type="dxa"/>
            <w:tcBorders>
              <w:top w:val="single" w:sz="4" w:space="0" w:color="auto"/>
            </w:tcBorders>
            <w:shd w:val="clear" w:color="auto" w:fill="auto"/>
          </w:tcPr>
          <w:p w:rsidR="00147A78" w:rsidRPr="00B1361B" w:rsidRDefault="00C73E31" w:rsidP="00C73E31">
            <w:pPr>
              <w:pStyle w:val="normal"/>
              <w:spacing w:before="120"/>
              <w:jc w:val="both"/>
              <w:rPr>
                <w:color w:val="auto"/>
                <w:lang w:val="uk-UA"/>
              </w:rPr>
            </w:pPr>
            <w:r>
              <w:rPr>
                <w:color w:val="auto"/>
                <w:lang w:val="uk-UA"/>
              </w:rPr>
              <w:t>Відображення повноважень суб’єктів господарювання у вирішенні питань соціальному розвитку населених пунктів є важливим моментом, тому доцільно відобразити такі положення у законодавстві.</w:t>
            </w:r>
          </w:p>
        </w:tc>
      </w:tr>
      <w:tr w:rsidR="00C73E31" w:rsidRPr="00B1361B" w:rsidTr="00383249">
        <w:trPr>
          <w:trHeight w:val="3807"/>
        </w:trPr>
        <w:tc>
          <w:tcPr>
            <w:tcW w:w="568" w:type="dxa"/>
            <w:shd w:val="clear" w:color="auto" w:fill="auto"/>
          </w:tcPr>
          <w:p w:rsidR="00C73E31" w:rsidRPr="00B1361B" w:rsidRDefault="00C73E31" w:rsidP="00732776">
            <w:pPr>
              <w:pStyle w:val="normal"/>
              <w:spacing w:before="120"/>
              <w:jc w:val="both"/>
              <w:rPr>
                <w:color w:val="auto"/>
                <w:lang w:val="uk-UA"/>
              </w:rPr>
            </w:pPr>
          </w:p>
        </w:tc>
        <w:tc>
          <w:tcPr>
            <w:tcW w:w="3942" w:type="dxa"/>
            <w:shd w:val="clear" w:color="auto" w:fill="auto"/>
          </w:tcPr>
          <w:p w:rsidR="00C73E31" w:rsidRPr="00B1361B" w:rsidRDefault="00C73E31" w:rsidP="00DC5072">
            <w:pPr>
              <w:pStyle w:val="normal"/>
              <w:spacing w:before="120"/>
              <w:jc w:val="both"/>
              <w:rPr>
                <w:b/>
                <w:color w:val="auto"/>
                <w:lang w:val="uk-UA"/>
              </w:rPr>
            </w:pPr>
            <w:r w:rsidRPr="00B1361B">
              <w:rPr>
                <w:b/>
                <w:color w:val="auto"/>
                <w:lang w:val="uk-UA"/>
              </w:rPr>
              <w:t xml:space="preserve">Стаття 178. Публічні зобов'язання суб'єктів господарювання </w:t>
            </w:r>
          </w:p>
          <w:p w:rsidR="00C73E31" w:rsidRPr="00B1361B" w:rsidRDefault="00C73E31" w:rsidP="00DC5072">
            <w:pPr>
              <w:pStyle w:val="normal"/>
              <w:spacing w:before="120"/>
              <w:jc w:val="both"/>
              <w:rPr>
                <w:color w:val="auto"/>
                <w:lang w:val="uk-UA"/>
              </w:rPr>
            </w:pPr>
            <w:r w:rsidRPr="00B1361B">
              <w:rPr>
                <w:color w:val="auto"/>
                <w:lang w:val="uk-UA"/>
              </w:rPr>
              <w:t xml:space="preserve">1. 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у виконанні робіт, наданні послуг, продажу товару за наявності у нього такої можливості або надавати перевагу одному споживачеві перед іншими, крім випадків, передбачених законодавством. </w:t>
            </w:r>
          </w:p>
          <w:p w:rsidR="00C73E31" w:rsidRPr="00B1361B" w:rsidRDefault="00C73E31" w:rsidP="00DC5072">
            <w:pPr>
              <w:pStyle w:val="normal"/>
              <w:spacing w:before="120"/>
              <w:jc w:val="both"/>
              <w:rPr>
                <w:b/>
                <w:color w:val="auto"/>
                <w:lang w:val="uk-UA"/>
              </w:rPr>
            </w:pPr>
            <w:r w:rsidRPr="00B1361B">
              <w:rPr>
                <w:color w:val="auto"/>
                <w:lang w:val="uk-UA"/>
              </w:rPr>
              <w:t xml:space="preserve">2. Суб'єкт господарювання, який безпідставно ухиляється від виконання публічного зобов'язання, повинен відшкодувати другій стороні завдані цим збитки в порядку, визначеному законом. </w:t>
            </w:r>
          </w:p>
          <w:p w:rsidR="00C73E31" w:rsidRPr="00B1361B" w:rsidRDefault="00C73E31" w:rsidP="00DC5072">
            <w:pPr>
              <w:pStyle w:val="normal"/>
              <w:spacing w:before="120"/>
              <w:jc w:val="both"/>
              <w:rPr>
                <w:color w:val="auto"/>
                <w:lang w:val="uk-UA"/>
              </w:rPr>
            </w:pPr>
            <w:r w:rsidRPr="00B1361B">
              <w:rPr>
                <w:color w:val="auto"/>
                <w:lang w:val="uk-UA"/>
              </w:rPr>
              <w:t xml:space="preserve">3. Кабінет Міністрів України може у визначених законом випадках видавати правила, обов'язкові для сторін публічного зобов'язання, в тому числі щодо встановлення або регулювання цін. Умови зобов'язання, що не відповідають </w:t>
            </w:r>
            <w:r w:rsidRPr="00B1361B">
              <w:rPr>
                <w:color w:val="auto"/>
                <w:lang w:val="uk-UA"/>
              </w:rPr>
              <w:lastRenderedPageBreak/>
              <w:t>цим правилам або встановленим цінам, є недійсними.</w:t>
            </w:r>
          </w:p>
        </w:tc>
        <w:tc>
          <w:tcPr>
            <w:tcW w:w="3969" w:type="dxa"/>
            <w:shd w:val="clear" w:color="auto" w:fill="auto"/>
          </w:tcPr>
          <w:p w:rsidR="00383249" w:rsidRDefault="00C73E31" w:rsidP="00C73E31">
            <w:pPr>
              <w:pStyle w:val="normal"/>
              <w:spacing w:before="120"/>
              <w:jc w:val="both"/>
              <w:rPr>
                <w:color w:val="auto"/>
                <w:lang w:val="uk-UA"/>
              </w:rPr>
            </w:pPr>
            <w:r>
              <w:rPr>
                <w:color w:val="auto"/>
                <w:lang w:val="uk-UA"/>
              </w:rPr>
              <w:lastRenderedPageBreak/>
              <w:t>За змістом кореспондується зі ст.. 633 ЦКУ, відповідно до якої п</w:t>
            </w:r>
            <w:r w:rsidRPr="00C73E31">
              <w:rPr>
                <w:color w:val="auto"/>
                <w:lang w:val="uk-UA"/>
              </w:rPr>
              <w:t xml:space="preserve">ублічним є договір, в якому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 </w:t>
            </w:r>
          </w:p>
          <w:p w:rsidR="00C73E31" w:rsidRPr="00C73E31" w:rsidRDefault="00C73E31" w:rsidP="00C73E31">
            <w:pPr>
              <w:pStyle w:val="normal"/>
              <w:spacing w:before="120"/>
              <w:jc w:val="both"/>
              <w:rPr>
                <w:color w:val="auto"/>
                <w:lang w:val="uk-UA"/>
              </w:rPr>
            </w:pPr>
            <w:r w:rsidRPr="00C73E31">
              <w:rPr>
                <w:color w:val="auto"/>
                <w:lang w:val="uk-UA"/>
              </w:rPr>
              <w:t xml:space="preserve">Умови публічного договору встановлюються однаковими для всіх споживачів, крім тих, кому за законом надані відповідні пільги. </w:t>
            </w:r>
          </w:p>
          <w:p w:rsidR="00C73E31" w:rsidRPr="00C73E31" w:rsidRDefault="00C73E31" w:rsidP="00C73E31">
            <w:pPr>
              <w:pStyle w:val="normal"/>
              <w:spacing w:before="120"/>
              <w:jc w:val="both"/>
              <w:rPr>
                <w:color w:val="auto"/>
                <w:lang w:val="uk-UA"/>
              </w:rPr>
            </w:pPr>
            <w:r w:rsidRPr="00C73E31">
              <w:rPr>
                <w:color w:val="auto"/>
                <w:lang w:val="uk-UA"/>
              </w:rPr>
              <w:t xml:space="preserve">Підприємець не має права надавати переваги одному споживачеві перед іншим щодо укладення публічного договору, якщо інше не встановлено законом. </w:t>
            </w:r>
          </w:p>
          <w:p w:rsidR="00C73E31" w:rsidRPr="00C73E31" w:rsidRDefault="00C73E31" w:rsidP="00C73E31">
            <w:pPr>
              <w:pStyle w:val="normal"/>
              <w:spacing w:before="120"/>
              <w:jc w:val="both"/>
              <w:rPr>
                <w:color w:val="auto"/>
                <w:lang w:val="uk-UA"/>
              </w:rPr>
            </w:pPr>
            <w:r w:rsidRPr="00C73E31">
              <w:rPr>
                <w:color w:val="auto"/>
                <w:lang w:val="uk-UA"/>
              </w:rPr>
              <w:t xml:space="preserve">Підприємець не має права відмовитися від укладення публічного договору за наявності у нього можливостей надання споживачеві відповідних товарів (робіт, послуг). </w:t>
            </w:r>
          </w:p>
          <w:p w:rsidR="00C73E31" w:rsidRPr="00C73E31" w:rsidRDefault="00C73E31" w:rsidP="00C73E31">
            <w:pPr>
              <w:pStyle w:val="normal"/>
              <w:spacing w:before="120"/>
              <w:jc w:val="both"/>
              <w:rPr>
                <w:color w:val="auto"/>
                <w:lang w:val="uk-UA"/>
              </w:rPr>
            </w:pPr>
            <w:r w:rsidRPr="00C73E31">
              <w:rPr>
                <w:color w:val="auto"/>
                <w:lang w:val="uk-UA"/>
              </w:rPr>
              <w:t xml:space="preserve">У разі необґрунтованої відмови підприємця від укладення публічного договору він має відшкодувати збитки, завдані </w:t>
            </w:r>
            <w:r w:rsidRPr="00C73E31">
              <w:rPr>
                <w:color w:val="auto"/>
                <w:lang w:val="uk-UA"/>
              </w:rPr>
              <w:lastRenderedPageBreak/>
              <w:t xml:space="preserve">споживачеві такою відмовою. </w:t>
            </w:r>
          </w:p>
          <w:p w:rsidR="00C73E31" w:rsidRPr="00C73E31" w:rsidRDefault="00C73E31" w:rsidP="00C73E31">
            <w:pPr>
              <w:pStyle w:val="normal"/>
              <w:spacing w:before="120"/>
              <w:jc w:val="both"/>
              <w:rPr>
                <w:color w:val="auto"/>
                <w:lang w:val="uk-UA"/>
              </w:rPr>
            </w:pPr>
            <w:r w:rsidRPr="00C73E31">
              <w:rPr>
                <w:color w:val="auto"/>
                <w:lang w:val="uk-UA"/>
              </w:rPr>
              <w:t xml:space="preserve">Актами цивільного законодавства можуть бути встановлені правила, обов'язкові для сторін при укладенні і виконанні публічного договору. </w:t>
            </w:r>
          </w:p>
          <w:p w:rsidR="00C73E31" w:rsidRPr="00B1361B" w:rsidRDefault="00C73E31" w:rsidP="00C73E31">
            <w:pPr>
              <w:pStyle w:val="normal"/>
              <w:spacing w:before="120"/>
              <w:jc w:val="both"/>
              <w:rPr>
                <w:color w:val="auto"/>
                <w:lang w:val="uk-UA"/>
              </w:rPr>
            </w:pPr>
            <w:r w:rsidRPr="00C73E31">
              <w:rPr>
                <w:color w:val="auto"/>
                <w:lang w:val="uk-UA"/>
              </w:rPr>
              <w:t>Умови публічного договору, які суперечать частині другій цієї статті та правилам, обов'язковим для сторін при укладенні і виконанні публічного договору, є нікчемними.</w:t>
            </w:r>
          </w:p>
        </w:tc>
        <w:tc>
          <w:tcPr>
            <w:tcW w:w="2268" w:type="dxa"/>
            <w:shd w:val="clear" w:color="auto" w:fill="auto"/>
          </w:tcPr>
          <w:p w:rsidR="00C73E31" w:rsidRPr="00B1361B" w:rsidRDefault="00C73E31" w:rsidP="00732776">
            <w:pPr>
              <w:pStyle w:val="normal"/>
              <w:spacing w:before="120"/>
              <w:jc w:val="both"/>
              <w:rPr>
                <w:color w:val="auto"/>
                <w:lang w:val="uk-UA"/>
              </w:rPr>
            </w:pPr>
            <w:r>
              <w:rPr>
                <w:color w:val="auto"/>
                <w:lang w:val="uk-UA"/>
              </w:rPr>
              <w:lastRenderedPageBreak/>
              <w:t>4 посилання на судову практику</w:t>
            </w:r>
          </w:p>
        </w:tc>
        <w:tc>
          <w:tcPr>
            <w:tcW w:w="2127" w:type="dxa"/>
            <w:shd w:val="clear" w:color="auto" w:fill="auto"/>
          </w:tcPr>
          <w:p w:rsidR="00C73E31" w:rsidRPr="00B1361B" w:rsidRDefault="00383249" w:rsidP="00383249">
            <w:pPr>
              <w:pStyle w:val="normal"/>
              <w:spacing w:before="120"/>
              <w:jc w:val="both"/>
              <w:rPr>
                <w:color w:val="auto"/>
                <w:lang w:val="uk-UA"/>
              </w:rPr>
            </w:pPr>
            <w:r>
              <w:rPr>
                <w:color w:val="auto"/>
                <w:lang w:val="uk-UA"/>
              </w:rPr>
              <w:t>Вилучити, конкретизувавши наслідки невиконання публічного зобов’язання (нікчемний або недійсний)</w:t>
            </w:r>
          </w:p>
        </w:tc>
        <w:tc>
          <w:tcPr>
            <w:tcW w:w="2834" w:type="dxa"/>
            <w:shd w:val="clear" w:color="auto" w:fill="auto"/>
          </w:tcPr>
          <w:p w:rsidR="00383249" w:rsidRDefault="00383249" w:rsidP="00383249">
            <w:pPr>
              <w:pStyle w:val="normal"/>
              <w:spacing w:before="120"/>
              <w:jc w:val="both"/>
              <w:rPr>
                <w:color w:val="auto"/>
                <w:lang w:val="uk-UA"/>
              </w:rPr>
            </w:pPr>
            <w:r>
              <w:rPr>
                <w:color w:val="auto"/>
                <w:lang w:val="uk-UA"/>
              </w:rPr>
              <w:t>ЦКУ визначається, що умови публічного договору є обов’язковими та у випадку їх невідповідності законодавству, є нікчемними.</w:t>
            </w:r>
          </w:p>
          <w:p w:rsidR="00383249" w:rsidRDefault="00383249" w:rsidP="00383249">
            <w:pPr>
              <w:pStyle w:val="normal"/>
              <w:spacing w:before="120"/>
              <w:jc w:val="both"/>
              <w:rPr>
                <w:color w:val="auto"/>
                <w:lang w:val="uk-UA"/>
              </w:rPr>
            </w:pPr>
            <w:r>
              <w:rPr>
                <w:color w:val="auto"/>
                <w:lang w:val="uk-UA"/>
              </w:rPr>
              <w:t>ГКУ такі умови можуть визнаватися за рішенням суду недійсними.</w:t>
            </w:r>
          </w:p>
          <w:p w:rsidR="00383249" w:rsidRPr="00B1361B" w:rsidRDefault="00383249" w:rsidP="00383249">
            <w:pPr>
              <w:pStyle w:val="normal"/>
              <w:spacing w:before="120"/>
              <w:jc w:val="both"/>
              <w:rPr>
                <w:color w:val="auto"/>
                <w:lang w:val="uk-UA"/>
              </w:rPr>
            </w:pPr>
          </w:p>
        </w:tc>
      </w:tr>
    </w:tbl>
    <w:p w:rsidR="00811A01" w:rsidRPr="00B1361B" w:rsidRDefault="00811A01">
      <w:pPr>
        <w:pStyle w:val="normal"/>
        <w:spacing w:before="120"/>
        <w:jc w:val="both"/>
        <w:rPr>
          <w:color w:val="auto"/>
          <w:lang w:val="uk-UA"/>
        </w:rPr>
      </w:pPr>
    </w:p>
    <w:sectPr w:rsidR="00811A01" w:rsidRPr="00B1361B" w:rsidSect="00160B24">
      <w:headerReference w:type="default" r:id="rId8"/>
      <w:pgSz w:w="16840" w:h="11900"/>
      <w:pgMar w:top="851" w:right="1134" w:bottom="850"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CF" w:rsidRDefault="00486ECF" w:rsidP="00820492">
      <w:r>
        <w:separator/>
      </w:r>
    </w:p>
  </w:endnote>
  <w:endnote w:type="continuationSeparator" w:id="0">
    <w:p w:rsidR="00486ECF" w:rsidRDefault="00486ECF" w:rsidP="008204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CF" w:rsidRDefault="00486ECF" w:rsidP="00820492">
      <w:r>
        <w:separator/>
      </w:r>
    </w:p>
  </w:footnote>
  <w:footnote w:type="continuationSeparator" w:id="0">
    <w:p w:rsidR="00486ECF" w:rsidRDefault="00486ECF" w:rsidP="00820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577"/>
      <w:docPartObj>
        <w:docPartGallery w:val="Page Numbers (Top of Page)"/>
        <w:docPartUnique/>
      </w:docPartObj>
    </w:sdtPr>
    <w:sdtContent>
      <w:p w:rsidR="00486ECF" w:rsidRPr="00DC5072" w:rsidRDefault="00486ECF" w:rsidP="00DC5072">
        <w:pPr>
          <w:pStyle w:val="aa"/>
          <w:jc w:val="center"/>
        </w:pPr>
        <w:fldSimple w:instr=" PAGE   \* MERGEFORMAT ">
          <w:r w:rsidR="006A59B1">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C29"/>
    <w:multiLevelType w:val="multilevel"/>
    <w:tmpl w:val="11FC4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11A01"/>
    <w:rsid w:val="000034C0"/>
    <w:rsid w:val="00014F42"/>
    <w:rsid w:val="00037A4E"/>
    <w:rsid w:val="0007129E"/>
    <w:rsid w:val="000B4033"/>
    <w:rsid w:val="00117B11"/>
    <w:rsid w:val="00122F0C"/>
    <w:rsid w:val="00144319"/>
    <w:rsid w:val="00147A78"/>
    <w:rsid w:val="00160B24"/>
    <w:rsid w:val="001A34D3"/>
    <w:rsid w:val="002348E5"/>
    <w:rsid w:val="0031639B"/>
    <w:rsid w:val="00322F4D"/>
    <w:rsid w:val="00380C8B"/>
    <w:rsid w:val="00383249"/>
    <w:rsid w:val="00461AD1"/>
    <w:rsid w:val="00486ECF"/>
    <w:rsid w:val="005114E5"/>
    <w:rsid w:val="005B3D20"/>
    <w:rsid w:val="006727A2"/>
    <w:rsid w:val="006A1FB5"/>
    <w:rsid w:val="006A59B1"/>
    <w:rsid w:val="006E1749"/>
    <w:rsid w:val="006E7090"/>
    <w:rsid w:val="00732776"/>
    <w:rsid w:val="00747C27"/>
    <w:rsid w:val="007511C5"/>
    <w:rsid w:val="00776F54"/>
    <w:rsid w:val="00795FF1"/>
    <w:rsid w:val="007A0A6F"/>
    <w:rsid w:val="00811A01"/>
    <w:rsid w:val="00820492"/>
    <w:rsid w:val="008B158D"/>
    <w:rsid w:val="008B529C"/>
    <w:rsid w:val="008C43EB"/>
    <w:rsid w:val="0093594E"/>
    <w:rsid w:val="009611E7"/>
    <w:rsid w:val="00982AE0"/>
    <w:rsid w:val="009A1D47"/>
    <w:rsid w:val="009B5372"/>
    <w:rsid w:val="009F0242"/>
    <w:rsid w:val="00A00646"/>
    <w:rsid w:val="00A00765"/>
    <w:rsid w:val="00A54341"/>
    <w:rsid w:val="00B1361B"/>
    <w:rsid w:val="00B742CD"/>
    <w:rsid w:val="00B857D8"/>
    <w:rsid w:val="00BA00DA"/>
    <w:rsid w:val="00BB3425"/>
    <w:rsid w:val="00C721E5"/>
    <w:rsid w:val="00C73E31"/>
    <w:rsid w:val="00CD4999"/>
    <w:rsid w:val="00DC5072"/>
    <w:rsid w:val="00DE362B"/>
    <w:rsid w:val="00ED1B6B"/>
    <w:rsid w:val="00F03161"/>
    <w:rsid w:val="00F258B5"/>
    <w:rsid w:val="00F60DE5"/>
    <w:rsid w:val="00F8613A"/>
    <w:rsid w:val="00FF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2B"/>
  </w:style>
  <w:style w:type="paragraph" w:styleId="1">
    <w:name w:val="heading 1"/>
    <w:basedOn w:val="normal"/>
    <w:next w:val="normal"/>
    <w:rsid w:val="00DE362B"/>
    <w:pPr>
      <w:keepNext/>
      <w:keepLines/>
      <w:spacing w:before="480" w:after="120"/>
      <w:outlineLvl w:val="0"/>
    </w:pPr>
    <w:rPr>
      <w:b/>
      <w:sz w:val="48"/>
      <w:szCs w:val="48"/>
    </w:rPr>
  </w:style>
  <w:style w:type="paragraph" w:styleId="2">
    <w:name w:val="heading 2"/>
    <w:basedOn w:val="normal"/>
    <w:next w:val="normal"/>
    <w:rsid w:val="00DE362B"/>
    <w:pPr>
      <w:keepNext/>
      <w:keepLines/>
      <w:spacing w:before="360" w:after="80"/>
      <w:outlineLvl w:val="1"/>
    </w:pPr>
    <w:rPr>
      <w:b/>
      <w:sz w:val="36"/>
      <w:szCs w:val="36"/>
    </w:rPr>
  </w:style>
  <w:style w:type="paragraph" w:styleId="3">
    <w:name w:val="heading 3"/>
    <w:basedOn w:val="normal"/>
    <w:next w:val="normal"/>
    <w:rsid w:val="00DE362B"/>
    <w:pPr>
      <w:keepNext/>
      <w:keepLines/>
      <w:spacing w:before="280" w:after="80"/>
      <w:outlineLvl w:val="2"/>
    </w:pPr>
    <w:rPr>
      <w:b/>
      <w:sz w:val="28"/>
      <w:szCs w:val="28"/>
    </w:rPr>
  </w:style>
  <w:style w:type="paragraph" w:styleId="4">
    <w:name w:val="heading 4"/>
    <w:basedOn w:val="normal"/>
    <w:next w:val="normal"/>
    <w:rsid w:val="00DE362B"/>
    <w:pPr>
      <w:keepNext/>
      <w:keepLines/>
      <w:spacing w:before="240" w:after="40"/>
      <w:outlineLvl w:val="3"/>
    </w:pPr>
    <w:rPr>
      <w:b/>
    </w:rPr>
  </w:style>
  <w:style w:type="paragraph" w:styleId="5">
    <w:name w:val="heading 5"/>
    <w:basedOn w:val="normal"/>
    <w:next w:val="normal"/>
    <w:rsid w:val="00DE362B"/>
    <w:pPr>
      <w:keepNext/>
      <w:keepLines/>
      <w:spacing w:before="220" w:after="40"/>
      <w:outlineLvl w:val="4"/>
    </w:pPr>
    <w:rPr>
      <w:b/>
      <w:sz w:val="22"/>
      <w:szCs w:val="22"/>
    </w:rPr>
  </w:style>
  <w:style w:type="paragraph" w:styleId="6">
    <w:name w:val="heading 6"/>
    <w:basedOn w:val="normal"/>
    <w:next w:val="normal"/>
    <w:rsid w:val="00DE36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362B"/>
  </w:style>
  <w:style w:type="table" w:customStyle="1" w:styleId="TableNormal">
    <w:name w:val="Table Normal"/>
    <w:rsid w:val="00DE362B"/>
    <w:tblPr>
      <w:tblCellMar>
        <w:top w:w="0" w:type="dxa"/>
        <w:left w:w="0" w:type="dxa"/>
        <w:bottom w:w="0" w:type="dxa"/>
        <w:right w:w="0" w:type="dxa"/>
      </w:tblCellMar>
    </w:tblPr>
  </w:style>
  <w:style w:type="paragraph" w:styleId="a3">
    <w:name w:val="Title"/>
    <w:basedOn w:val="normal"/>
    <w:next w:val="normal"/>
    <w:rsid w:val="00DE362B"/>
    <w:pPr>
      <w:keepNext/>
      <w:keepLines/>
      <w:spacing w:before="480" w:after="120"/>
    </w:pPr>
    <w:rPr>
      <w:b/>
      <w:sz w:val="72"/>
      <w:szCs w:val="72"/>
    </w:rPr>
  </w:style>
  <w:style w:type="paragraph" w:styleId="a4">
    <w:name w:val="Subtitle"/>
    <w:basedOn w:val="normal"/>
    <w:next w:val="normal"/>
    <w:rsid w:val="00DE362B"/>
    <w:pPr>
      <w:keepNext/>
      <w:keepLines/>
      <w:spacing w:before="360" w:after="80"/>
    </w:pPr>
    <w:rPr>
      <w:rFonts w:ascii="Georgia" w:eastAsia="Georgia" w:hAnsi="Georgia" w:cs="Georgia"/>
      <w:i/>
      <w:color w:val="666666"/>
      <w:sz w:val="48"/>
      <w:szCs w:val="48"/>
    </w:rPr>
  </w:style>
  <w:style w:type="table" w:customStyle="1" w:styleId="a5">
    <w:basedOn w:val="TableNormal"/>
    <w:rsid w:val="00DE362B"/>
    <w:tblPr>
      <w:tblStyleRowBandSize w:val="1"/>
      <w:tblStyleColBandSize w:val="1"/>
      <w:tblCellMar>
        <w:top w:w="0" w:type="dxa"/>
        <w:left w:w="115" w:type="dxa"/>
        <w:bottom w:w="0" w:type="dxa"/>
        <w:right w:w="115" w:type="dxa"/>
      </w:tblCellMar>
    </w:tblPr>
  </w:style>
  <w:style w:type="table" w:customStyle="1" w:styleId="a6">
    <w:basedOn w:val="TableNormal"/>
    <w:rsid w:val="00DE362B"/>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виноски Знак"/>
    <w:basedOn w:val="a0"/>
    <w:link w:val="a7"/>
    <w:uiPriority w:val="99"/>
    <w:rsid w:val="00820492"/>
  </w:style>
  <w:style w:type="character" w:styleId="a9">
    <w:name w:val="footnote reference"/>
    <w:basedOn w:val="a0"/>
    <w:uiPriority w:val="99"/>
    <w:unhideWhenUsed/>
    <w:rsid w:val="00820492"/>
    <w:rPr>
      <w:vertAlign w:val="superscript"/>
    </w:rPr>
  </w:style>
  <w:style w:type="paragraph" w:styleId="aa">
    <w:name w:val="header"/>
    <w:basedOn w:val="a"/>
    <w:link w:val="ab"/>
    <w:uiPriority w:val="99"/>
    <w:unhideWhenUsed/>
    <w:rsid w:val="00160B24"/>
    <w:pPr>
      <w:tabs>
        <w:tab w:val="center" w:pos="4677"/>
        <w:tab w:val="right" w:pos="9355"/>
      </w:tabs>
    </w:pPr>
  </w:style>
  <w:style w:type="character" w:customStyle="1" w:styleId="ab">
    <w:name w:val="Верхній колонтитул Знак"/>
    <w:basedOn w:val="a0"/>
    <w:link w:val="aa"/>
    <w:uiPriority w:val="99"/>
    <w:rsid w:val="00160B24"/>
  </w:style>
  <w:style w:type="paragraph" w:styleId="ac">
    <w:name w:val="footer"/>
    <w:basedOn w:val="a"/>
    <w:link w:val="ad"/>
    <w:uiPriority w:val="99"/>
    <w:semiHidden/>
    <w:unhideWhenUsed/>
    <w:rsid w:val="00160B24"/>
    <w:pPr>
      <w:tabs>
        <w:tab w:val="center" w:pos="4677"/>
        <w:tab w:val="right" w:pos="9355"/>
      </w:tabs>
    </w:pPr>
  </w:style>
  <w:style w:type="character" w:customStyle="1" w:styleId="ad">
    <w:name w:val="Нижній колонтитул Знак"/>
    <w:basedOn w:val="a0"/>
    <w:link w:val="ac"/>
    <w:uiPriority w:val="99"/>
    <w:semiHidden/>
    <w:rsid w:val="00160B24"/>
  </w:style>
  <w:style w:type="paragraph" w:styleId="ae">
    <w:name w:val="Balloon Text"/>
    <w:basedOn w:val="a"/>
    <w:link w:val="af"/>
    <w:uiPriority w:val="99"/>
    <w:semiHidden/>
    <w:unhideWhenUsed/>
    <w:rsid w:val="00DC5072"/>
    <w:rPr>
      <w:rFonts w:ascii="Tahoma" w:hAnsi="Tahoma" w:cs="Tahoma"/>
      <w:sz w:val="16"/>
      <w:szCs w:val="16"/>
    </w:rPr>
  </w:style>
  <w:style w:type="character" w:customStyle="1" w:styleId="af">
    <w:name w:val="Текст у виносці Знак"/>
    <w:basedOn w:val="a0"/>
    <w:link w:val="ae"/>
    <w:uiPriority w:val="99"/>
    <w:semiHidden/>
    <w:rsid w:val="00DC50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с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9077C-4299-4696-B1B9-47C23E96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10</Pages>
  <Words>7832</Words>
  <Characters>4465</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Софія Прокопчук</dc:creator>
  <cp:lastModifiedBy>Софія Прокопчук (RMJ-2109 - s.prokopchuk)</cp:lastModifiedBy>
  <cp:revision>6</cp:revision>
  <dcterms:created xsi:type="dcterms:W3CDTF">2016-03-24T14:37:00Z</dcterms:created>
  <dcterms:modified xsi:type="dcterms:W3CDTF">2016-03-25T10:02:00Z</dcterms:modified>
</cp:coreProperties>
</file>