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91" w:rsidRPr="008B273E" w:rsidRDefault="00965391" w:rsidP="00965391">
      <w:pPr>
        <w:spacing w:after="0" w:line="240" w:lineRule="auto"/>
        <w:jc w:val="center"/>
        <w:rPr>
          <w:rFonts w:ascii="Times New Roman" w:eastAsia="Calibri" w:hAnsi="Times New Roman" w:cs="Times New Roman"/>
          <w:b/>
          <w:sz w:val="28"/>
          <w:szCs w:val="28"/>
        </w:rPr>
      </w:pPr>
      <w:bookmarkStart w:id="0" w:name="_GoBack"/>
      <w:bookmarkEnd w:id="0"/>
      <w:r w:rsidRPr="008B273E">
        <w:rPr>
          <w:rFonts w:ascii="Times New Roman" w:eastAsia="Calibri" w:hAnsi="Times New Roman" w:cs="Times New Roman"/>
          <w:b/>
          <w:sz w:val="28"/>
          <w:szCs w:val="28"/>
        </w:rPr>
        <w:t>ПОРІВНЯЛЬНА ТАБЛИЦЯ</w:t>
      </w:r>
    </w:p>
    <w:p w:rsidR="00965391" w:rsidRPr="008B273E" w:rsidRDefault="00965391" w:rsidP="00965391">
      <w:pPr>
        <w:spacing w:after="0" w:line="240" w:lineRule="auto"/>
        <w:jc w:val="center"/>
        <w:rPr>
          <w:rFonts w:ascii="Times New Roman" w:eastAsia="Calibri" w:hAnsi="Times New Roman" w:cs="Times New Roman"/>
          <w:b/>
          <w:sz w:val="28"/>
          <w:szCs w:val="28"/>
        </w:rPr>
      </w:pPr>
      <w:r w:rsidRPr="008B273E">
        <w:rPr>
          <w:rFonts w:ascii="Times New Roman" w:eastAsia="Calibri" w:hAnsi="Times New Roman" w:cs="Times New Roman"/>
          <w:b/>
          <w:sz w:val="28"/>
          <w:szCs w:val="28"/>
        </w:rPr>
        <w:t xml:space="preserve">до проекту постанови Кабінету Міністрів України </w:t>
      </w:r>
    </w:p>
    <w:p w:rsidR="00965391" w:rsidRPr="008B273E" w:rsidRDefault="00965391" w:rsidP="00965391">
      <w:pPr>
        <w:spacing w:after="0" w:line="240" w:lineRule="auto"/>
        <w:jc w:val="center"/>
        <w:rPr>
          <w:rFonts w:ascii="Times New Roman" w:eastAsia="Calibri" w:hAnsi="Times New Roman" w:cs="Times New Roman"/>
          <w:b/>
          <w:sz w:val="28"/>
          <w:szCs w:val="28"/>
        </w:rPr>
      </w:pPr>
      <w:r w:rsidRPr="008B273E">
        <w:rPr>
          <w:rFonts w:ascii="Times New Roman" w:eastAsia="Calibri" w:hAnsi="Times New Roman" w:cs="Times New Roman"/>
          <w:b/>
          <w:sz w:val="28"/>
          <w:szCs w:val="28"/>
        </w:rPr>
        <w:t>«Про внесення змін до постанов Кабінету Міністрів України від 06 серпня 2014р. №409</w:t>
      </w:r>
      <w:r w:rsidR="005F368D" w:rsidRPr="008B273E">
        <w:rPr>
          <w:rFonts w:ascii="Times New Roman" w:eastAsia="Calibri" w:hAnsi="Times New Roman" w:cs="Times New Roman"/>
          <w:b/>
          <w:sz w:val="28"/>
          <w:szCs w:val="28"/>
        </w:rPr>
        <w:t xml:space="preserve"> та</w:t>
      </w:r>
      <w:r w:rsidRPr="008B273E">
        <w:rPr>
          <w:rFonts w:ascii="Times New Roman" w:eastAsia="Calibri" w:hAnsi="Times New Roman" w:cs="Times New Roman"/>
          <w:b/>
          <w:sz w:val="28"/>
          <w:szCs w:val="28"/>
        </w:rPr>
        <w:t xml:space="preserve"> від</w:t>
      </w:r>
      <w:r w:rsidR="005F368D" w:rsidRPr="008B273E">
        <w:rPr>
          <w:rFonts w:ascii="Times New Roman" w:eastAsia="Calibri" w:hAnsi="Times New Roman" w:cs="Times New Roman"/>
          <w:b/>
          <w:sz w:val="28"/>
          <w:szCs w:val="28"/>
        </w:rPr>
        <w:t xml:space="preserve"> 23 березня 2016р. №203</w:t>
      </w:r>
      <w:r w:rsidRPr="008B273E">
        <w:rPr>
          <w:rFonts w:ascii="Times New Roman" w:eastAsia="Calibri" w:hAnsi="Times New Roman" w:cs="Times New Roman"/>
          <w:b/>
          <w:sz w:val="28"/>
          <w:szCs w:val="28"/>
        </w:rPr>
        <w:t>»</w:t>
      </w:r>
    </w:p>
    <w:p w:rsidR="00965391" w:rsidRPr="008B273E" w:rsidRDefault="00965391" w:rsidP="00965391">
      <w:pPr>
        <w:spacing w:after="0" w:line="240" w:lineRule="auto"/>
        <w:jc w:val="center"/>
        <w:rPr>
          <w:rFonts w:ascii="Times New Roman" w:eastAsia="Calibri" w:hAnsi="Times New Roman" w:cs="Times New Roman"/>
          <w:b/>
          <w:sz w:val="28"/>
          <w:szCs w:val="28"/>
        </w:rPr>
      </w:pPr>
    </w:p>
    <w:tbl>
      <w:tblPr>
        <w:tblStyle w:val="TableGrid"/>
        <w:tblW w:w="0" w:type="auto"/>
        <w:tblLook w:val="04A0" w:firstRow="1" w:lastRow="0" w:firstColumn="1" w:lastColumn="0" w:noHBand="0" w:noVBand="1"/>
      </w:tblPr>
      <w:tblGrid>
        <w:gridCol w:w="7677"/>
        <w:gridCol w:w="7677"/>
      </w:tblGrid>
      <w:tr w:rsidR="00965391" w:rsidRPr="008B273E" w:rsidTr="005F368D">
        <w:trPr>
          <w:tblHeader/>
        </w:trPr>
        <w:tc>
          <w:tcPr>
            <w:tcW w:w="7677" w:type="dxa"/>
          </w:tcPr>
          <w:p w:rsidR="00965391" w:rsidRPr="008B273E" w:rsidRDefault="00965391" w:rsidP="00965391">
            <w:pPr>
              <w:jc w:val="center"/>
              <w:rPr>
                <w:rFonts w:ascii="Times New Roman" w:eastAsia="Calibri" w:hAnsi="Times New Roman" w:cs="Times New Roman"/>
                <w:sz w:val="24"/>
                <w:szCs w:val="24"/>
              </w:rPr>
            </w:pPr>
            <w:r w:rsidRPr="008B273E">
              <w:rPr>
                <w:rFonts w:ascii="Times New Roman" w:eastAsia="Calibri" w:hAnsi="Times New Roman" w:cs="Times New Roman"/>
                <w:sz w:val="24"/>
                <w:szCs w:val="24"/>
              </w:rPr>
              <w:t>Зміст положення (норми) чинного</w:t>
            </w:r>
          </w:p>
          <w:p w:rsidR="00965391" w:rsidRPr="008B273E" w:rsidRDefault="00965391" w:rsidP="00965391">
            <w:pPr>
              <w:jc w:val="center"/>
            </w:pPr>
            <w:proofErr w:type="spellStart"/>
            <w:r w:rsidRPr="008B273E">
              <w:rPr>
                <w:rFonts w:ascii="Times New Roman" w:eastAsia="Calibri" w:hAnsi="Times New Roman" w:cs="Times New Roman"/>
                <w:sz w:val="24"/>
                <w:szCs w:val="24"/>
              </w:rPr>
              <w:t>акта</w:t>
            </w:r>
            <w:proofErr w:type="spellEnd"/>
            <w:r w:rsidRPr="008B273E">
              <w:rPr>
                <w:rFonts w:ascii="Times New Roman" w:eastAsia="Calibri" w:hAnsi="Times New Roman" w:cs="Times New Roman"/>
                <w:sz w:val="24"/>
                <w:szCs w:val="24"/>
              </w:rPr>
              <w:t xml:space="preserve"> законодавства</w:t>
            </w:r>
          </w:p>
        </w:tc>
        <w:tc>
          <w:tcPr>
            <w:tcW w:w="7677" w:type="dxa"/>
          </w:tcPr>
          <w:p w:rsidR="00965391" w:rsidRPr="008B273E" w:rsidRDefault="00965391" w:rsidP="00965391">
            <w:pPr>
              <w:jc w:val="center"/>
              <w:rPr>
                <w:rFonts w:ascii="Times New Roman" w:eastAsia="Calibri" w:hAnsi="Times New Roman" w:cs="Times New Roman"/>
                <w:sz w:val="24"/>
                <w:szCs w:val="24"/>
              </w:rPr>
            </w:pPr>
            <w:r w:rsidRPr="008B273E">
              <w:rPr>
                <w:rFonts w:ascii="Times New Roman" w:eastAsia="Calibri" w:hAnsi="Times New Roman" w:cs="Times New Roman"/>
                <w:sz w:val="24"/>
                <w:szCs w:val="24"/>
              </w:rPr>
              <w:t xml:space="preserve">Зміст запропонованого положення </w:t>
            </w:r>
          </w:p>
          <w:p w:rsidR="00965391" w:rsidRPr="008B273E" w:rsidRDefault="00965391" w:rsidP="00965391">
            <w:pPr>
              <w:jc w:val="center"/>
            </w:pPr>
            <w:r w:rsidRPr="008B273E">
              <w:rPr>
                <w:rFonts w:ascii="Times New Roman" w:eastAsia="Calibri" w:hAnsi="Times New Roman" w:cs="Times New Roman"/>
                <w:sz w:val="24"/>
                <w:szCs w:val="24"/>
              </w:rPr>
              <w:t xml:space="preserve">(норми) проекту </w:t>
            </w:r>
            <w:proofErr w:type="spellStart"/>
            <w:r w:rsidRPr="008B273E">
              <w:rPr>
                <w:rFonts w:ascii="Times New Roman" w:eastAsia="Calibri" w:hAnsi="Times New Roman" w:cs="Times New Roman"/>
                <w:sz w:val="24"/>
                <w:szCs w:val="24"/>
              </w:rPr>
              <w:t>акта</w:t>
            </w:r>
            <w:proofErr w:type="spellEnd"/>
          </w:p>
        </w:tc>
      </w:tr>
      <w:tr w:rsidR="00965391" w:rsidRPr="008B273E" w:rsidTr="00672A5F">
        <w:tc>
          <w:tcPr>
            <w:tcW w:w="15354" w:type="dxa"/>
            <w:gridSpan w:val="2"/>
          </w:tcPr>
          <w:p w:rsidR="00965391" w:rsidRPr="008B273E" w:rsidRDefault="00965391" w:rsidP="00965391">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 xml:space="preserve">Постанова Кабінету Міністрів України </w:t>
            </w:r>
          </w:p>
          <w:p w:rsidR="00965391" w:rsidRPr="008B273E" w:rsidRDefault="00965391" w:rsidP="00965391">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від 06.08.2014 №409</w:t>
            </w:r>
          </w:p>
          <w:p w:rsidR="00965391" w:rsidRPr="008B273E" w:rsidRDefault="00965391" w:rsidP="00965391">
            <w:pPr>
              <w:jc w:val="center"/>
            </w:pPr>
            <w:r w:rsidRPr="008B273E">
              <w:rPr>
                <w:rFonts w:ascii="Times New Roman" w:eastAsia="Calibri" w:hAnsi="Times New Roman" w:cs="Times New Roman"/>
                <w:b/>
                <w:bCs/>
                <w:iCs/>
                <w:sz w:val="28"/>
                <w:szCs w:val="28"/>
                <w:lang w:eastAsia="ru-RU"/>
              </w:rPr>
              <w:t>«Про встановлення державних соціальних стандартів у сфері житлово-комунального обслуговування»</w:t>
            </w:r>
          </w:p>
        </w:tc>
      </w:tr>
      <w:tr w:rsidR="00965391" w:rsidRPr="008B273E" w:rsidTr="00965391">
        <w:tc>
          <w:tcPr>
            <w:tcW w:w="7677" w:type="dxa"/>
          </w:tcPr>
          <w:p w:rsidR="00965391" w:rsidRPr="008B273E" w:rsidRDefault="00965391" w:rsidP="00965391">
            <w:pPr>
              <w:pStyle w:val="NormalWeb"/>
              <w:jc w:val="both"/>
            </w:pPr>
            <w:r w:rsidRPr="008B273E">
              <w:t xml:space="preserve">З метою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відповідно до статей 5 і 9 Закону України "Про державні соціальні стандарти та державні соціальні гарантії" Кабінет Міністрів України </w:t>
            </w:r>
            <w:r w:rsidRPr="008B273E">
              <w:rPr>
                <w:bCs/>
              </w:rPr>
              <w:t>постановляє</w:t>
            </w:r>
            <w:r w:rsidRPr="008B273E">
              <w:t>:</w:t>
            </w:r>
          </w:p>
        </w:tc>
        <w:tc>
          <w:tcPr>
            <w:tcW w:w="7677" w:type="dxa"/>
          </w:tcPr>
          <w:p w:rsidR="00965391" w:rsidRPr="008B273E" w:rsidRDefault="008D56A4">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З метою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відповідно до статей 5 і 9 Закону України "Про державні соціальні стандарти та державні соціальні гарантії" Кабінет Міністрів України постановляє:</w:t>
            </w:r>
          </w:p>
        </w:tc>
      </w:tr>
      <w:tr w:rsidR="00965391" w:rsidRPr="008B273E" w:rsidTr="00965391">
        <w:tc>
          <w:tcPr>
            <w:tcW w:w="7677" w:type="dxa"/>
          </w:tcPr>
          <w:p w:rsidR="00965391" w:rsidRPr="008B273E" w:rsidRDefault="00965391" w:rsidP="00965391">
            <w:pPr>
              <w:pStyle w:val="NormalWeb"/>
              <w:jc w:val="both"/>
            </w:pPr>
            <w:r w:rsidRPr="008B273E">
              <w:t>1. Установити громадянам, які відповідно до законодавства мають субсидію на оплату житлово-комунальних послуг, соціальну норму житла для:</w:t>
            </w:r>
          </w:p>
          <w:p w:rsidR="00965391" w:rsidRPr="008B273E" w:rsidRDefault="00965391" w:rsidP="00965391">
            <w:pPr>
              <w:pStyle w:val="NormalWeb"/>
              <w:jc w:val="both"/>
            </w:pPr>
            <w:r w:rsidRPr="008B273E">
              <w:t xml:space="preserve">1) оплати користування житлом/утримання житла, управління багатоквартирним будинком - 13,65 </w:t>
            </w:r>
            <w:proofErr w:type="spellStart"/>
            <w:r w:rsidRPr="008B273E">
              <w:t>кв</w:t>
            </w:r>
            <w:proofErr w:type="spellEnd"/>
            <w:r w:rsidRPr="008B273E">
              <w:t xml:space="preserve">. метра загальної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965391" w:rsidP="00965391">
            <w:pPr>
              <w:pStyle w:val="NormalWeb"/>
              <w:jc w:val="both"/>
            </w:pPr>
            <w:r w:rsidRPr="008B273E">
              <w:t xml:space="preserve">2) централізованого та індивідуального опалення (теплопостачання) незалежно від джерела та виду енергії - 13,65 </w:t>
            </w:r>
            <w:proofErr w:type="spellStart"/>
            <w:r w:rsidRPr="008B273E">
              <w:t>кв</w:t>
            </w:r>
            <w:proofErr w:type="spellEnd"/>
            <w:r w:rsidRPr="008B273E">
              <w:t xml:space="preserve">. метра опалюваної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965391" w:rsidP="00965391">
            <w:pPr>
              <w:pStyle w:val="NormalWeb"/>
              <w:jc w:val="both"/>
            </w:pPr>
            <w:r w:rsidRPr="008B273E">
              <w:t xml:space="preserve">Для домогосподарств, що складаються з однієї або двох непрацездатних осіб, зазначена норма становить 75 </w:t>
            </w:r>
            <w:proofErr w:type="spellStart"/>
            <w:r w:rsidRPr="008B273E">
              <w:t>кв</w:t>
            </w:r>
            <w:proofErr w:type="spellEnd"/>
            <w:r w:rsidRPr="008B273E">
              <w:t xml:space="preserve">. метрів на домогосподарство. </w:t>
            </w:r>
          </w:p>
        </w:tc>
        <w:tc>
          <w:tcPr>
            <w:tcW w:w="7677" w:type="dxa"/>
          </w:tcPr>
          <w:p w:rsidR="008D56A4" w:rsidRPr="008B273E" w:rsidRDefault="008D56A4" w:rsidP="008D56A4">
            <w:pPr>
              <w:pStyle w:val="NormalWeb"/>
              <w:jc w:val="both"/>
            </w:pPr>
            <w:r w:rsidRPr="008B273E">
              <w:t>1. Установити громадянам, які відповідно до законодавства мають субсидію на оплату житлово-комунальних послуг, соціальну норму житла для:</w:t>
            </w:r>
          </w:p>
          <w:p w:rsidR="008D56A4" w:rsidRPr="008B273E" w:rsidRDefault="008D56A4" w:rsidP="008D56A4">
            <w:pPr>
              <w:pStyle w:val="NormalWeb"/>
              <w:jc w:val="both"/>
            </w:pPr>
            <w:r w:rsidRPr="008B273E">
              <w:t xml:space="preserve">1) оплати користування житлом/утримання житла, управління багатоквартирним будинком - 13,65 </w:t>
            </w:r>
            <w:proofErr w:type="spellStart"/>
            <w:r w:rsidRPr="008B273E">
              <w:t>кв</w:t>
            </w:r>
            <w:proofErr w:type="spellEnd"/>
            <w:r w:rsidRPr="008B273E">
              <w:t xml:space="preserve">. метра загальної площі на одну особу та додатково 35,22 </w:t>
            </w:r>
            <w:proofErr w:type="spellStart"/>
            <w:r w:rsidRPr="008B273E">
              <w:t>кв</w:t>
            </w:r>
            <w:proofErr w:type="spellEnd"/>
            <w:r w:rsidRPr="008B273E">
              <w:t>. метра на домогосподарство;</w:t>
            </w:r>
          </w:p>
          <w:p w:rsidR="008D56A4" w:rsidRPr="008B273E" w:rsidRDefault="008D56A4" w:rsidP="008D56A4">
            <w:pPr>
              <w:pStyle w:val="NormalWeb"/>
              <w:jc w:val="both"/>
            </w:pPr>
            <w:r w:rsidRPr="008B273E">
              <w:t xml:space="preserve">2) централізованого та індивідуального опалення (теплопостачання) незалежно від джерела та виду енергії - 13,65 </w:t>
            </w:r>
            <w:proofErr w:type="spellStart"/>
            <w:r w:rsidRPr="008B273E">
              <w:t>кв</w:t>
            </w:r>
            <w:proofErr w:type="spellEnd"/>
            <w:r w:rsidRPr="008B273E">
              <w:t xml:space="preserve">. метра опалюваної площі на одну особу та додатково 35,22 </w:t>
            </w:r>
            <w:proofErr w:type="spellStart"/>
            <w:r w:rsidRPr="008B273E">
              <w:t>кв</w:t>
            </w:r>
            <w:proofErr w:type="spellEnd"/>
            <w:r w:rsidRPr="008B273E">
              <w:t>. метра на домогосподарство.</w:t>
            </w:r>
          </w:p>
          <w:p w:rsidR="00965391" w:rsidRPr="008B273E" w:rsidRDefault="008D56A4" w:rsidP="008D56A4">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 xml:space="preserve">Для домогосподарств, що складаються з однієї або двох непрацездатних осіб, зазначена норма становить 75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метрів на домогосподарство.</w:t>
            </w:r>
          </w:p>
        </w:tc>
      </w:tr>
      <w:tr w:rsidR="00965391" w:rsidRPr="008B273E" w:rsidTr="00965391">
        <w:tc>
          <w:tcPr>
            <w:tcW w:w="7677" w:type="dxa"/>
          </w:tcPr>
          <w:p w:rsidR="00965391" w:rsidRPr="008B273E" w:rsidRDefault="00965391" w:rsidP="00965391">
            <w:pPr>
              <w:pStyle w:val="NormalWeb"/>
              <w:jc w:val="both"/>
            </w:pPr>
            <w:r w:rsidRPr="008B273E">
              <w:t>2. Установити громадянам, які відповідно до законодавства мають пільги на оплату житлово-комунальних послуг, соціальну норму житла для:</w:t>
            </w:r>
          </w:p>
          <w:p w:rsidR="00965391" w:rsidRPr="008B273E" w:rsidRDefault="00965391" w:rsidP="00965391">
            <w:pPr>
              <w:pStyle w:val="NormalWeb"/>
              <w:jc w:val="both"/>
            </w:pPr>
            <w:r w:rsidRPr="008B273E">
              <w:lastRenderedPageBreak/>
              <w:t xml:space="preserve">1) оплати користування житлом/утримання житла, управління багатоквартирним будинком - 21 </w:t>
            </w:r>
            <w:proofErr w:type="spellStart"/>
            <w:r w:rsidRPr="008B273E">
              <w:t>кв</w:t>
            </w:r>
            <w:proofErr w:type="spellEnd"/>
            <w:r w:rsidRPr="008B273E">
              <w:t xml:space="preserve">. метр загальної площі на одну особу та додатково 10,5 </w:t>
            </w:r>
            <w:proofErr w:type="spellStart"/>
            <w:r w:rsidRPr="008B273E">
              <w:t>кв</w:t>
            </w:r>
            <w:proofErr w:type="spellEnd"/>
            <w:r w:rsidRPr="008B273E">
              <w:t>. метра на сім'ю;</w:t>
            </w:r>
          </w:p>
          <w:p w:rsidR="00965391" w:rsidRPr="008B273E" w:rsidRDefault="00965391" w:rsidP="00965391">
            <w:pPr>
              <w:pStyle w:val="NormalWeb"/>
              <w:jc w:val="both"/>
            </w:pPr>
            <w:r w:rsidRPr="008B273E">
              <w:t xml:space="preserve">2) централізованого та індивідуального опалення (теплопостачання) незалежно від джерела та виду енергії - 21 </w:t>
            </w:r>
            <w:proofErr w:type="spellStart"/>
            <w:r w:rsidRPr="008B273E">
              <w:t>кв</w:t>
            </w:r>
            <w:proofErr w:type="spellEnd"/>
            <w:r w:rsidRPr="008B273E">
              <w:t xml:space="preserve">. метр опалюваної площі на одну особу та додатково 10,5 </w:t>
            </w:r>
            <w:proofErr w:type="spellStart"/>
            <w:r w:rsidRPr="008B273E">
              <w:t>кв</w:t>
            </w:r>
            <w:proofErr w:type="spellEnd"/>
            <w:r w:rsidRPr="008B273E">
              <w:t>. метра на сім'ю.</w:t>
            </w:r>
          </w:p>
          <w:p w:rsidR="00965391" w:rsidRPr="008B273E" w:rsidRDefault="00965391" w:rsidP="008D56A4">
            <w:pPr>
              <w:pStyle w:val="NormalWeb"/>
              <w:jc w:val="both"/>
            </w:pPr>
            <w:r w:rsidRPr="008B273E">
              <w:t>Для сімей ветеранів війни, жертв нацистських переслідувань, що складаються лише з непрацездатних осіб (статті 12, 13, 14 і 15 Закону України "Про статус ветеранів війни, гарантії їх соціального захисту" та статті 6</w:t>
            </w:r>
            <w:r w:rsidRPr="008B273E">
              <w:rPr>
                <w:vertAlign w:val="superscript"/>
              </w:rPr>
              <w:t>1</w:t>
            </w:r>
            <w:r w:rsidRPr="008B273E">
              <w:t>, 6</w:t>
            </w:r>
            <w:r w:rsidRPr="008B273E">
              <w:rPr>
                <w:vertAlign w:val="superscript"/>
              </w:rPr>
              <w:t xml:space="preserve"> 2</w:t>
            </w:r>
            <w:r w:rsidRPr="008B273E">
              <w:t>, 6</w:t>
            </w:r>
            <w:r w:rsidRPr="008B273E">
              <w:rPr>
                <w:vertAlign w:val="superscript"/>
              </w:rPr>
              <w:t xml:space="preserve"> 3</w:t>
            </w:r>
            <w:r w:rsidRPr="008B273E">
              <w:t>, 6</w:t>
            </w:r>
            <w:r w:rsidRPr="008B273E">
              <w:rPr>
                <w:vertAlign w:val="superscript"/>
              </w:rPr>
              <w:t xml:space="preserve"> 4</w:t>
            </w:r>
            <w:r w:rsidRPr="008B273E">
              <w:t xml:space="preserve"> Закону України "Про жертви нацистських переслідувань"), у разі користування газопостачанням зазначена норма становить 42 </w:t>
            </w:r>
            <w:proofErr w:type="spellStart"/>
            <w:r w:rsidRPr="008B273E">
              <w:t>кв</w:t>
            </w:r>
            <w:proofErr w:type="spellEnd"/>
            <w:r w:rsidRPr="008B273E">
              <w:t xml:space="preserve">. метри опалюваної площі на одну особу, яка має право на знижку плати, та додатково 21 </w:t>
            </w:r>
            <w:proofErr w:type="spellStart"/>
            <w:r w:rsidRPr="008B273E">
              <w:t>кв</w:t>
            </w:r>
            <w:proofErr w:type="spellEnd"/>
            <w:r w:rsidRPr="008B273E">
              <w:t>. метр на сім'ю.</w:t>
            </w:r>
          </w:p>
        </w:tc>
        <w:tc>
          <w:tcPr>
            <w:tcW w:w="7677" w:type="dxa"/>
          </w:tcPr>
          <w:p w:rsidR="008D56A4" w:rsidRPr="008B273E" w:rsidRDefault="008D56A4" w:rsidP="008D56A4">
            <w:pPr>
              <w:pStyle w:val="NormalWeb"/>
              <w:jc w:val="both"/>
            </w:pPr>
            <w:r w:rsidRPr="008B273E">
              <w:lastRenderedPageBreak/>
              <w:t>2. Установити громадянам, які відповідно до законодавства мають пільги на оплату житлово-комунальних послуг, соціальну норму житла для:</w:t>
            </w:r>
          </w:p>
          <w:p w:rsidR="008D56A4" w:rsidRPr="008B273E" w:rsidRDefault="008D56A4" w:rsidP="008D56A4">
            <w:pPr>
              <w:pStyle w:val="NormalWeb"/>
              <w:jc w:val="both"/>
            </w:pPr>
            <w:r w:rsidRPr="008B273E">
              <w:lastRenderedPageBreak/>
              <w:t xml:space="preserve">1) оплати користування житлом/утримання житла, управління багатоквартирним будинком - 21 </w:t>
            </w:r>
            <w:proofErr w:type="spellStart"/>
            <w:r w:rsidRPr="008B273E">
              <w:t>кв</w:t>
            </w:r>
            <w:proofErr w:type="spellEnd"/>
            <w:r w:rsidRPr="008B273E">
              <w:t xml:space="preserve">. метр загальної площі на одну особу та додатково 10,5 </w:t>
            </w:r>
            <w:proofErr w:type="spellStart"/>
            <w:r w:rsidRPr="008B273E">
              <w:t>кв</w:t>
            </w:r>
            <w:proofErr w:type="spellEnd"/>
            <w:r w:rsidRPr="008B273E">
              <w:t>. метра на сім'ю;</w:t>
            </w:r>
          </w:p>
          <w:p w:rsidR="008D56A4" w:rsidRPr="008B273E" w:rsidRDefault="008D56A4" w:rsidP="008D56A4">
            <w:pPr>
              <w:pStyle w:val="NormalWeb"/>
              <w:jc w:val="both"/>
            </w:pPr>
            <w:r w:rsidRPr="008B273E">
              <w:t xml:space="preserve">2) централізованого та індивідуального опалення (теплопостачання) незалежно від джерела та виду енергії - 21 </w:t>
            </w:r>
            <w:proofErr w:type="spellStart"/>
            <w:r w:rsidRPr="008B273E">
              <w:t>кв</w:t>
            </w:r>
            <w:proofErr w:type="spellEnd"/>
            <w:r w:rsidRPr="008B273E">
              <w:t xml:space="preserve">. метр опалюваної площі на одну особу та додатково 10,5 </w:t>
            </w:r>
            <w:proofErr w:type="spellStart"/>
            <w:r w:rsidRPr="008B273E">
              <w:t>кв</w:t>
            </w:r>
            <w:proofErr w:type="spellEnd"/>
            <w:r w:rsidRPr="008B273E">
              <w:t>. метра на сім'ю.</w:t>
            </w:r>
          </w:p>
          <w:p w:rsidR="00965391" w:rsidRPr="008B273E" w:rsidRDefault="008D56A4" w:rsidP="008D56A4">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Для сімей ветеранів війни, жертв нацистських переслідувань, що складаються лише з непрацездатних осіб (статті 12, 13, 14 і 15 Закону України "Про статус ветеранів війни, гарантії їх соціального захисту" та статті 6</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2</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3</w:t>
            </w:r>
            <w:r w:rsidRPr="008B273E">
              <w:rPr>
                <w:rFonts w:ascii="Times New Roman" w:eastAsiaTheme="minorEastAsia" w:hAnsi="Times New Roman" w:cs="Times New Roman"/>
                <w:sz w:val="24"/>
                <w:szCs w:val="24"/>
                <w:lang w:eastAsia="uk-UA"/>
              </w:rPr>
              <w:t>, 6</w:t>
            </w:r>
            <w:r w:rsidRPr="008B273E">
              <w:rPr>
                <w:rFonts w:ascii="Times New Roman" w:eastAsiaTheme="minorEastAsia" w:hAnsi="Times New Roman" w:cs="Times New Roman"/>
                <w:sz w:val="24"/>
                <w:szCs w:val="24"/>
                <w:vertAlign w:val="superscript"/>
                <w:lang w:eastAsia="uk-UA"/>
              </w:rPr>
              <w:t>4</w:t>
            </w:r>
            <w:r w:rsidRPr="008B273E">
              <w:rPr>
                <w:rFonts w:ascii="Times New Roman" w:eastAsiaTheme="minorEastAsia" w:hAnsi="Times New Roman" w:cs="Times New Roman"/>
                <w:sz w:val="24"/>
                <w:szCs w:val="24"/>
                <w:lang w:eastAsia="uk-UA"/>
              </w:rPr>
              <w:t xml:space="preserve"> Закону України "Про жертви нацистських переслідувань"), у разі користування газопостачанням зазначена норма становить 42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xml:space="preserve">. метри опалюваної площі на одну особу, яка має право на знижку плати, та додатково 21 </w:t>
            </w:r>
            <w:proofErr w:type="spellStart"/>
            <w:r w:rsidRPr="008B273E">
              <w:rPr>
                <w:rFonts w:ascii="Times New Roman" w:eastAsiaTheme="minorEastAsia" w:hAnsi="Times New Roman" w:cs="Times New Roman"/>
                <w:sz w:val="24"/>
                <w:szCs w:val="24"/>
                <w:lang w:eastAsia="uk-UA"/>
              </w:rPr>
              <w:t>кв</w:t>
            </w:r>
            <w:proofErr w:type="spellEnd"/>
            <w:r w:rsidRPr="008B273E">
              <w:rPr>
                <w:rFonts w:ascii="Times New Roman" w:eastAsiaTheme="minorEastAsia" w:hAnsi="Times New Roman" w:cs="Times New Roman"/>
                <w:sz w:val="24"/>
                <w:szCs w:val="24"/>
                <w:lang w:eastAsia="uk-UA"/>
              </w:rPr>
              <w:t>. метр на сім'ю.</w:t>
            </w:r>
          </w:p>
        </w:tc>
      </w:tr>
      <w:tr w:rsidR="00965391" w:rsidRPr="008B273E" w:rsidTr="00965391">
        <w:tc>
          <w:tcPr>
            <w:tcW w:w="7677" w:type="dxa"/>
          </w:tcPr>
          <w:p w:rsidR="00965391" w:rsidRPr="008B273E" w:rsidRDefault="00965391" w:rsidP="00965391">
            <w:pPr>
              <w:pStyle w:val="NormalWeb"/>
              <w:jc w:val="both"/>
            </w:pPr>
            <w:r w:rsidRPr="008B273E">
              <w:lastRenderedPageBreak/>
              <w:t>3. Установити такі соціальні нормативи користування житлово-комунальними послугами, щодо оплати яких держава надає пільги та встановлює субсидії:</w:t>
            </w:r>
          </w:p>
        </w:tc>
        <w:tc>
          <w:tcPr>
            <w:tcW w:w="7677" w:type="dxa"/>
          </w:tcPr>
          <w:p w:rsidR="00965391" w:rsidRPr="008B273E" w:rsidRDefault="008D56A4" w:rsidP="008D56A4">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3. Установити такі соціальні нормативи користування житлово-комунальними послугами, щодо оплати яких держава надає пільги та встановлює субсидії:</w:t>
            </w:r>
          </w:p>
        </w:tc>
      </w:tr>
      <w:tr w:rsidR="00965391" w:rsidRPr="008B273E" w:rsidTr="00965391">
        <w:tc>
          <w:tcPr>
            <w:tcW w:w="7677" w:type="dxa"/>
          </w:tcPr>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1) для централізованого та індивідуального опалення (теплопостачання):</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теплової енергії для централізованого опалення (теплопостачання) абонентами, житлові будинки яких обладнані будинковими та/або квартирними приладами обліку, - 0,0431 </w:t>
            </w:r>
            <w:proofErr w:type="spellStart"/>
            <w:r w:rsidRPr="00965391">
              <w:rPr>
                <w:rFonts w:ascii="Times New Roman" w:eastAsiaTheme="minorEastAsia" w:hAnsi="Times New Roman" w:cs="Times New Roman"/>
                <w:sz w:val="24"/>
                <w:szCs w:val="24"/>
                <w:lang w:eastAsia="uk-UA"/>
              </w:rPr>
              <w:t>Гкал</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період; </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природного газу для індивідуального опалення - 5,0 куб. метра природного газу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метр опалюваної площі на місяць в опалювальний період;</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електричної енергії для індивідуального опалення - 51 </w:t>
            </w:r>
            <w:proofErr w:type="spellStart"/>
            <w:r w:rsidRPr="00965391">
              <w:rPr>
                <w:rFonts w:ascii="Times New Roman" w:eastAsiaTheme="minorEastAsia" w:hAnsi="Times New Roman" w:cs="Times New Roman"/>
                <w:sz w:val="24"/>
                <w:szCs w:val="24"/>
                <w:lang w:eastAsia="uk-UA"/>
              </w:rPr>
              <w:t>кВт·г</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w:t>
            </w:r>
            <w:r w:rsidRPr="00965391">
              <w:rPr>
                <w:rFonts w:ascii="Times New Roman" w:eastAsiaTheme="minorEastAsia" w:hAnsi="Times New Roman" w:cs="Times New Roman"/>
                <w:sz w:val="24"/>
                <w:szCs w:val="24"/>
                <w:lang w:eastAsia="uk-UA"/>
              </w:rPr>
              <w:lastRenderedPageBreak/>
              <w:t>період.</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наявності окремого обліку споживання електроенергії за періодами часу соціальний норматив використання електричної енергії розподіляється таким чином:</w:t>
            </w:r>
          </w:p>
          <w:p w:rsidR="00965391" w:rsidRPr="00965391" w:rsidRDefault="00965391"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двозонними тарифами, диференційованими за періодами часу: 67 відсотків об'єму спожитої електроенергії за тарифом в години нічного мінімального навантаження енергосистеми (з 23-ї години до 7-ї години) та 33 відсотки об'єму спожитої електроенергії за тарифом в інші години доби;</w:t>
            </w:r>
          </w:p>
          <w:p w:rsidR="00965391" w:rsidRPr="008B273E" w:rsidRDefault="00965391" w:rsidP="002B37BB">
            <w:pPr>
              <w:jc w:val="both"/>
            </w:pPr>
            <w:r w:rsidRPr="008B273E">
              <w:rPr>
                <w:rFonts w:ascii="Times New Roman" w:eastAsiaTheme="minorEastAsia" w:hAnsi="Times New Roman" w:cs="Times New Roman"/>
                <w:sz w:val="24"/>
                <w:szCs w:val="24"/>
                <w:lang w:eastAsia="uk-UA"/>
              </w:rPr>
              <w:t xml:space="preserve">за тризонними тарифами, диференційованими за періодами часу: 21 відсоток об'єму спожитої електроенергії за тарифом в години максимального навантаження енергосистеми (з 8-ї години до 11-ї години і з 20-ї години до 22-ї години), 33 відсотки об'єму спожитої електроенергії за тарифом у </w:t>
            </w:r>
            <w:proofErr w:type="spellStart"/>
            <w:r w:rsidRPr="008B273E">
              <w:rPr>
                <w:rFonts w:ascii="Times New Roman" w:eastAsiaTheme="minorEastAsia" w:hAnsi="Times New Roman" w:cs="Times New Roman"/>
                <w:sz w:val="24"/>
                <w:szCs w:val="24"/>
                <w:lang w:eastAsia="uk-UA"/>
              </w:rPr>
              <w:t>напівпіковий</w:t>
            </w:r>
            <w:proofErr w:type="spellEnd"/>
            <w:r w:rsidRPr="008B273E">
              <w:rPr>
                <w:rFonts w:ascii="Times New Roman" w:eastAsiaTheme="minorEastAsia" w:hAnsi="Times New Roman" w:cs="Times New Roman"/>
                <w:sz w:val="24"/>
                <w:szCs w:val="24"/>
                <w:lang w:eastAsia="uk-UA"/>
              </w:rPr>
              <w:t xml:space="preserve"> період (з 7-ї години до 8-ї години, з 11-ї години до 20-ї години, з 22-ї години до 23-ї години) і 46 відсотків об'єму спожитої електроенергії за тарифом в години нічного мінімального навантаження енергосистеми (з 23-ї години до 7-ї години);</w:t>
            </w:r>
          </w:p>
        </w:tc>
        <w:tc>
          <w:tcPr>
            <w:tcW w:w="7677" w:type="dxa"/>
          </w:tcPr>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lastRenderedPageBreak/>
              <w:t>1) для централізованого та індивідуального опалення (теплопостачання):</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теплової енергії для централізованого опалення (теплопостачання) абонентами, житлові будинки яких обладнані будинковими та/або квартирними приладами обліку, - 0,0431 </w:t>
            </w:r>
            <w:proofErr w:type="spellStart"/>
            <w:r w:rsidRPr="00965391">
              <w:rPr>
                <w:rFonts w:ascii="Times New Roman" w:eastAsiaTheme="minorEastAsia" w:hAnsi="Times New Roman" w:cs="Times New Roman"/>
                <w:sz w:val="24"/>
                <w:szCs w:val="24"/>
                <w:lang w:eastAsia="uk-UA"/>
              </w:rPr>
              <w:t>Гкал</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період; </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природного газу для індивідуального опалення - 5,0 куб. метра природного газу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метр опалюваної площі на місяць в опалювальний період;</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 xml:space="preserve">у разі використання електричної енергії для індивідуального опалення - 51 </w:t>
            </w:r>
            <w:proofErr w:type="spellStart"/>
            <w:r w:rsidRPr="00965391">
              <w:rPr>
                <w:rFonts w:ascii="Times New Roman" w:eastAsiaTheme="minorEastAsia" w:hAnsi="Times New Roman" w:cs="Times New Roman"/>
                <w:sz w:val="24"/>
                <w:szCs w:val="24"/>
                <w:lang w:eastAsia="uk-UA"/>
              </w:rPr>
              <w:t>кВт·г</w:t>
            </w:r>
            <w:proofErr w:type="spellEnd"/>
            <w:r w:rsidRPr="00965391">
              <w:rPr>
                <w:rFonts w:ascii="Times New Roman" w:eastAsiaTheme="minorEastAsia" w:hAnsi="Times New Roman" w:cs="Times New Roman"/>
                <w:sz w:val="24"/>
                <w:szCs w:val="24"/>
                <w:lang w:eastAsia="uk-UA"/>
              </w:rPr>
              <w:t xml:space="preserve"> на 1 </w:t>
            </w:r>
            <w:proofErr w:type="spellStart"/>
            <w:r w:rsidRPr="00965391">
              <w:rPr>
                <w:rFonts w:ascii="Times New Roman" w:eastAsiaTheme="minorEastAsia" w:hAnsi="Times New Roman" w:cs="Times New Roman"/>
                <w:sz w:val="24"/>
                <w:szCs w:val="24"/>
                <w:lang w:eastAsia="uk-UA"/>
              </w:rPr>
              <w:t>кв</w:t>
            </w:r>
            <w:proofErr w:type="spellEnd"/>
            <w:r w:rsidRPr="00965391">
              <w:rPr>
                <w:rFonts w:ascii="Times New Roman" w:eastAsiaTheme="minorEastAsia" w:hAnsi="Times New Roman" w:cs="Times New Roman"/>
                <w:sz w:val="24"/>
                <w:szCs w:val="24"/>
                <w:lang w:eastAsia="uk-UA"/>
              </w:rPr>
              <w:t xml:space="preserve">. метр опалюваної площі на місяць в опалювальний </w:t>
            </w:r>
            <w:r w:rsidRPr="00965391">
              <w:rPr>
                <w:rFonts w:ascii="Times New Roman" w:eastAsiaTheme="minorEastAsia" w:hAnsi="Times New Roman" w:cs="Times New Roman"/>
                <w:sz w:val="24"/>
                <w:szCs w:val="24"/>
                <w:lang w:eastAsia="uk-UA"/>
              </w:rPr>
              <w:lastRenderedPageBreak/>
              <w:t>період.</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наявності окремого обліку споживання електроенергії за періодами часу соціальний норматив використання електричної енергії розподіляється таким чином:</w:t>
            </w:r>
          </w:p>
          <w:p w:rsidR="002B37BB" w:rsidRPr="00965391"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965391">
              <w:rPr>
                <w:rFonts w:ascii="Times New Roman" w:eastAsiaTheme="minorEastAsia" w:hAnsi="Times New Roman" w:cs="Times New Roman"/>
                <w:sz w:val="24"/>
                <w:szCs w:val="24"/>
                <w:lang w:eastAsia="uk-UA"/>
              </w:rPr>
              <w:t>за двозонними тарифами, диференційованими за періодами часу: 67 відсотків об'єму спожитої електроенергії за тарифом в години нічного мінімального навантаження енергосистеми (з 23-ї години до 7-ї години) та 33 відсотки об'єму спожитої електроенергії за тарифом в інші години доби;</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за тризонними тарифами, диференційованими за періодами часу: 21 відсоток об'єму спожитої електроенергії за тарифом в години максимального навантаження енергосистеми (з 8-ї години до 11-ї години і з 20-ї години до 22-ї години), 33 відсотки об'єму спожитої електроенергії за тарифом у </w:t>
            </w:r>
            <w:proofErr w:type="spellStart"/>
            <w:r w:rsidRPr="008B273E">
              <w:rPr>
                <w:rFonts w:ascii="Times New Roman" w:eastAsiaTheme="minorEastAsia" w:hAnsi="Times New Roman" w:cs="Times New Roman"/>
                <w:sz w:val="24"/>
                <w:szCs w:val="24"/>
                <w:lang w:eastAsia="uk-UA"/>
              </w:rPr>
              <w:t>напівпіковий</w:t>
            </w:r>
            <w:proofErr w:type="spellEnd"/>
            <w:r w:rsidRPr="008B273E">
              <w:rPr>
                <w:rFonts w:ascii="Times New Roman" w:eastAsiaTheme="minorEastAsia" w:hAnsi="Times New Roman" w:cs="Times New Roman"/>
                <w:sz w:val="24"/>
                <w:szCs w:val="24"/>
                <w:lang w:eastAsia="uk-UA"/>
              </w:rPr>
              <w:t xml:space="preserve"> період (з 7-ї години до 8-ї години, з 11-ї години до 20-ї години, з 22-ї години до 23-ї години) і 46 відсотків об'єму спожитої електроенергії за тарифом в години нічного мінімального навантаження енергосистеми (з 23-ї години до 7-ї години);</w:t>
            </w:r>
          </w:p>
        </w:tc>
      </w:tr>
      <w:tr w:rsidR="00965391" w:rsidRPr="008B273E" w:rsidTr="00965391">
        <w:tc>
          <w:tcPr>
            <w:tcW w:w="7677" w:type="dxa"/>
          </w:tcPr>
          <w:p w:rsidR="0008140D" w:rsidRPr="008B273E" w:rsidRDefault="0008140D" w:rsidP="0008140D">
            <w:pPr>
              <w:pStyle w:val="NormalWeb"/>
              <w:jc w:val="both"/>
            </w:pPr>
            <w:r w:rsidRPr="008B273E">
              <w:lastRenderedPageBreak/>
              <w:t>2) для користування послугами з централізованого постачання холодної води - 2,4 куб. метра на одну особу на місяць за наявності централізованого постачання гарячої води та 4 куб. метри на одну особу на місяць за відсутності централізованого постачання гарячої води.</w:t>
            </w:r>
          </w:p>
          <w:p w:rsidR="0008140D" w:rsidRPr="008B273E" w:rsidRDefault="0008140D" w:rsidP="0008140D">
            <w:pPr>
              <w:pStyle w:val="NormalWeb"/>
              <w:jc w:val="both"/>
            </w:pPr>
            <w:r w:rsidRPr="008B273E">
              <w:t xml:space="preserve">У разі перерви у наданні послуг з централізованого постачання гарячої води (більш як на 14 діб) в установленому законом порядку - 4 куб. метри холодної води на одну особу на місяць. </w:t>
            </w:r>
          </w:p>
          <w:p w:rsidR="00965391" w:rsidRPr="008B273E" w:rsidRDefault="0008140D" w:rsidP="0008140D">
            <w:pPr>
              <w:pStyle w:val="NormalWeb"/>
              <w:jc w:val="both"/>
            </w:pPr>
            <w:r w:rsidRPr="008B273E">
              <w:t xml:space="preserve">У разі відсутності квартирних приладів обліку холодної води нарахування плати за користування послугами з централізованого постачання холодної води інвалідам війни та членам їх сімей, на яких </w:t>
            </w:r>
            <w:r w:rsidRPr="008B273E">
              <w:lastRenderedPageBreak/>
              <w:t>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c>
          <w:tcPr>
            <w:tcW w:w="7677" w:type="dxa"/>
          </w:tcPr>
          <w:p w:rsidR="002B37BB" w:rsidRPr="008B273E" w:rsidRDefault="002B37BB" w:rsidP="002B37BB">
            <w:pPr>
              <w:pStyle w:val="NormalWeb"/>
              <w:jc w:val="both"/>
            </w:pPr>
            <w:r w:rsidRPr="008B273E">
              <w:lastRenderedPageBreak/>
              <w:t>2) для користування послугами з централізованого постачання холодної води - 2,4 куб. метра на одну особу на місяць за наявності централізованого постачання гарячої води та 4 куб. метри на одну особу на місяць за відсутності централізованого постачання гарячої води.</w:t>
            </w:r>
          </w:p>
          <w:p w:rsidR="002B37BB" w:rsidRPr="008B273E" w:rsidRDefault="002B37BB" w:rsidP="002B37BB">
            <w:pPr>
              <w:pStyle w:val="NormalWeb"/>
              <w:jc w:val="both"/>
            </w:pPr>
            <w:r w:rsidRPr="008B273E">
              <w:t xml:space="preserve">У разі перерви у наданні послуг з централізованого постачання гарячої води (більш як на 14 діб) в установленому законом порядку - 4 куб. метри холодної води на одну особу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разі відсутності квартирних приладів обліку холодної води нарахування плати за користування послугами з централізованого постачання холодної води інвалідам війни та членам їх сімей, на яких </w:t>
            </w:r>
            <w:r w:rsidRPr="008B273E">
              <w:rPr>
                <w:rFonts w:ascii="Times New Roman" w:eastAsiaTheme="minorEastAsia" w:hAnsi="Times New Roman" w:cs="Times New Roman"/>
                <w:sz w:val="24"/>
                <w:szCs w:val="24"/>
                <w:lang w:eastAsia="uk-UA"/>
              </w:rPr>
              <w:lastRenderedPageBreak/>
              <w:t>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r>
      <w:tr w:rsidR="00965391" w:rsidRPr="008B273E" w:rsidTr="00965391">
        <w:tc>
          <w:tcPr>
            <w:tcW w:w="7677" w:type="dxa"/>
          </w:tcPr>
          <w:p w:rsidR="0008140D" w:rsidRPr="008B273E" w:rsidRDefault="0008140D" w:rsidP="0008140D">
            <w:pPr>
              <w:pStyle w:val="NormalWeb"/>
              <w:jc w:val="both"/>
            </w:pPr>
            <w:r w:rsidRPr="008B273E">
              <w:lastRenderedPageBreak/>
              <w:t>3) для користування послугами з централізованого постачання гарячої води - 1,6 куб. метра на одну особу на місяць.</w:t>
            </w:r>
          </w:p>
          <w:p w:rsidR="00965391" w:rsidRPr="008B273E" w:rsidRDefault="0008140D" w:rsidP="0008140D">
            <w:pPr>
              <w:pStyle w:val="NormalWeb"/>
              <w:jc w:val="both"/>
            </w:pPr>
            <w:r w:rsidRPr="008B273E">
              <w:t>У разі відсутності квартирних приладів обліку гарячої води нарахування плати за користування послугами з централізованого постачання гарячої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c>
          <w:tcPr>
            <w:tcW w:w="7677" w:type="dxa"/>
          </w:tcPr>
          <w:p w:rsidR="002B37BB" w:rsidRPr="008B273E" w:rsidRDefault="002B37BB" w:rsidP="002B37BB">
            <w:pPr>
              <w:pStyle w:val="NormalWeb"/>
              <w:jc w:val="both"/>
            </w:pPr>
            <w:r w:rsidRPr="008B273E">
              <w:t>3) для користування послугами з централізованого постачання гарячої води - 1,6 куб. метра на одну особу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У разі відсутності квартирних приладів обліку гарячої води нарахування плати за користування послугами з централізованого постачання гарячої води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цього підпункту;</w:t>
            </w:r>
          </w:p>
        </w:tc>
      </w:tr>
      <w:tr w:rsidR="00965391" w:rsidRPr="008B273E" w:rsidTr="00965391">
        <w:tc>
          <w:tcPr>
            <w:tcW w:w="7677" w:type="dxa"/>
          </w:tcPr>
          <w:p w:rsidR="0008140D" w:rsidRPr="008B273E" w:rsidRDefault="0008140D" w:rsidP="0008140D">
            <w:pPr>
              <w:pStyle w:val="NormalWeb"/>
              <w:jc w:val="both"/>
            </w:pPr>
            <w:r w:rsidRPr="008B273E">
              <w:t>4) для користування послугами з централізованого водовідведення - 4 куб. метри на одну особу на місяць.</w:t>
            </w:r>
          </w:p>
          <w:p w:rsidR="0008140D" w:rsidRPr="008B273E" w:rsidRDefault="0008140D" w:rsidP="0008140D">
            <w:pPr>
              <w:pStyle w:val="NormalWeb"/>
              <w:jc w:val="both"/>
            </w:pPr>
            <w:r w:rsidRPr="008B273E">
              <w:t xml:space="preserve">У разі відсутності централізованого водовідведення (за відсутності системи централізованого водовідведення та за наявності централізованого водопостачання і вигрібних ям) для вивезення рідких нечистот - 4 куб. метри на одне домогосподарство на місяць. </w:t>
            </w:r>
          </w:p>
          <w:p w:rsidR="00965391" w:rsidRPr="008B273E" w:rsidRDefault="0008140D" w:rsidP="0008140D">
            <w:pPr>
              <w:pStyle w:val="NormalWeb"/>
              <w:jc w:val="both"/>
            </w:pPr>
            <w:r w:rsidRPr="008B273E">
              <w:t>У разі відсутності квартирних приладів обліку холодної та/або гарячої води нарахування плати за користування послугами з централізованого водовідведення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підпункту 2 та/або підпункту 3 цього пункту;</w:t>
            </w:r>
          </w:p>
        </w:tc>
        <w:tc>
          <w:tcPr>
            <w:tcW w:w="7677" w:type="dxa"/>
          </w:tcPr>
          <w:p w:rsidR="002B37BB" w:rsidRPr="008B273E" w:rsidRDefault="002B37BB" w:rsidP="002B37BB">
            <w:pPr>
              <w:pStyle w:val="NormalWeb"/>
              <w:jc w:val="both"/>
            </w:pPr>
            <w:r w:rsidRPr="008B273E">
              <w:t>4) для користування послугами з централізованого водовідведення - 4 куб. метри на одну особу на місяць.</w:t>
            </w:r>
          </w:p>
          <w:p w:rsidR="002B37BB" w:rsidRPr="008B273E" w:rsidRDefault="002B37BB" w:rsidP="002B37BB">
            <w:pPr>
              <w:pStyle w:val="NormalWeb"/>
              <w:jc w:val="both"/>
            </w:pPr>
            <w:r w:rsidRPr="008B273E">
              <w:t xml:space="preserve">У разі відсутності централізованого водовідведення (за відсутності системи централізованого водовідведення та за наявності централізованого водопостачання і вигрібних ям) для вивезення рідких нечистот - 4 куб. метри на одне домогосподарство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У разі відсутності квартирних приладів обліку холодної та/або гарячої води нарахування плати за користування послугами з централізованого водовідведення інвалідам війни та членам їх сімей, на яких відповідно до законодавства поширюються пільги, здійснюється виконавцями/виробниками такої послуги згідно з соціальними нормативами, встановленими абзацом першим підпункту 2 та/або підпункту 3 цього пункту;</w:t>
            </w:r>
          </w:p>
        </w:tc>
      </w:tr>
      <w:tr w:rsidR="00965391" w:rsidRPr="008B273E" w:rsidTr="00965391">
        <w:tc>
          <w:tcPr>
            <w:tcW w:w="7677" w:type="dxa"/>
          </w:tcPr>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5) для користування послугами з газопостачання:</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за наявності газової плити та централізованого гарячого водопостачання - 3,3 куб. метра на одну особу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за наявності газової плити в разі відсутності централізованого гарячого </w:t>
            </w:r>
            <w:r w:rsidRPr="0008140D">
              <w:rPr>
                <w:rFonts w:ascii="Times New Roman" w:eastAsiaTheme="minorEastAsia" w:hAnsi="Times New Roman" w:cs="Times New Roman"/>
                <w:sz w:val="24"/>
                <w:szCs w:val="24"/>
                <w:lang w:eastAsia="uk-UA"/>
              </w:rPr>
              <w:lastRenderedPageBreak/>
              <w:t>водопостачання та газового водонагрівача - 5,4 куб. метра на одну особу на місяць;</w:t>
            </w:r>
          </w:p>
          <w:p w:rsidR="00965391" w:rsidRPr="008B273E" w:rsidRDefault="0008140D" w:rsidP="0008140D">
            <w:r w:rsidRPr="008B273E">
              <w:rPr>
                <w:rFonts w:ascii="Times New Roman" w:eastAsiaTheme="minorEastAsia" w:hAnsi="Times New Roman" w:cs="Times New Roman"/>
                <w:sz w:val="24"/>
                <w:szCs w:val="24"/>
                <w:lang w:eastAsia="uk-UA"/>
              </w:rPr>
              <w:t>за наявності газової плити та газового водонагрівача - 10,5 куб. метрів на одну особу на місяць;</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5) для користування послугами з газопостачання:</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за наявності газової плити та централізованого гарячого водопостачання - 3,3 куб. метра на одну особу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за наявності газової плити в разі відсутності централізованого гарячого </w:t>
            </w:r>
            <w:r w:rsidRPr="0008140D">
              <w:rPr>
                <w:rFonts w:ascii="Times New Roman" w:eastAsiaTheme="minorEastAsia" w:hAnsi="Times New Roman" w:cs="Times New Roman"/>
                <w:sz w:val="24"/>
                <w:szCs w:val="24"/>
                <w:lang w:eastAsia="uk-UA"/>
              </w:rPr>
              <w:lastRenderedPageBreak/>
              <w:t>водопостачання та газового водонагрівача - 5,4 куб. метра на одну особу на місяць;</w:t>
            </w:r>
          </w:p>
          <w:p w:rsidR="00965391" w:rsidRPr="008B273E" w:rsidRDefault="002B37BB" w:rsidP="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за наявності газової плити та газового водонагрівача - 10,5 куб. метрів на одну особу на місяць;</w:t>
            </w:r>
          </w:p>
          <w:p w:rsidR="002B37BB" w:rsidRPr="008B273E" w:rsidRDefault="002B37BB" w:rsidP="002B37BB">
            <w:pPr>
              <w:rPr>
                <w:rFonts w:ascii="Cambria" w:eastAsia="+mn-ea" w:hAnsi="Cambria" w:cs="+mn-cs"/>
                <w:i/>
                <w:iCs/>
                <w:color w:val="C0504D"/>
                <w:kern w:val="24"/>
                <w:sz w:val="24"/>
                <w:szCs w:val="24"/>
                <w:lang w:eastAsia="uk-UA"/>
              </w:rPr>
            </w:pPr>
          </w:p>
          <w:p w:rsidR="0099505B" w:rsidRPr="00C122DD" w:rsidRDefault="002B37BB" w:rsidP="002B37BB">
            <w:pPr>
              <w:jc w:val="both"/>
              <w:rPr>
                <w:rFonts w:ascii="Times New Roman" w:eastAsiaTheme="minorEastAsia" w:hAnsi="Times New Roman" w:cs="Times New Roman"/>
                <w:b/>
                <w:sz w:val="24"/>
                <w:szCs w:val="24"/>
                <w:lang w:eastAsia="uk-UA"/>
              </w:rPr>
            </w:pPr>
            <w:r w:rsidRPr="002B37BB">
              <w:rPr>
                <w:rFonts w:ascii="Times New Roman" w:eastAsiaTheme="minorEastAsia" w:hAnsi="Times New Roman" w:cs="Times New Roman"/>
                <w:b/>
                <w:sz w:val="24"/>
                <w:szCs w:val="24"/>
                <w:lang w:eastAsia="uk-UA"/>
              </w:rPr>
              <w:t>Право на отримання  пільг та субсидій після 01 жовтня 2018 року в обсязі встановлених соціальних норми має виключно споживач, об'єкт газоспоживання якого обладнаний приладом обліку</w:t>
            </w:r>
            <w:r w:rsidRPr="008B273E">
              <w:rPr>
                <w:rFonts w:ascii="Times New Roman" w:eastAsiaTheme="minorEastAsia" w:hAnsi="Times New Roman" w:cs="Times New Roman"/>
                <w:b/>
                <w:sz w:val="24"/>
                <w:szCs w:val="24"/>
                <w:lang w:eastAsia="uk-UA"/>
              </w:rPr>
              <w:t>(лічильником ) природного газу.</w:t>
            </w:r>
          </w:p>
          <w:p w:rsidR="002B37BB" w:rsidRPr="008B273E" w:rsidRDefault="002B37BB" w:rsidP="002B37BB"/>
        </w:tc>
      </w:tr>
      <w:tr w:rsidR="00965391" w:rsidRPr="008B273E" w:rsidTr="00965391">
        <w:tc>
          <w:tcPr>
            <w:tcW w:w="7677" w:type="dxa"/>
          </w:tcPr>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6) для користування послугами з електропостачання (до 31 грудня 2017 р.) в житлових приміщеннях (будинках):</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w:t>
            </w:r>
            <w:r w:rsidRPr="0008140D">
              <w:rPr>
                <w:rFonts w:ascii="Times New Roman" w:eastAsiaTheme="minorEastAsia" w:hAnsi="Times New Roman" w:cs="Times New Roman"/>
                <w:sz w:val="24"/>
                <w:szCs w:val="24"/>
                <w:lang w:eastAsia="uk-UA"/>
              </w:rPr>
              <w:lastRenderedPageBreak/>
              <w:t xml:space="preserve">централізованого постачання холодної води та за відсутності централізованого постачання гарячої води та газових водонагрівальних приладів - 120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240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08140D"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6) для користування послугами з електропостачання (до 31 грудня 2017 р.) в житлових приміщеннях (будинках):</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w:t>
            </w:r>
            <w:r w:rsidRPr="0008140D">
              <w:rPr>
                <w:rFonts w:ascii="Times New Roman" w:eastAsiaTheme="minorEastAsia" w:hAnsi="Times New Roman" w:cs="Times New Roman"/>
                <w:sz w:val="24"/>
                <w:szCs w:val="24"/>
                <w:lang w:eastAsia="uk-UA"/>
              </w:rPr>
              <w:lastRenderedPageBreak/>
              <w:t xml:space="preserve">централізованого постачання холодної води та за відсутності централізованого постачання гарячої води та газових водонагрівальних приладів - 120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240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r>
      <w:tr w:rsidR="00965391" w:rsidRPr="008B273E" w:rsidTr="00965391">
        <w:tc>
          <w:tcPr>
            <w:tcW w:w="7677" w:type="dxa"/>
          </w:tcPr>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7) для користування послугами з електропостачання (з 1 січня 2018 р.) у житлових приміщеннях (будинках):</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190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08140D" w:rsidRPr="0008140D" w:rsidRDefault="0008140D"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w:t>
            </w:r>
            <w:r w:rsidRPr="0008140D">
              <w:rPr>
                <w:rFonts w:ascii="Times New Roman" w:eastAsiaTheme="minorEastAsia" w:hAnsi="Times New Roman" w:cs="Times New Roman"/>
                <w:sz w:val="24"/>
                <w:szCs w:val="24"/>
                <w:lang w:eastAsia="uk-UA"/>
              </w:rPr>
              <w:lastRenderedPageBreak/>
              <w:t xml:space="preserve">приладів - 100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08140D"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lastRenderedPageBreak/>
              <w:t>7) для користування послугами з електропостачання (з 1 січня 2018 р.) у житлових приміщеннях (будинках):</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у житлових приміщеннях (будинках), крім тих, що зазначені в абзацах третьому - шостому цього підпункту, - 70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але не більш як 190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наявності централізованого постачання гарячої води - 110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обладнаних стаціонарними електроплитами, за відсутності централізованого постачання гарячої води - 130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250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 xml:space="preserve">не обладнаних стаціонарними електроплитами, за наявності централізованого постачання холодної води та за відсутності централізованого постачання гарячої води та газових водонагрівальних </w:t>
            </w:r>
            <w:r w:rsidRPr="0008140D">
              <w:rPr>
                <w:rFonts w:ascii="Times New Roman" w:eastAsiaTheme="minorEastAsia" w:hAnsi="Times New Roman" w:cs="Times New Roman"/>
                <w:sz w:val="24"/>
                <w:szCs w:val="24"/>
                <w:lang w:eastAsia="uk-UA"/>
              </w:rPr>
              <w:lastRenderedPageBreak/>
              <w:t xml:space="preserve">приладів - 100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сім'ю (домогосподарство) з однієї особи і додатково 30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 на кожного іншого члена сім'ї (домогосподарства) на житлове приміщення (будинок), але не більш як 220 </w:t>
            </w:r>
            <w:proofErr w:type="spellStart"/>
            <w:r w:rsidRPr="0008140D">
              <w:rPr>
                <w:rFonts w:ascii="Times New Roman" w:eastAsiaTheme="minorEastAsia" w:hAnsi="Times New Roman" w:cs="Times New Roman"/>
                <w:sz w:val="24"/>
                <w:szCs w:val="24"/>
                <w:lang w:eastAsia="uk-UA"/>
              </w:rPr>
              <w:t>кВт·г</w:t>
            </w:r>
            <w:proofErr w:type="spellEnd"/>
            <w:r w:rsidRPr="0008140D">
              <w:rPr>
                <w:rFonts w:ascii="Times New Roman" w:eastAsiaTheme="minorEastAsia" w:hAnsi="Times New Roman" w:cs="Times New Roman"/>
                <w:sz w:val="24"/>
                <w:szCs w:val="24"/>
                <w:lang w:eastAsia="uk-UA"/>
              </w:rPr>
              <w:t xml:space="preserve"> на місяць;</w:t>
            </w:r>
          </w:p>
          <w:p w:rsidR="00965391" w:rsidRPr="008B273E" w:rsidRDefault="002B37BB" w:rsidP="002B37BB">
            <w:pPr>
              <w:jc w:val="both"/>
            </w:pPr>
            <w:r w:rsidRPr="008B273E">
              <w:rPr>
                <w:rFonts w:ascii="Times New Roman" w:eastAsiaTheme="minorEastAsia" w:hAnsi="Times New Roman" w:cs="Times New Roman"/>
                <w:sz w:val="24"/>
                <w:szCs w:val="24"/>
                <w:lang w:eastAsia="uk-UA"/>
              </w:rPr>
              <w:t xml:space="preserve">у селах і селищах міського типу для громадян, яким відповідно до законодавства держава забезпечує безоплатне освітлення житла, - 30 </w:t>
            </w:r>
            <w:proofErr w:type="spellStart"/>
            <w:r w:rsidRPr="008B273E">
              <w:rPr>
                <w:rFonts w:ascii="Times New Roman" w:eastAsiaTheme="minorEastAsia" w:hAnsi="Times New Roman" w:cs="Times New Roman"/>
                <w:sz w:val="24"/>
                <w:szCs w:val="24"/>
                <w:lang w:eastAsia="uk-UA"/>
              </w:rPr>
              <w:t>кВт·г</w:t>
            </w:r>
            <w:proofErr w:type="spellEnd"/>
            <w:r w:rsidRPr="008B273E">
              <w:rPr>
                <w:rFonts w:ascii="Times New Roman" w:eastAsiaTheme="minorEastAsia" w:hAnsi="Times New Roman" w:cs="Times New Roman"/>
                <w:sz w:val="24"/>
                <w:szCs w:val="24"/>
                <w:lang w:eastAsia="uk-UA"/>
              </w:rPr>
              <w:t xml:space="preserve"> на місяць на одну особу;</w:t>
            </w:r>
          </w:p>
        </w:tc>
      </w:tr>
      <w:tr w:rsidR="00965391" w:rsidRPr="008B273E" w:rsidTr="00965391">
        <w:tc>
          <w:tcPr>
            <w:tcW w:w="7677" w:type="dxa"/>
          </w:tcPr>
          <w:p w:rsidR="0008140D" w:rsidRPr="008B273E" w:rsidRDefault="0008140D" w:rsidP="0008140D">
            <w:pPr>
              <w:pStyle w:val="NormalWeb"/>
              <w:jc w:val="both"/>
            </w:pPr>
            <w:r w:rsidRPr="008B273E">
              <w:lastRenderedPageBreak/>
              <w:t>8) користування послугами з вивезення твердих побутових відходів - 0,4167 куб. метра на одну особу на місяць; рідких побутових відходів - 0,76 куб. метра на одну особу на місяць. </w:t>
            </w:r>
          </w:p>
          <w:p w:rsidR="00965391" w:rsidRPr="008B273E" w:rsidRDefault="0008140D" w:rsidP="0008140D">
            <w:pPr>
              <w:pStyle w:val="NormalWeb"/>
              <w:jc w:val="both"/>
            </w:pPr>
            <w:r w:rsidRPr="008B273E">
              <w:t>Залежно від особливостей регіонів та типу будівель соціальні нормативи користування житлово-комунальними послугами, встановлені підпунктом 1 цього пункту, визначаються з урахуванням коригуючих коефіцієнтів згідно з додатками 1 і 2.</w:t>
            </w:r>
          </w:p>
        </w:tc>
        <w:tc>
          <w:tcPr>
            <w:tcW w:w="7677" w:type="dxa"/>
          </w:tcPr>
          <w:p w:rsidR="002B37BB" w:rsidRPr="008B273E" w:rsidRDefault="002B37BB" w:rsidP="002B37BB">
            <w:pPr>
              <w:pStyle w:val="NormalWeb"/>
              <w:jc w:val="both"/>
            </w:pPr>
            <w:r w:rsidRPr="008B273E">
              <w:t>8) користування послугами з вивезення твердих побутових відходів - 0,4167 куб. метра на одну особу на місяць; рідких побутових відходів - 0,76 куб. метра на одну особу на місяць. </w:t>
            </w:r>
          </w:p>
          <w:p w:rsidR="00965391" w:rsidRPr="008B273E" w:rsidRDefault="002B37BB" w:rsidP="002B37BB">
            <w:pPr>
              <w:jc w:val="both"/>
            </w:pPr>
            <w:r w:rsidRPr="008B273E">
              <w:rPr>
                <w:rFonts w:ascii="Times New Roman" w:eastAsiaTheme="minorEastAsia" w:hAnsi="Times New Roman" w:cs="Times New Roman"/>
                <w:sz w:val="24"/>
                <w:szCs w:val="24"/>
                <w:lang w:eastAsia="uk-UA"/>
              </w:rPr>
              <w:t>Залежно від особливостей регіонів та типу будівель соціальні нормативи користування житлово-комунальними послугами, встановлені підпунктом 1 цього пункту, визначаються з урахуванням коригуючих коефіцієнтів згідно з додатками 1 і 2.</w:t>
            </w:r>
          </w:p>
        </w:tc>
      </w:tr>
      <w:tr w:rsidR="002B37BB" w:rsidRPr="008B273E" w:rsidTr="00965391">
        <w:tc>
          <w:tcPr>
            <w:tcW w:w="7677" w:type="dxa"/>
          </w:tcPr>
          <w:p w:rsidR="002B37BB" w:rsidRPr="0008140D" w:rsidRDefault="002B37BB" w:rsidP="0008140D">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3</w:t>
            </w:r>
            <w:r w:rsidRPr="0008140D">
              <w:rPr>
                <w:rFonts w:ascii="Times New Roman" w:eastAsiaTheme="minorEastAsia" w:hAnsi="Times New Roman" w:cs="Times New Roman"/>
                <w:sz w:val="24"/>
                <w:szCs w:val="24"/>
                <w:vertAlign w:val="superscript"/>
                <w:lang w:eastAsia="uk-UA"/>
              </w:rPr>
              <w:t>1</w:t>
            </w:r>
            <w:r w:rsidRPr="0008140D">
              <w:rPr>
                <w:rFonts w:ascii="Times New Roman" w:eastAsiaTheme="minorEastAsia" w:hAnsi="Times New Roman" w:cs="Times New Roman"/>
                <w:sz w:val="24"/>
                <w:szCs w:val="24"/>
                <w:lang w:eastAsia="uk-UA"/>
              </w:rPr>
              <w:t xml:space="preserve">. Установити, що в разі затвердження органами місцевого самоврядування норм споживання житлово-комунальних послуг, що перевищують соціальні нормативи, визначені підпунктами 2 - 4 пункту 3 цієї постанови, компенсація додаткових витрат громадянам, яким відповідно до законодавства призначено субсидію на оплату житлово-комунальних послуг, у разі відсутності квартирних приладів обліку холодної та гарячої води здійснюється за рахунок місцевих бюджетів. </w:t>
            </w:r>
          </w:p>
          <w:p w:rsidR="002B37BB" w:rsidRPr="008B273E" w:rsidRDefault="002B37BB" w:rsidP="00073CF8">
            <w:pPr>
              <w:jc w:val="both"/>
            </w:pPr>
            <w:r w:rsidRPr="008B273E">
              <w:rPr>
                <w:rFonts w:ascii="Times New Roman" w:eastAsiaTheme="minorEastAsia" w:hAnsi="Times New Roman" w:cs="Times New Roman"/>
                <w:sz w:val="24"/>
                <w:szCs w:val="24"/>
                <w:lang w:eastAsia="uk-UA"/>
              </w:rPr>
              <w:t>Цей пункт не застосовується до громадян, які відмовилися від встановлення приладів обліку за рахунок місцевих бюджетів або підприємств - виробників/виконавців послуг, що підтверджено документально.</w:t>
            </w:r>
          </w:p>
        </w:tc>
        <w:tc>
          <w:tcPr>
            <w:tcW w:w="7677" w:type="dxa"/>
          </w:tcPr>
          <w:p w:rsidR="002B37BB" w:rsidRPr="0008140D" w:rsidRDefault="002B37BB" w:rsidP="002B37BB">
            <w:pPr>
              <w:spacing w:before="100" w:beforeAutospacing="1" w:after="100" w:afterAutospacing="1"/>
              <w:jc w:val="both"/>
              <w:rPr>
                <w:rFonts w:ascii="Times New Roman" w:eastAsiaTheme="minorEastAsia" w:hAnsi="Times New Roman" w:cs="Times New Roman"/>
                <w:sz w:val="24"/>
                <w:szCs w:val="24"/>
                <w:lang w:eastAsia="uk-UA"/>
              </w:rPr>
            </w:pPr>
            <w:r w:rsidRPr="0008140D">
              <w:rPr>
                <w:rFonts w:ascii="Times New Roman" w:eastAsiaTheme="minorEastAsia" w:hAnsi="Times New Roman" w:cs="Times New Roman"/>
                <w:sz w:val="24"/>
                <w:szCs w:val="24"/>
                <w:lang w:eastAsia="uk-UA"/>
              </w:rPr>
              <w:t>3</w:t>
            </w:r>
            <w:r w:rsidRPr="0008140D">
              <w:rPr>
                <w:rFonts w:ascii="Times New Roman" w:eastAsiaTheme="minorEastAsia" w:hAnsi="Times New Roman" w:cs="Times New Roman"/>
                <w:sz w:val="24"/>
                <w:szCs w:val="24"/>
                <w:vertAlign w:val="superscript"/>
                <w:lang w:eastAsia="uk-UA"/>
              </w:rPr>
              <w:t>1</w:t>
            </w:r>
            <w:r w:rsidRPr="0008140D">
              <w:rPr>
                <w:rFonts w:ascii="Times New Roman" w:eastAsiaTheme="minorEastAsia" w:hAnsi="Times New Roman" w:cs="Times New Roman"/>
                <w:sz w:val="24"/>
                <w:szCs w:val="24"/>
                <w:lang w:eastAsia="uk-UA"/>
              </w:rPr>
              <w:t xml:space="preserve">. Установити, що в разі затвердження органами місцевого самоврядування норм споживання житлово-комунальних послуг, що перевищують соціальні нормативи, визначені підпунктами 2 - 4 пункту 3 цієї постанови, компенсація додаткових витрат громадянам, яким відповідно до законодавства призначено субсидію на оплату житлово-комунальних послуг, у разі відсутності квартирних приладів обліку холодної та гарячої води здійснюється за рахунок місцевих бюджетів. </w:t>
            </w:r>
          </w:p>
          <w:p w:rsidR="002B37BB" w:rsidRPr="008B273E" w:rsidRDefault="002B37BB" w:rsidP="002B37BB">
            <w:pPr>
              <w:jc w:val="both"/>
            </w:pPr>
            <w:r w:rsidRPr="008B273E">
              <w:rPr>
                <w:rFonts w:ascii="Times New Roman" w:eastAsiaTheme="minorEastAsia" w:hAnsi="Times New Roman" w:cs="Times New Roman"/>
                <w:sz w:val="24"/>
                <w:szCs w:val="24"/>
                <w:lang w:eastAsia="uk-UA"/>
              </w:rPr>
              <w:t>Цей пункт не застосовується до громадян, які відмовилися від встановлення приладів обліку за рахунок місцевих бюджетів або підприємств - виробників/виконавців послуг, що підтверджено документально.</w:t>
            </w:r>
          </w:p>
        </w:tc>
      </w:tr>
      <w:tr w:rsidR="002B37BB" w:rsidRPr="008B273E" w:rsidTr="00965391">
        <w:tc>
          <w:tcPr>
            <w:tcW w:w="7677" w:type="dxa"/>
          </w:tcPr>
          <w:p w:rsidR="002B37BB" w:rsidRPr="008B273E" w:rsidRDefault="002B37BB" w:rsidP="00A87C2B">
            <w:pPr>
              <w:pStyle w:val="NormalWeb"/>
              <w:jc w:val="both"/>
            </w:pPr>
            <w:r w:rsidRPr="008B273E">
              <w:t xml:space="preserve">4. </w:t>
            </w:r>
            <w:proofErr w:type="spellStart"/>
            <w:r w:rsidRPr="008B273E">
              <w:t>Внести</w:t>
            </w:r>
            <w:proofErr w:type="spellEnd"/>
            <w:r w:rsidRPr="008B273E">
              <w:t xml:space="preserve"> до постанов Кабінету Міністрів України зміни, що додаються.</w:t>
            </w:r>
          </w:p>
        </w:tc>
        <w:tc>
          <w:tcPr>
            <w:tcW w:w="7677" w:type="dxa"/>
          </w:tcPr>
          <w:p w:rsidR="002B37BB" w:rsidRPr="008B273E" w:rsidRDefault="002B37BB" w:rsidP="00212F47">
            <w:pPr>
              <w:pStyle w:val="NormalWeb"/>
              <w:jc w:val="both"/>
            </w:pPr>
            <w:r w:rsidRPr="008B273E">
              <w:t xml:space="preserve">4. </w:t>
            </w:r>
            <w:proofErr w:type="spellStart"/>
            <w:r w:rsidRPr="008B273E">
              <w:t>Внести</w:t>
            </w:r>
            <w:proofErr w:type="spellEnd"/>
            <w:r w:rsidRPr="008B273E">
              <w:t xml:space="preserve"> до постанов Кабінету Міністрів України зміни, що додаються.</w:t>
            </w:r>
          </w:p>
        </w:tc>
      </w:tr>
      <w:tr w:rsidR="002B37BB" w:rsidRPr="008B273E" w:rsidTr="00965391">
        <w:tc>
          <w:tcPr>
            <w:tcW w:w="7677" w:type="dxa"/>
          </w:tcPr>
          <w:p w:rsidR="002B37BB" w:rsidRPr="008B273E" w:rsidRDefault="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 Визнати такими, що втратили чинність, постанови Кабінету Міністрів України згідно з переліком, що додається.</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 Визнати такими, що втратили чинність, постанови Кабінету Міністрів України згідно з переліком, що додається.</w:t>
            </w:r>
          </w:p>
        </w:tc>
      </w:tr>
      <w:tr w:rsidR="002B37BB" w:rsidRPr="008B273E" w:rsidTr="00965391">
        <w:tc>
          <w:tcPr>
            <w:tcW w:w="7677" w:type="dxa"/>
          </w:tcPr>
          <w:p w:rsidR="002B37BB" w:rsidRPr="008B273E" w:rsidRDefault="002B37BB" w:rsidP="00A87C2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5</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xml:space="preserve">. Міністерству регіонального розвитку, будівництва та житлово-комунального господарства, Міністерству енергетики та вугільної </w:t>
            </w:r>
            <w:r w:rsidRPr="008B273E">
              <w:rPr>
                <w:rFonts w:ascii="Times New Roman" w:eastAsiaTheme="minorEastAsia" w:hAnsi="Times New Roman" w:cs="Times New Roman"/>
                <w:sz w:val="24"/>
                <w:szCs w:val="24"/>
                <w:lang w:eastAsia="uk-UA"/>
              </w:rPr>
              <w:lastRenderedPageBreak/>
              <w:t>промисловості надавати в межах своєї компетенції роз'яснення щодо застосування державних соціальних стандартів у сфері житлово-комунального обслуговування.</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lastRenderedPageBreak/>
              <w:t>5</w:t>
            </w:r>
            <w:r w:rsidRPr="008B273E">
              <w:rPr>
                <w:rFonts w:ascii="Times New Roman" w:eastAsiaTheme="minorEastAsia" w:hAnsi="Times New Roman" w:cs="Times New Roman"/>
                <w:sz w:val="24"/>
                <w:szCs w:val="24"/>
                <w:vertAlign w:val="superscript"/>
                <w:lang w:eastAsia="uk-UA"/>
              </w:rPr>
              <w:t>1</w:t>
            </w:r>
            <w:r w:rsidRPr="008B273E">
              <w:rPr>
                <w:rFonts w:ascii="Times New Roman" w:eastAsiaTheme="minorEastAsia" w:hAnsi="Times New Roman" w:cs="Times New Roman"/>
                <w:sz w:val="24"/>
                <w:szCs w:val="24"/>
                <w:lang w:eastAsia="uk-UA"/>
              </w:rPr>
              <w:t xml:space="preserve">. Міністерству регіонального розвитку, будівництва та житлово-комунального господарства, Міністерству енергетики та вугільної </w:t>
            </w:r>
            <w:r w:rsidRPr="008B273E">
              <w:rPr>
                <w:rFonts w:ascii="Times New Roman" w:eastAsiaTheme="minorEastAsia" w:hAnsi="Times New Roman" w:cs="Times New Roman"/>
                <w:sz w:val="24"/>
                <w:szCs w:val="24"/>
                <w:lang w:eastAsia="uk-UA"/>
              </w:rPr>
              <w:lastRenderedPageBreak/>
              <w:t>промисловості надавати в межах своєї компетенції роз'яснення щодо застосування державних соціальних стандартів у сфері житлово-комунального обслуговування.</w:t>
            </w:r>
          </w:p>
        </w:tc>
      </w:tr>
      <w:tr w:rsidR="002B37BB" w:rsidRPr="008B273E" w:rsidTr="00965391">
        <w:tc>
          <w:tcPr>
            <w:tcW w:w="7677" w:type="dxa"/>
          </w:tcPr>
          <w:p w:rsidR="002B37BB" w:rsidRPr="008B273E" w:rsidRDefault="002B37BB">
            <w:pPr>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lastRenderedPageBreak/>
              <w:t>6. Ця постанова набирає чинності з 1 жовтня 2014 року.</w:t>
            </w:r>
          </w:p>
        </w:tc>
        <w:tc>
          <w:tcPr>
            <w:tcW w:w="7677" w:type="dxa"/>
          </w:tcPr>
          <w:p w:rsidR="002B37BB" w:rsidRPr="008B273E" w:rsidRDefault="002B37BB" w:rsidP="002B37BB">
            <w:pPr>
              <w:jc w:val="both"/>
              <w:rPr>
                <w:rFonts w:ascii="Times New Roman" w:eastAsiaTheme="minorEastAsia" w:hAnsi="Times New Roman" w:cs="Times New Roman"/>
                <w:sz w:val="24"/>
                <w:szCs w:val="24"/>
                <w:lang w:eastAsia="uk-UA"/>
              </w:rPr>
            </w:pPr>
            <w:r w:rsidRPr="008B273E">
              <w:rPr>
                <w:rFonts w:ascii="Times New Roman" w:eastAsiaTheme="minorEastAsia" w:hAnsi="Times New Roman" w:cs="Times New Roman"/>
                <w:sz w:val="24"/>
                <w:szCs w:val="24"/>
                <w:lang w:eastAsia="uk-UA"/>
              </w:rPr>
              <w:t xml:space="preserve">6. Ця постанова набирає чинності з </w:t>
            </w:r>
            <w:r w:rsidRPr="00B428CC">
              <w:rPr>
                <w:rFonts w:ascii="Times New Roman" w:eastAsiaTheme="minorEastAsia" w:hAnsi="Times New Roman" w:cs="Times New Roman"/>
                <w:sz w:val="24"/>
                <w:szCs w:val="24"/>
                <w:lang w:eastAsia="uk-UA"/>
              </w:rPr>
              <w:t>1 жовтня 201</w:t>
            </w:r>
            <w:r w:rsidR="00B428CC" w:rsidRPr="00B428CC">
              <w:rPr>
                <w:rFonts w:ascii="Times New Roman" w:eastAsiaTheme="minorEastAsia" w:hAnsi="Times New Roman" w:cs="Times New Roman"/>
                <w:sz w:val="24"/>
                <w:szCs w:val="24"/>
                <w:lang w:val="ru-RU" w:eastAsia="uk-UA"/>
              </w:rPr>
              <w:t>4</w:t>
            </w:r>
            <w:r w:rsidRPr="00B428CC">
              <w:rPr>
                <w:rFonts w:ascii="Times New Roman" w:eastAsiaTheme="minorEastAsia" w:hAnsi="Times New Roman" w:cs="Times New Roman"/>
                <w:sz w:val="24"/>
                <w:szCs w:val="24"/>
                <w:lang w:eastAsia="uk-UA"/>
              </w:rPr>
              <w:t xml:space="preserve"> року.</w:t>
            </w:r>
          </w:p>
        </w:tc>
      </w:tr>
      <w:tr w:rsidR="002B37BB" w:rsidRPr="008B273E" w:rsidTr="00B428CC">
        <w:trPr>
          <w:trHeight w:val="861"/>
        </w:trPr>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2B37BB" w:rsidRPr="00B428CC" w:rsidTr="00212F47">
              <w:trPr>
                <w:tblCellSpacing w:w="22" w:type="dxa"/>
              </w:trPr>
              <w:tc>
                <w:tcPr>
                  <w:tcW w:w="2500" w:type="pct"/>
                  <w:hideMark/>
                </w:tcPr>
                <w:p w:rsidR="002B37BB" w:rsidRPr="00B428CC" w:rsidRDefault="002B37BB" w:rsidP="00B428CC">
                  <w:pPr>
                    <w:pStyle w:val="NormalWeb"/>
                    <w:jc w:val="center"/>
                  </w:pPr>
                  <w:r w:rsidRPr="00B428CC">
                    <w:rPr>
                      <w:bCs/>
                    </w:rPr>
                    <w:t>Прем'єр-міністр України</w:t>
                  </w:r>
                </w:p>
              </w:tc>
              <w:tc>
                <w:tcPr>
                  <w:tcW w:w="2500" w:type="pct"/>
                  <w:hideMark/>
                </w:tcPr>
                <w:p w:rsidR="002B37BB" w:rsidRPr="00B428CC" w:rsidRDefault="002B37BB" w:rsidP="00B428CC">
                  <w:pPr>
                    <w:pStyle w:val="NormalWeb"/>
                    <w:jc w:val="center"/>
                  </w:pPr>
                  <w:r w:rsidRPr="00B428CC">
                    <w:rPr>
                      <w:bCs/>
                    </w:rPr>
                    <w:t>А. ЯЦЕНЮК</w:t>
                  </w:r>
                </w:p>
              </w:tc>
            </w:tr>
          </w:tbl>
          <w:p w:rsidR="002B37BB" w:rsidRPr="00B428CC" w:rsidRDefault="002B37BB" w:rsidP="00B428CC">
            <w:pPr>
              <w:jc w:val="center"/>
              <w:rPr>
                <w:rFonts w:ascii="Times New Roman" w:eastAsiaTheme="minorEastAsia" w:hAnsi="Times New Roman" w:cs="Times New Roman"/>
                <w:sz w:val="24"/>
                <w:szCs w:val="24"/>
                <w:lang w:eastAsia="uk-UA"/>
              </w:rPr>
            </w:pPr>
          </w:p>
        </w:tc>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2B37BB" w:rsidRPr="00B428CC" w:rsidTr="00212F47">
              <w:trPr>
                <w:tblCellSpacing w:w="22" w:type="dxa"/>
              </w:trPr>
              <w:tc>
                <w:tcPr>
                  <w:tcW w:w="2500" w:type="pct"/>
                  <w:hideMark/>
                </w:tcPr>
                <w:p w:rsidR="002B37BB" w:rsidRPr="00B428CC" w:rsidRDefault="002B37BB" w:rsidP="00B428CC">
                  <w:pPr>
                    <w:pStyle w:val="NormalWeb"/>
                    <w:jc w:val="center"/>
                  </w:pPr>
                  <w:r w:rsidRPr="00B428CC">
                    <w:rPr>
                      <w:bCs/>
                    </w:rPr>
                    <w:t>Прем'єр-міністр України</w:t>
                  </w:r>
                </w:p>
              </w:tc>
              <w:tc>
                <w:tcPr>
                  <w:tcW w:w="2500" w:type="pct"/>
                  <w:hideMark/>
                </w:tcPr>
                <w:p w:rsidR="002B37BB" w:rsidRPr="00B428CC" w:rsidRDefault="002B37BB" w:rsidP="00B428CC">
                  <w:pPr>
                    <w:pStyle w:val="NormalWeb"/>
                    <w:jc w:val="center"/>
                  </w:pPr>
                  <w:r w:rsidRPr="00B428CC">
                    <w:rPr>
                      <w:bCs/>
                    </w:rPr>
                    <w:t>В. ГРОЙСМАН</w:t>
                  </w:r>
                </w:p>
              </w:tc>
            </w:tr>
          </w:tbl>
          <w:p w:rsidR="002B37BB" w:rsidRPr="00B428CC" w:rsidRDefault="002B37BB" w:rsidP="00B428CC">
            <w:pPr>
              <w:jc w:val="center"/>
              <w:rPr>
                <w:rFonts w:ascii="Times New Roman" w:eastAsiaTheme="minorEastAsia" w:hAnsi="Times New Roman" w:cs="Times New Roman"/>
                <w:sz w:val="24"/>
                <w:szCs w:val="24"/>
                <w:lang w:eastAsia="uk-UA"/>
              </w:rPr>
            </w:pPr>
          </w:p>
        </w:tc>
      </w:tr>
      <w:tr w:rsidR="005F368D" w:rsidRPr="008B273E" w:rsidTr="00073CF8">
        <w:trPr>
          <w:trHeight w:val="1399"/>
        </w:trPr>
        <w:tc>
          <w:tcPr>
            <w:tcW w:w="15354" w:type="dxa"/>
            <w:gridSpan w:val="2"/>
            <w:vAlign w:val="center"/>
          </w:tcPr>
          <w:p w:rsidR="005F368D" w:rsidRPr="008B273E" w:rsidRDefault="005F368D" w:rsidP="00073CF8">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Постанова Кабінету Міністрів України</w:t>
            </w:r>
          </w:p>
          <w:p w:rsidR="005F368D" w:rsidRPr="008B273E" w:rsidRDefault="005F368D" w:rsidP="00073CF8">
            <w:pPr>
              <w:jc w:val="center"/>
              <w:rPr>
                <w:rFonts w:ascii="Times New Roman" w:eastAsia="Calibri" w:hAnsi="Times New Roman" w:cs="Times New Roman"/>
                <w:b/>
                <w:bCs/>
                <w:iCs/>
                <w:sz w:val="28"/>
                <w:szCs w:val="28"/>
                <w:lang w:eastAsia="ru-RU"/>
              </w:rPr>
            </w:pPr>
            <w:r w:rsidRPr="008B273E">
              <w:rPr>
                <w:rFonts w:ascii="Times New Roman" w:eastAsia="Calibri" w:hAnsi="Times New Roman" w:cs="Times New Roman"/>
                <w:b/>
                <w:bCs/>
                <w:iCs/>
                <w:sz w:val="28"/>
                <w:szCs w:val="28"/>
                <w:lang w:eastAsia="ru-RU"/>
              </w:rPr>
              <w:t>від 23.03.2016 №203</w:t>
            </w:r>
          </w:p>
          <w:p w:rsidR="005F368D" w:rsidRPr="008B273E" w:rsidRDefault="005F368D" w:rsidP="00073CF8">
            <w:pPr>
              <w:jc w:val="center"/>
              <w:rPr>
                <w:rFonts w:ascii="Times New Roman" w:eastAsiaTheme="minorEastAsia" w:hAnsi="Times New Roman" w:cs="Times New Roman"/>
                <w:sz w:val="24"/>
                <w:szCs w:val="24"/>
                <w:lang w:eastAsia="uk-UA"/>
              </w:rPr>
            </w:pPr>
            <w:r w:rsidRPr="008B273E">
              <w:rPr>
                <w:rFonts w:ascii="Times New Roman" w:eastAsia="Calibri" w:hAnsi="Times New Roman" w:cs="Times New Roman"/>
                <w:b/>
                <w:bCs/>
                <w:iCs/>
                <w:sz w:val="28"/>
                <w:szCs w:val="28"/>
                <w:lang w:eastAsia="ru-RU"/>
              </w:rPr>
              <w:t>«Про норми споживання природного газу населенням у разі відсутності газових лічильників»</w:t>
            </w:r>
          </w:p>
        </w:tc>
      </w:tr>
      <w:tr w:rsidR="008B273E" w:rsidRPr="008B273E" w:rsidTr="00965391">
        <w:tc>
          <w:tcPr>
            <w:tcW w:w="7677" w:type="dxa"/>
          </w:tcPr>
          <w:p w:rsidR="008B273E" w:rsidRPr="008B273E" w:rsidRDefault="008B273E" w:rsidP="008B273E">
            <w:pPr>
              <w:pStyle w:val="NormalWeb"/>
              <w:jc w:val="both"/>
              <w:rPr>
                <w:lang w:val="ru-RU"/>
              </w:rPr>
            </w:pPr>
            <w:r>
              <w:t xml:space="preserve">З метою стабільного забезпечення споживачів природним газом Кабінет Міністрів України </w:t>
            </w:r>
            <w:r w:rsidRPr="001D0A1C">
              <w:rPr>
                <w:bCs/>
              </w:rPr>
              <w:t>постановляє</w:t>
            </w:r>
            <w:r w:rsidRPr="001D0A1C">
              <w:t>:</w:t>
            </w:r>
          </w:p>
        </w:tc>
        <w:tc>
          <w:tcPr>
            <w:tcW w:w="7677" w:type="dxa"/>
          </w:tcPr>
          <w:p w:rsidR="008B273E" w:rsidRPr="008B273E" w:rsidRDefault="008B273E" w:rsidP="00212F47">
            <w:pPr>
              <w:pStyle w:val="NormalWeb"/>
              <w:jc w:val="both"/>
              <w:rPr>
                <w:lang w:val="ru-RU"/>
              </w:rPr>
            </w:pPr>
            <w:r>
              <w:t xml:space="preserve">З метою стабільного забезпечення споживачів природним газом Кабінет Міністрів України </w:t>
            </w:r>
            <w:r w:rsidRPr="001D0A1C">
              <w:rPr>
                <w:bCs/>
              </w:rPr>
              <w:t>постановляє</w:t>
            </w:r>
            <w:r w:rsidRPr="001D0A1C">
              <w:t>:</w:t>
            </w:r>
          </w:p>
        </w:tc>
      </w:tr>
      <w:tr w:rsidR="008B273E" w:rsidRPr="008B273E" w:rsidTr="00965391">
        <w:tc>
          <w:tcPr>
            <w:tcW w:w="7677" w:type="dxa"/>
          </w:tcPr>
          <w:p w:rsidR="008B273E" w:rsidRPr="008B273E" w:rsidRDefault="008B273E" w:rsidP="008B273E">
            <w:pPr>
              <w:pStyle w:val="NormalWeb"/>
              <w:jc w:val="both"/>
              <w:rPr>
                <w:lang w:val="ru-RU"/>
              </w:rPr>
            </w:pPr>
            <w:r>
              <w:t>1. Затвердити норми споживання природного газу населенням у разі відсутності газових лічильників згідно з додатком.</w:t>
            </w:r>
          </w:p>
        </w:tc>
        <w:tc>
          <w:tcPr>
            <w:tcW w:w="7677" w:type="dxa"/>
          </w:tcPr>
          <w:p w:rsidR="008B273E" w:rsidRPr="008B273E" w:rsidRDefault="008B273E" w:rsidP="00212F47">
            <w:pPr>
              <w:pStyle w:val="NormalWeb"/>
              <w:jc w:val="both"/>
              <w:rPr>
                <w:lang w:val="ru-RU"/>
              </w:rPr>
            </w:pPr>
            <w:r>
              <w:t>1. Затвердити норми споживання природного газу населенням у разі відсутності газових лічильників згідно з додатком.</w:t>
            </w:r>
          </w:p>
        </w:tc>
      </w:tr>
      <w:tr w:rsidR="008B273E" w:rsidRPr="008B273E" w:rsidTr="00965391">
        <w:tc>
          <w:tcPr>
            <w:tcW w:w="7677" w:type="dxa"/>
          </w:tcPr>
          <w:p w:rsidR="008B273E" w:rsidRPr="008B273E" w:rsidRDefault="008B273E" w:rsidP="008B273E">
            <w:pPr>
              <w:pStyle w:val="NormalWeb"/>
              <w:jc w:val="both"/>
              <w:rPr>
                <w:lang w:val="ru-RU"/>
              </w:rPr>
            </w:pPr>
            <w:r>
              <w:t xml:space="preserve">2. Установити, що застосування норм споживання природного газу населенням у разі відсутності газових лічильників, затверджених пунктом 1 цієї постанови, здійснюється з 1 лютого 2016 року. </w:t>
            </w:r>
          </w:p>
        </w:tc>
        <w:tc>
          <w:tcPr>
            <w:tcW w:w="7677" w:type="dxa"/>
          </w:tcPr>
          <w:p w:rsidR="008B273E" w:rsidRPr="008B273E" w:rsidRDefault="008B273E" w:rsidP="00212F47">
            <w:pPr>
              <w:pStyle w:val="NormalWeb"/>
              <w:jc w:val="both"/>
              <w:rPr>
                <w:lang w:val="ru-RU"/>
              </w:rPr>
            </w:pPr>
            <w:r>
              <w:t xml:space="preserve">2. Установити, що застосування норм споживання природного газу населенням у разі відсутності газових лічильників, затверджених пунктом 1 цієї постанови, здійснюється з 1 лютого 2016 року. </w:t>
            </w:r>
          </w:p>
        </w:tc>
      </w:tr>
      <w:tr w:rsidR="008B273E" w:rsidRPr="008B273E" w:rsidTr="00073CF8">
        <w:trPr>
          <w:trHeight w:val="731"/>
        </w:trPr>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8B273E" w:rsidRPr="00B428CC" w:rsidTr="00212F47">
              <w:trPr>
                <w:tblCellSpacing w:w="22" w:type="dxa"/>
              </w:trPr>
              <w:tc>
                <w:tcPr>
                  <w:tcW w:w="2500" w:type="pct"/>
                  <w:hideMark/>
                </w:tcPr>
                <w:p w:rsidR="008B273E" w:rsidRPr="00B428CC" w:rsidRDefault="008B273E" w:rsidP="00073CF8">
                  <w:pPr>
                    <w:pStyle w:val="NormalWeb"/>
                    <w:jc w:val="center"/>
                  </w:pPr>
                  <w:r w:rsidRPr="00B428CC">
                    <w:rPr>
                      <w:bCs/>
                    </w:rPr>
                    <w:t>Прем'єр-міністр України</w:t>
                  </w:r>
                </w:p>
              </w:tc>
              <w:tc>
                <w:tcPr>
                  <w:tcW w:w="2500" w:type="pct"/>
                  <w:hideMark/>
                </w:tcPr>
                <w:p w:rsidR="008B273E" w:rsidRPr="00B428CC" w:rsidRDefault="008B273E" w:rsidP="00073CF8">
                  <w:pPr>
                    <w:pStyle w:val="NormalWeb"/>
                    <w:jc w:val="center"/>
                  </w:pPr>
                  <w:r w:rsidRPr="00B428CC">
                    <w:rPr>
                      <w:bCs/>
                    </w:rPr>
                    <w:t>А. ЯЦЕНЮК</w:t>
                  </w:r>
                </w:p>
              </w:tc>
            </w:tr>
          </w:tbl>
          <w:p w:rsidR="008B273E" w:rsidRPr="00B428CC" w:rsidRDefault="008B273E" w:rsidP="00073CF8">
            <w:pPr>
              <w:jc w:val="center"/>
              <w:rPr>
                <w:rFonts w:ascii="Times New Roman" w:eastAsiaTheme="minorEastAsia" w:hAnsi="Times New Roman" w:cs="Times New Roman"/>
                <w:sz w:val="24"/>
                <w:szCs w:val="24"/>
                <w:lang w:val="ru-RU" w:eastAsia="uk-UA"/>
              </w:rPr>
            </w:pPr>
          </w:p>
        </w:tc>
        <w:tc>
          <w:tcPr>
            <w:tcW w:w="7677" w:type="dxa"/>
            <w:vAlign w:val="center"/>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0"/>
              <w:gridCol w:w="3731"/>
            </w:tblGrid>
            <w:tr w:rsidR="008B273E" w:rsidRPr="00B428CC" w:rsidTr="00212F47">
              <w:trPr>
                <w:tblCellSpacing w:w="22" w:type="dxa"/>
              </w:trPr>
              <w:tc>
                <w:tcPr>
                  <w:tcW w:w="2500" w:type="pct"/>
                  <w:hideMark/>
                </w:tcPr>
                <w:p w:rsidR="008B273E" w:rsidRPr="00B428CC" w:rsidRDefault="008B273E" w:rsidP="00073CF8">
                  <w:pPr>
                    <w:pStyle w:val="NormalWeb"/>
                    <w:jc w:val="center"/>
                  </w:pPr>
                  <w:r w:rsidRPr="00B428CC">
                    <w:rPr>
                      <w:bCs/>
                    </w:rPr>
                    <w:t>Прем'єр-міністр України</w:t>
                  </w:r>
                </w:p>
              </w:tc>
              <w:tc>
                <w:tcPr>
                  <w:tcW w:w="2500" w:type="pct"/>
                  <w:hideMark/>
                </w:tcPr>
                <w:p w:rsidR="008B273E" w:rsidRPr="00B428CC" w:rsidRDefault="008B273E" w:rsidP="00073CF8">
                  <w:pPr>
                    <w:pStyle w:val="NormalWeb"/>
                    <w:jc w:val="center"/>
                  </w:pPr>
                  <w:r w:rsidRPr="00B428CC">
                    <w:rPr>
                      <w:bCs/>
                    </w:rPr>
                    <w:t>В. ГРОЙСМАН</w:t>
                  </w:r>
                </w:p>
              </w:tc>
            </w:tr>
          </w:tbl>
          <w:p w:rsidR="008B273E" w:rsidRPr="00B428CC" w:rsidRDefault="008B273E" w:rsidP="00073CF8">
            <w:pPr>
              <w:jc w:val="center"/>
              <w:rPr>
                <w:rFonts w:ascii="Times New Roman" w:eastAsiaTheme="minorEastAsia" w:hAnsi="Times New Roman" w:cs="Times New Roman"/>
                <w:sz w:val="24"/>
                <w:szCs w:val="24"/>
                <w:lang w:eastAsia="uk-UA"/>
              </w:rPr>
            </w:pPr>
          </w:p>
        </w:tc>
      </w:tr>
    </w:tbl>
    <w:p w:rsidR="00BC64BA" w:rsidRDefault="00BC64BA"/>
    <w:p w:rsidR="00BC64BA" w:rsidRDefault="00BC64BA">
      <w:r>
        <w:br w:type="page"/>
      </w:r>
    </w:p>
    <w:p w:rsidR="00BC64BA" w:rsidRDefault="00BC64BA">
      <w:pPr>
        <w:sectPr w:rsidR="00BC64BA" w:rsidSect="00965391">
          <w:pgSz w:w="16838" w:h="11906" w:orient="landscape"/>
          <w:pgMar w:top="1135" w:right="850" w:bottom="850" w:left="850" w:header="708" w:footer="708" w:gutter="0"/>
          <w:cols w:space="708"/>
          <w:docGrid w:linePitch="360"/>
        </w:sectPr>
      </w:pPr>
    </w:p>
    <w:tbl>
      <w:tblPr>
        <w:tblStyle w:val="TableGrid"/>
        <w:tblW w:w="0" w:type="auto"/>
        <w:tblLook w:val="04A0" w:firstRow="1" w:lastRow="0" w:firstColumn="1" w:lastColumn="0" w:noHBand="0" w:noVBand="1"/>
      </w:tblPr>
      <w:tblGrid>
        <w:gridCol w:w="11164"/>
        <w:gridCol w:w="11164"/>
      </w:tblGrid>
      <w:tr w:rsidR="00BC64BA" w:rsidTr="00BC64BA">
        <w:tc>
          <w:tcPr>
            <w:tcW w:w="11164" w:type="dxa"/>
          </w:tcPr>
          <w:p w:rsidR="00BC64BA" w:rsidRDefault="00BC64BA" w:rsidP="00BC64BA">
            <w:pPr>
              <w:jc w:val="right"/>
            </w:pPr>
            <w:r w:rsidRPr="00BC64BA">
              <w:rPr>
                <w:rFonts w:ascii="Times New Roman" w:eastAsiaTheme="minorEastAsia" w:hAnsi="Times New Roman" w:cs="Times New Roman"/>
                <w:sz w:val="24"/>
                <w:szCs w:val="24"/>
                <w:lang w:eastAsia="uk-UA"/>
              </w:rPr>
              <w:lastRenderedPageBreak/>
              <w:t xml:space="preserve">Додаток </w:t>
            </w:r>
            <w:r w:rsidRPr="00BC64BA">
              <w:rPr>
                <w:rFonts w:ascii="Times New Roman" w:eastAsiaTheme="minorEastAsia" w:hAnsi="Times New Roman" w:cs="Times New Roman"/>
                <w:sz w:val="24"/>
                <w:szCs w:val="24"/>
                <w:lang w:eastAsia="uk-UA"/>
              </w:rPr>
              <w:br/>
              <w:t>до постанови Кабінету Міністрів України</w:t>
            </w:r>
            <w:r w:rsidRPr="00BC64BA">
              <w:rPr>
                <w:rFonts w:ascii="Times New Roman" w:eastAsiaTheme="minorEastAsia" w:hAnsi="Times New Roman" w:cs="Times New Roman"/>
                <w:sz w:val="24"/>
                <w:szCs w:val="24"/>
                <w:lang w:eastAsia="uk-UA"/>
              </w:rPr>
              <w:br/>
              <w:t>від 23 березня 2016 р. N 203</w:t>
            </w:r>
          </w:p>
        </w:tc>
        <w:tc>
          <w:tcPr>
            <w:tcW w:w="11164" w:type="dxa"/>
          </w:tcPr>
          <w:p w:rsidR="00BC64BA" w:rsidRDefault="00BC64BA" w:rsidP="00212F47">
            <w:pPr>
              <w:jc w:val="right"/>
            </w:pPr>
            <w:r w:rsidRPr="00BC64BA">
              <w:rPr>
                <w:rFonts w:ascii="Times New Roman" w:eastAsiaTheme="minorEastAsia" w:hAnsi="Times New Roman" w:cs="Times New Roman"/>
                <w:sz w:val="24"/>
                <w:szCs w:val="24"/>
                <w:lang w:eastAsia="uk-UA"/>
              </w:rPr>
              <w:t xml:space="preserve">Додаток </w:t>
            </w:r>
            <w:r w:rsidRPr="00BC64BA">
              <w:rPr>
                <w:rFonts w:ascii="Times New Roman" w:eastAsiaTheme="minorEastAsia" w:hAnsi="Times New Roman" w:cs="Times New Roman"/>
                <w:sz w:val="24"/>
                <w:szCs w:val="24"/>
                <w:lang w:eastAsia="uk-UA"/>
              </w:rPr>
              <w:br/>
              <w:t>до постанови Кабінету Міністрів України</w:t>
            </w:r>
            <w:r w:rsidRPr="00BC64BA">
              <w:rPr>
                <w:rFonts w:ascii="Times New Roman" w:eastAsiaTheme="minorEastAsia" w:hAnsi="Times New Roman" w:cs="Times New Roman"/>
                <w:sz w:val="24"/>
                <w:szCs w:val="24"/>
                <w:lang w:eastAsia="uk-UA"/>
              </w:rPr>
              <w:br/>
              <w:t>від 23 березня 2016 р. N 203</w:t>
            </w:r>
          </w:p>
        </w:tc>
      </w:tr>
      <w:tr w:rsidR="00BC64BA" w:rsidTr="00BC64BA">
        <w:tc>
          <w:tcPr>
            <w:tcW w:w="11164" w:type="dxa"/>
          </w:tcPr>
          <w:p w:rsidR="00BC64BA" w:rsidRPr="00BC64BA" w:rsidRDefault="00BC64BA" w:rsidP="00BC64BA">
            <w:pPr>
              <w:pStyle w:val="Heading3"/>
              <w:jc w:val="center"/>
              <w:outlineLvl w:val="2"/>
              <w:rPr>
                <w:b w:val="0"/>
              </w:rPr>
            </w:pPr>
            <w:r w:rsidRPr="00BC64BA">
              <w:rPr>
                <w:rFonts w:eastAsia="Times New Roman"/>
                <w:b w:val="0"/>
              </w:rPr>
              <w:t>НОРМИ</w:t>
            </w:r>
            <w:r w:rsidRPr="00BC64BA">
              <w:rPr>
                <w:rFonts w:eastAsia="Times New Roman"/>
                <w:b w:val="0"/>
              </w:rPr>
              <w:br/>
              <w:t>споживання природного газу населенням у разі відсутності газових лічильників</w:t>
            </w:r>
          </w:p>
        </w:tc>
        <w:tc>
          <w:tcPr>
            <w:tcW w:w="11164" w:type="dxa"/>
          </w:tcPr>
          <w:p w:rsidR="00BC64BA" w:rsidRPr="00BC64BA" w:rsidRDefault="00BC64BA" w:rsidP="00212F47">
            <w:pPr>
              <w:pStyle w:val="Heading3"/>
              <w:jc w:val="center"/>
              <w:outlineLvl w:val="2"/>
              <w:rPr>
                <w:b w:val="0"/>
              </w:rPr>
            </w:pPr>
            <w:r w:rsidRPr="00BC64BA">
              <w:rPr>
                <w:rFonts w:eastAsia="Times New Roman"/>
                <w:b w:val="0"/>
              </w:rPr>
              <w:t>НОРМИ</w:t>
            </w:r>
            <w:r w:rsidRPr="00BC64BA">
              <w:rPr>
                <w:rFonts w:eastAsia="Times New Roman"/>
                <w:b w:val="0"/>
              </w:rPr>
              <w:br/>
              <w:t>споживання природного газу населенням у разі відсутності газових лічильників</w:t>
            </w:r>
          </w:p>
        </w:tc>
      </w:tr>
      <w:tr w:rsidR="00BC64BA" w:rsidTr="00BC64BA">
        <w:tc>
          <w:tcPr>
            <w:tcW w:w="11164"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97"/>
              <w:gridCol w:w="2195"/>
              <w:gridCol w:w="2540"/>
            </w:tblGrid>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Вид споживання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Одиниця виміру</w:t>
                  </w:r>
                </w:p>
              </w:tc>
              <w:tc>
                <w:tcPr>
                  <w:tcW w:w="1150"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Норма споживання</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за наявності централізованого гарячого водопостачання</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куб. метрів</w:t>
                  </w:r>
                  <w:r>
                    <w:br/>
                    <w:t>людино-міс</w:t>
                  </w:r>
                  <w:r w:rsidR="00CC0B8D">
                    <w:t>я</w:t>
                  </w:r>
                  <w:r>
                    <w:t>ць</w:t>
                  </w:r>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3,3</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у разі відсутності централізованого гарячого водопостачання та газового водонагрівача</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 " -</w:t>
                  </w:r>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5,4</w:t>
                  </w:r>
                </w:p>
              </w:tc>
            </w:tr>
            <w:tr w:rsidR="00BC64BA" w:rsidTr="00212F47">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pPr>
                  <w:r>
                    <w:t>Плита газова та водонагрівач</w:t>
                  </w:r>
                </w:p>
              </w:tc>
              <w:tc>
                <w:tcPr>
                  <w:tcW w:w="100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 " -</w:t>
                  </w:r>
                </w:p>
              </w:tc>
              <w:tc>
                <w:tcPr>
                  <w:tcW w:w="1150" w:type="pct"/>
                  <w:tcBorders>
                    <w:top w:val="outset" w:sz="6" w:space="0" w:color="auto"/>
                    <w:left w:val="outset" w:sz="6" w:space="0" w:color="auto"/>
                    <w:bottom w:val="outset" w:sz="6" w:space="0" w:color="auto"/>
                    <w:right w:val="outset" w:sz="6" w:space="0" w:color="auto"/>
                  </w:tcBorders>
                  <w:hideMark/>
                </w:tcPr>
                <w:p w:rsidR="00BC64BA" w:rsidRDefault="00BC64BA" w:rsidP="00212F47">
                  <w:pPr>
                    <w:pStyle w:val="NormalWeb"/>
                    <w:jc w:val="center"/>
                  </w:pPr>
                  <w:r>
                    <w:t>10,5</w:t>
                  </w:r>
                </w:p>
              </w:tc>
            </w:tr>
          </w:tbl>
          <w:p w:rsidR="00BC64BA" w:rsidRDefault="00BC64BA"/>
        </w:tc>
        <w:tc>
          <w:tcPr>
            <w:tcW w:w="11164" w:type="dxa"/>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6"/>
              <w:gridCol w:w="2139"/>
              <w:gridCol w:w="1829"/>
              <w:gridCol w:w="2118"/>
            </w:tblGrid>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Вид споживання</w:t>
                  </w:r>
                </w:p>
              </w:tc>
              <w:tc>
                <w:tcPr>
                  <w:tcW w:w="958" w:type="pct"/>
                  <w:tcBorders>
                    <w:top w:val="outset" w:sz="6" w:space="0" w:color="auto"/>
                    <w:left w:val="outset" w:sz="6" w:space="0" w:color="auto"/>
                    <w:bottom w:val="outset" w:sz="6" w:space="0" w:color="auto"/>
                    <w:right w:val="outset" w:sz="6" w:space="0" w:color="auto"/>
                  </w:tcBorders>
                </w:tcPr>
                <w:p w:rsidR="00BC64BA" w:rsidRPr="00BC64BA" w:rsidRDefault="00BC64BA" w:rsidP="00212F47">
                  <w:pPr>
                    <w:pStyle w:val="NormalWeb"/>
                    <w:jc w:val="center"/>
                  </w:pPr>
                  <w:r>
                    <w:rPr>
                      <w:lang w:val="ru-RU"/>
                    </w:rPr>
                    <w:t>М</w:t>
                  </w:r>
                  <w:proofErr w:type="spellStart"/>
                  <w:r>
                    <w:t>ісяць</w:t>
                  </w:r>
                  <w:proofErr w:type="spellEnd"/>
                  <w:r>
                    <w:t xml:space="preserve"> споживання</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Одиниця виміру</w:t>
                  </w:r>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212F47">
                  <w:pPr>
                    <w:pStyle w:val="NormalWeb"/>
                    <w:jc w:val="center"/>
                  </w:pPr>
                  <w:r>
                    <w:t>Норма споживання</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за наявності централізованого гарячого водопостачання</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8,8</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за наявності централізованого гарячого водопостачання</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5,8</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у разі відсутності централізованого гарячого водопостачання та газового водонагрівача</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13,7</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у разі відсутності централізованого гарячого водопостачання та газового водонагрівача</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8,3</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pPr>
                  <w:r>
                    <w:t>Плита газова та водонагрівач</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жовтень, листопад, грудень, січень, лютий, березень</w:t>
                  </w:r>
                </w:p>
              </w:tc>
              <w:tc>
                <w:tcPr>
                  <w:tcW w:w="816" w:type="pct"/>
                  <w:tcBorders>
                    <w:top w:val="outset" w:sz="6" w:space="0" w:color="auto"/>
                    <w:left w:val="outset" w:sz="6" w:space="0" w:color="auto"/>
                    <w:bottom w:val="outset" w:sz="6" w:space="0" w:color="auto"/>
                    <w:right w:val="outset" w:sz="6" w:space="0" w:color="auto"/>
                  </w:tcBorders>
                  <w:vAlign w:val="center"/>
                  <w:hideMark/>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hideMark/>
                </w:tcPr>
                <w:p w:rsidR="00BC64BA" w:rsidRPr="00BC64BA" w:rsidRDefault="00BC64BA" w:rsidP="00BC64BA">
                  <w:pPr>
                    <w:pStyle w:val="NormalWeb"/>
                    <w:jc w:val="center"/>
                    <w:rPr>
                      <w:b/>
                    </w:rPr>
                  </w:pPr>
                  <w:r w:rsidRPr="00BC64BA">
                    <w:rPr>
                      <w:b/>
                    </w:rPr>
                    <w:t>25,0</w:t>
                  </w:r>
                </w:p>
              </w:tc>
            </w:tr>
            <w:tr w:rsidR="00BC64BA" w:rsidTr="00BC64BA">
              <w:trPr>
                <w:tblCellSpacing w:w="22" w:type="dxa"/>
              </w:trPr>
              <w:tc>
                <w:tcPr>
                  <w:tcW w:w="218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pPr>
                  <w:r>
                    <w:t>Плита газова та водонагрівач</w:t>
                  </w:r>
                </w:p>
              </w:tc>
              <w:tc>
                <w:tcPr>
                  <w:tcW w:w="958" w:type="pct"/>
                  <w:tcBorders>
                    <w:top w:val="outset" w:sz="6" w:space="0" w:color="auto"/>
                    <w:left w:val="outset" w:sz="6" w:space="0" w:color="auto"/>
                    <w:bottom w:val="outset" w:sz="6" w:space="0" w:color="auto"/>
                    <w:right w:val="outset" w:sz="6" w:space="0" w:color="auto"/>
                  </w:tcBorders>
                  <w:vAlign w:val="center"/>
                </w:tcPr>
                <w:p w:rsidR="00BC64BA" w:rsidRPr="00BC64BA" w:rsidRDefault="00BC64BA" w:rsidP="00BC64BA">
                  <w:pPr>
                    <w:pStyle w:val="NormalWeb"/>
                    <w:jc w:val="center"/>
                    <w:rPr>
                      <w:b/>
                    </w:rPr>
                  </w:pPr>
                  <w:r w:rsidRPr="00BC64BA">
                    <w:rPr>
                      <w:b/>
                    </w:rPr>
                    <w:t>квітень, травень, червень, липень, серпень, вересень</w:t>
                  </w:r>
                </w:p>
              </w:tc>
              <w:tc>
                <w:tcPr>
                  <w:tcW w:w="816" w:type="pct"/>
                  <w:tcBorders>
                    <w:top w:val="outset" w:sz="6" w:space="0" w:color="auto"/>
                    <w:left w:val="outset" w:sz="6" w:space="0" w:color="auto"/>
                    <w:bottom w:val="outset" w:sz="6" w:space="0" w:color="auto"/>
                    <w:right w:val="outset" w:sz="6" w:space="0" w:color="auto"/>
                  </w:tcBorders>
                  <w:vAlign w:val="center"/>
                </w:tcPr>
                <w:p w:rsidR="00BC64BA" w:rsidRDefault="00BC64BA" w:rsidP="00BC64BA">
                  <w:pPr>
                    <w:pStyle w:val="NormalWeb"/>
                    <w:jc w:val="center"/>
                  </w:pPr>
                  <w:r>
                    <w:t>куб. метрів</w:t>
                  </w:r>
                  <w:r>
                    <w:br/>
                    <w:t>людино-міс</w:t>
                  </w:r>
                  <w:r w:rsidR="00CC0B8D">
                    <w:t>я</w:t>
                  </w:r>
                  <w:r>
                    <w:t>ць</w:t>
                  </w:r>
                </w:p>
              </w:tc>
              <w:tc>
                <w:tcPr>
                  <w:tcW w:w="939" w:type="pct"/>
                  <w:tcBorders>
                    <w:top w:val="outset" w:sz="6" w:space="0" w:color="auto"/>
                    <w:left w:val="outset" w:sz="6" w:space="0" w:color="auto"/>
                    <w:bottom w:val="outset" w:sz="6" w:space="0" w:color="auto"/>
                    <w:right w:val="outset" w:sz="6" w:space="0" w:color="auto"/>
                  </w:tcBorders>
                  <w:vAlign w:val="center"/>
                </w:tcPr>
                <w:p w:rsidR="00BC64BA" w:rsidRPr="0011596E" w:rsidRDefault="00BC64BA" w:rsidP="00BC64BA">
                  <w:pPr>
                    <w:pStyle w:val="NormalWeb"/>
                    <w:jc w:val="center"/>
                    <w:rPr>
                      <w:b/>
                    </w:rPr>
                  </w:pPr>
                  <w:r w:rsidRPr="0011596E">
                    <w:rPr>
                      <w:b/>
                    </w:rPr>
                    <w:t>20,0</w:t>
                  </w:r>
                </w:p>
              </w:tc>
            </w:tr>
          </w:tbl>
          <w:p w:rsidR="00BC64BA" w:rsidRDefault="00BC64BA"/>
        </w:tc>
      </w:tr>
      <w:tr w:rsidR="00BC64BA" w:rsidTr="00BC64BA">
        <w:tc>
          <w:tcPr>
            <w:tcW w:w="11164"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184"/>
              <w:gridCol w:w="9764"/>
            </w:tblGrid>
            <w:tr w:rsidR="00A7358F" w:rsidTr="00A7358F">
              <w:trPr>
                <w:tblCellSpacing w:w="22" w:type="dxa"/>
              </w:trPr>
              <w:tc>
                <w:tcPr>
                  <w:tcW w:w="511" w:type="pct"/>
                  <w:hideMark/>
                </w:tcPr>
                <w:p w:rsidR="00A7358F" w:rsidRPr="00A7358F" w:rsidRDefault="00A7358F" w:rsidP="00212F47">
                  <w:pPr>
                    <w:pStyle w:val="NormalWeb"/>
                    <w:jc w:val="center"/>
                  </w:pPr>
                  <w:r w:rsidRPr="00A7358F">
                    <w:rPr>
                      <w:bCs/>
                    </w:rPr>
                    <w:t>Примітка.</w:t>
                  </w:r>
                </w:p>
              </w:tc>
              <w:tc>
                <w:tcPr>
                  <w:tcW w:w="4429" w:type="pct"/>
                  <w:hideMark/>
                </w:tcPr>
                <w:p w:rsidR="00A7358F" w:rsidRDefault="00A7358F" w:rsidP="00212F47">
                  <w:pPr>
                    <w:pStyle w:val="NormalWeb"/>
                    <w:jc w:val="both"/>
                    <w:rPr>
                      <w:lang w:val="ru-RU"/>
                    </w:rPr>
                  </w:pPr>
                  <w:r>
                    <w:t xml:space="preserve">У період відсутності централізованого гарячого водопостачання населення норма споживання природного газу на плиту газову встановлюється </w:t>
                  </w:r>
                  <w:r w:rsidRPr="00A7358F">
                    <w:rPr>
                      <w:highlight w:val="green"/>
                    </w:rPr>
                    <w:t>5,4</w:t>
                  </w:r>
                  <w:r>
                    <w:t xml:space="preserve"> куб. метра на людину на місяць.</w:t>
                  </w:r>
                </w:p>
                <w:p w:rsidR="0011596E" w:rsidRDefault="0011596E" w:rsidP="00212F47">
                  <w:pPr>
                    <w:pStyle w:val="NormalWeb"/>
                    <w:jc w:val="both"/>
                    <w:rPr>
                      <w:lang w:val="ru-RU"/>
                    </w:rPr>
                  </w:pPr>
                </w:p>
                <w:p w:rsidR="0011596E" w:rsidRDefault="0011596E" w:rsidP="00212F47">
                  <w:pPr>
                    <w:pStyle w:val="NormalWeb"/>
                    <w:jc w:val="both"/>
                    <w:rPr>
                      <w:lang w:val="ru-RU"/>
                    </w:rPr>
                  </w:pPr>
                </w:p>
                <w:p w:rsidR="0011596E" w:rsidRDefault="0011596E" w:rsidP="00212F47">
                  <w:pPr>
                    <w:pStyle w:val="NormalWeb"/>
                    <w:jc w:val="both"/>
                    <w:rPr>
                      <w:lang w:val="ru-RU"/>
                    </w:rPr>
                  </w:pPr>
                </w:p>
                <w:p w:rsidR="00A7358F" w:rsidRDefault="00A7358F" w:rsidP="00212F47">
                  <w:pPr>
                    <w:pStyle w:val="NormalWeb"/>
                    <w:jc w:val="both"/>
                  </w:pPr>
                  <w: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BC64BA" w:rsidRDefault="00BC64BA"/>
        </w:tc>
        <w:tc>
          <w:tcPr>
            <w:tcW w:w="11164"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155"/>
              <w:gridCol w:w="9793"/>
            </w:tblGrid>
            <w:tr w:rsidR="00A7358F" w:rsidTr="00212F47">
              <w:trPr>
                <w:tblCellSpacing w:w="22" w:type="dxa"/>
              </w:trPr>
              <w:tc>
                <w:tcPr>
                  <w:tcW w:w="500" w:type="pct"/>
                  <w:hideMark/>
                </w:tcPr>
                <w:p w:rsidR="00A7358F" w:rsidRDefault="00A7358F" w:rsidP="00212F47">
                  <w:pPr>
                    <w:pStyle w:val="NormalWeb"/>
                    <w:jc w:val="center"/>
                  </w:pPr>
                  <w:r w:rsidRPr="00A7358F">
                    <w:rPr>
                      <w:bCs/>
                    </w:rPr>
                    <w:t>Примітка</w:t>
                  </w:r>
                  <w:r>
                    <w:rPr>
                      <w:b/>
                      <w:bCs/>
                    </w:rPr>
                    <w:t>.</w:t>
                  </w:r>
                </w:p>
              </w:tc>
              <w:tc>
                <w:tcPr>
                  <w:tcW w:w="4500" w:type="pct"/>
                  <w:hideMark/>
                </w:tcPr>
                <w:p w:rsidR="00A7358F" w:rsidRDefault="00A7358F" w:rsidP="00212F47">
                  <w:pPr>
                    <w:pStyle w:val="NormalWeb"/>
                    <w:jc w:val="both"/>
                  </w:pPr>
                  <w:r>
                    <w:t>У період відсутності централізованого гарячого водопостачання населення норма споживання природного газу на плиту газову встановлюється:</w:t>
                  </w:r>
                </w:p>
                <w:p w:rsidR="00A7358F" w:rsidRPr="00A7358F" w:rsidRDefault="00A7358F" w:rsidP="00212F47">
                  <w:pPr>
                    <w:pStyle w:val="NormalWeb"/>
                    <w:jc w:val="both"/>
                    <w:rPr>
                      <w:b/>
                    </w:rPr>
                  </w:pPr>
                  <w:r w:rsidRPr="00A7358F">
                    <w:rPr>
                      <w:b/>
                    </w:rPr>
                    <w:t xml:space="preserve">у період споживання: жовтень, листопад, грудень, січень, лютий, березень – </w:t>
                  </w:r>
                  <w:r w:rsidRPr="00A7358F">
                    <w:rPr>
                      <w:b/>
                      <w:highlight w:val="green"/>
                    </w:rPr>
                    <w:t>14,2</w:t>
                  </w:r>
                  <w:r w:rsidRPr="00A7358F">
                    <w:rPr>
                      <w:b/>
                    </w:rPr>
                    <w:t xml:space="preserve"> куб. метра на людину на місяць;</w:t>
                  </w:r>
                </w:p>
                <w:p w:rsidR="00A7358F" w:rsidRDefault="00A7358F" w:rsidP="00212F47">
                  <w:pPr>
                    <w:pStyle w:val="NormalWeb"/>
                    <w:jc w:val="both"/>
                  </w:pPr>
                  <w:r w:rsidRPr="00A7358F">
                    <w:rPr>
                      <w:b/>
                    </w:rPr>
                    <w:t xml:space="preserve">у період споживання: квітень, травень, червень, липень, серпень, вересень – </w:t>
                  </w:r>
                  <w:r w:rsidRPr="00A7358F">
                    <w:rPr>
                      <w:b/>
                      <w:highlight w:val="green"/>
                    </w:rPr>
                    <w:t>9,3</w:t>
                  </w:r>
                  <w:r w:rsidRPr="00A7358F">
                    <w:rPr>
                      <w:b/>
                    </w:rPr>
                    <w:t xml:space="preserve"> куб. метра на людину на місяць;</w:t>
                  </w:r>
                </w:p>
                <w:p w:rsidR="00A7358F" w:rsidRDefault="00A7358F" w:rsidP="00212F47">
                  <w:pPr>
                    <w:pStyle w:val="NormalWeb"/>
                    <w:jc w:val="both"/>
                  </w:pPr>
                  <w: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BC64BA" w:rsidRDefault="00BC64BA"/>
        </w:tc>
      </w:tr>
    </w:tbl>
    <w:p w:rsidR="00270203" w:rsidRPr="008B273E" w:rsidRDefault="00F1014D"/>
    <w:sectPr w:rsidR="00270203" w:rsidRPr="008B273E" w:rsidSect="00BC64BA">
      <w:pgSz w:w="23814" w:h="16840" w:orient="landscape" w:code="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91"/>
    <w:rsid w:val="00073CF8"/>
    <w:rsid w:val="0008140D"/>
    <w:rsid w:val="000A172C"/>
    <w:rsid w:val="000A456E"/>
    <w:rsid w:val="0011596E"/>
    <w:rsid w:val="001C0089"/>
    <w:rsid w:val="001D0A1C"/>
    <w:rsid w:val="00234865"/>
    <w:rsid w:val="002755CC"/>
    <w:rsid w:val="002B37BB"/>
    <w:rsid w:val="003D5F3C"/>
    <w:rsid w:val="005F368D"/>
    <w:rsid w:val="006A605B"/>
    <w:rsid w:val="007A73DC"/>
    <w:rsid w:val="00844DDB"/>
    <w:rsid w:val="008B273E"/>
    <w:rsid w:val="008D56A4"/>
    <w:rsid w:val="00965391"/>
    <w:rsid w:val="0098586C"/>
    <w:rsid w:val="0099505B"/>
    <w:rsid w:val="00A7358F"/>
    <w:rsid w:val="00A87C2B"/>
    <w:rsid w:val="00B428CC"/>
    <w:rsid w:val="00BC64BA"/>
    <w:rsid w:val="00C122DD"/>
    <w:rsid w:val="00CC0B8D"/>
    <w:rsid w:val="00CF4D8F"/>
    <w:rsid w:val="00F10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00FA1-4939-4778-85F8-524080E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73E"/>
  </w:style>
  <w:style w:type="paragraph" w:styleId="Heading3">
    <w:name w:val="heading 3"/>
    <w:basedOn w:val="Normal"/>
    <w:link w:val="Heading3Char"/>
    <w:uiPriority w:val="9"/>
    <w:qFormat/>
    <w:rsid w:val="00BC64BA"/>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539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Heading3Char">
    <w:name w:val="Heading 3 Char"/>
    <w:basedOn w:val="DefaultParagraphFont"/>
    <w:link w:val="Heading3"/>
    <w:uiPriority w:val="9"/>
    <w:rsid w:val="00BC64BA"/>
    <w:rPr>
      <w:rFonts w:ascii="Times New Roman" w:eastAsiaTheme="minorEastAsia" w:hAnsi="Times New Roman" w:cs="Times New Roman"/>
      <w:b/>
      <w:bCs/>
      <w:sz w:val="27"/>
      <w:szCs w:val="27"/>
      <w:lang w:eastAsia="uk-UA"/>
    </w:rPr>
  </w:style>
  <w:style w:type="character" w:styleId="CommentReference">
    <w:name w:val="annotation reference"/>
    <w:basedOn w:val="DefaultParagraphFont"/>
    <w:uiPriority w:val="99"/>
    <w:semiHidden/>
    <w:unhideWhenUsed/>
    <w:rsid w:val="00A7358F"/>
    <w:rPr>
      <w:sz w:val="16"/>
      <w:szCs w:val="16"/>
    </w:rPr>
  </w:style>
  <w:style w:type="paragraph" w:styleId="CommentText">
    <w:name w:val="annotation text"/>
    <w:basedOn w:val="Normal"/>
    <w:link w:val="CommentTextChar"/>
    <w:uiPriority w:val="99"/>
    <w:semiHidden/>
    <w:unhideWhenUsed/>
    <w:rsid w:val="00A7358F"/>
    <w:pPr>
      <w:spacing w:line="240" w:lineRule="auto"/>
    </w:pPr>
    <w:rPr>
      <w:sz w:val="20"/>
      <w:szCs w:val="20"/>
    </w:rPr>
  </w:style>
  <w:style w:type="character" w:customStyle="1" w:styleId="CommentTextChar">
    <w:name w:val="Comment Text Char"/>
    <w:basedOn w:val="DefaultParagraphFont"/>
    <w:link w:val="CommentText"/>
    <w:uiPriority w:val="99"/>
    <w:semiHidden/>
    <w:rsid w:val="00A7358F"/>
    <w:rPr>
      <w:sz w:val="20"/>
      <w:szCs w:val="20"/>
    </w:rPr>
  </w:style>
  <w:style w:type="paragraph" w:styleId="CommentSubject">
    <w:name w:val="annotation subject"/>
    <w:basedOn w:val="CommentText"/>
    <w:next w:val="CommentText"/>
    <w:link w:val="CommentSubjectChar"/>
    <w:uiPriority w:val="99"/>
    <w:semiHidden/>
    <w:unhideWhenUsed/>
    <w:rsid w:val="00A7358F"/>
    <w:rPr>
      <w:b/>
      <w:bCs/>
    </w:rPr>
  </w:style>
  <w:style w:type="character" w:customStyle="1" w:styleId="CommentSubjectChar">
    <w:name w:val="Comment Subject Char"/>
    <w:basedOn w:val="CommentTextChar"/>
    <w:link w:val="CommentSubject"/>
    <w:uiPriority w:val="99"/>
    <w:semiHidden/>
    <w:rsid w:val="00A7358F"/>
    <w:rPr>
      <w:b/>
      <w:bCs/>
      <w:sz w:val="20"/>
      <w:szCs w:val="20"/>
    </w:rPr>
  </w:style>
  <w:style w:type="paragraph" w:styleId="BalloonText">
    <w:name w:val="Balloon Text"/>
    <w:basedOn w:val="Normal"/>
    <w:link w:val="BalloonTextChar"/>
    <w:uiPriority w:val="99"/>
    <w:semiHidden/>
    <w:unhideWhenUsed/>
    <w:rsid w:val="00A7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23173</Characters>
  <Application>Microsoft Office Word</Application>
  <DocSecurity>4</DocSecurity>
  <Lines>193</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Сич</dc:creator>
  <cp:lastModifiedBy>Vladislava Levakina</cp:lastModifiedBy>
  <cp:revision>2</cp:revision>
  <dcterms:created xsi:type="dcterms:W3CDTF">2018-05-15T10:43:00Z</dcterms:created>
  <dcterms:modified xsi:type="dcterms:W3CDTF">2018-05-15T10:43:00Z</dcterms:modified>
</cp:coreProperties>
</file>