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526" w:type="dxa"/>
        <w:tblLook w:val="04A0" w:firstRow="1" w:lastRow="0" w:firstColumn="1" w:lastColumn="0" w:noHBand="0" w:noVBand="1"/>
      </w:tblPr>
      <w:tblGrid>
        <w:gridCol w:w="104"/>
        <w:gridCol w:w="4860"/>
        <w:gridCol w:w="180"/>
        <w:gridCol w:w="236"/>
        <w:gridCol w:w="4758"/>
        <w:gridCol w:w="226"/>
      </w:tblGrid>
      <w:tr w:rsidR="00255270" w:rsidRPr="00633C28" w14:paraId="1FABC630" w14:textId="77777777" w:rsidTr="00633C28">
        <w:trPr>
          <w:gridBefore w:val="1"/>
          <w:wBefore w:w="104" w:type="dxa"/>
          <w:trHeight w:val="1134"/>
        </w:trPr>
        <w:tc>
          <w:tcPr>
            <w:tcW w:w="4860" w:type="dxa"/>
            <w:shd w:val="clear" w:color="auto" w:fill="auto"/>
          </w:tcPr>
          <w:p w14:paraId="2D9EAE9D" w14:textId="3BE9E5E5" w:rsidR="00255270" w:rsidRPr="00DF15BD" w:rsidRDefault="00255270" w:rsidP="00633C28">
            <w:pPr>
              <w:spacing w:after="0" w:line="240" w:lineRule="auto"/>
              <w:ind w:right="1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15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3C7F3B"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DF1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14:paraId="3B9D78D4" w14:textId="73E9F442" w:rsidR="00255270" w:rsidRPr="00DF15BD" w:rsidRDefault="00255270" w:rsidP="00633C28">
            <w:pPr>
              <w:spacing w:after="0" w:line="240" w:lineRule="auto"/>
              <w:ind w:right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</w:t>
            </w:r>
            <w:r w:rsidR="003C7F3B"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січня</w:t>
            </w:r>
            <w:r w:rsidRPr="00DF1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F15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C7F3B"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DF1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5BD">
              <w:rPr>
                <w:rFonts w:ascii="Times New Roman" w:hAnsi="Times New Roman" w:cs="Times New Roman"/>
                <w:b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5400" w:type="dxa"/>
            <w:gridSpan w:val="4"/>
            <w:shd w:val="clear" w:color="auto" w:fill="auto"/>
          </w:tcPr>
          <w:p w14:paraId="4E4277E7" w14:textId="1DCF74BA" w:rsidR="003C7F3B" w:rsidRPr="003E0E6B" w:rsidRDefault="003E0E6B" w:rsidP="00633C28">
            <w:pPr>
              <w:tabs>
                <w:tab w:val="left" w:pos="5184"/>
              </w:tabs>
              <w:spacing w:after="0" w:line="240" w:lineRule="auto"/>
              <w:ind w:left="786" w:right="-1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0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proofErr w:type="spellStart"/>
            <w:r w:rsidR="003C7F3B"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іністру</w:t>
            </w:r>
            <w:proofErr w:type="spellEnd"/>
            <w:r w:rsidR="003C7F3B"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енергетики</w:t>
            </w:r>
            <w:proofErr w:type="spellEnd"/>
            <w:r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вугільної</w:t>
            </w:r>
            <w:proofErr w:type="spellEnd"/>
            <w:r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промисловості</w:t>
            </w:r>
            <w:proofErr w:type="spellEnd"/>
            <w:r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7F3B"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України</w:t>
            </w:r>
            <w:proofErr w:type="spellEnd"/>
            <w:r w:rsidR="003C7F3B"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4731EA39" w14:textId="49723151" w:rsidR="003C7F3B" w:rsidRPr="003E0E6B" w:rsidRDefault="003E0E6B" w:rsidP="00633C28">
            <w:pPr>
              <w:tabs>
                <w:tab w:val="left" w:pos="5184"/>
              </w:tabs>
              <w:spacing w:after="0" w:line="240" w:lineRule="auto"/>
              <w:ind w:left="786" w:right="-1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Насалику</w:t>
            </w:r>
            <w:proofErr w:type="spellEnd"/>
            <w:r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І.С</w:t>
            </w:r>
            <w:r w:rsidR="003C7F3B"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14:paraId="53BDB26A" w14:textId="77777777" w:rsidR="003C7F3B" w:rsidRPr="003E0E6B" w:rsidRDefault="003C7F3B" w:rsidP="00633C28">
            <w:pPr>
              <w:tabs>
                <w:tab w:val="left" w:pos="5184"/>
              </w:tabs>
              <w:spacing w:after="0" w:line="240" w:lineRule="auto"/>
              <w:ind w:left="786" w:right="-1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A552613" w14:textId="77777777" w:rsidR="003E0E6B" w:rsidRPr="00DF15BD" w:rsidRDefault="003C7F3B" w:rsidP="00633C28">
            <w:pPr>
              <w:tabs>
                <w:tab w:val="left" w:pos="5184"/>
              </w:tabs>
              <w:spacing w:after="0" w:line="240" w:lineRule="auto"/>
              <w:ind w:left="786" w:right="-12" w:hanging="81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Копія:</w:t>
            </w:r>
            <w:r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0E6B"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Голові</w:t>
            </w:r>
            <w:proofErr w:type="spellEnd"/>
            <w:r w:rsidR="003E0E6B" w:rsidRPr="003E0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E0E6B" w:rsidRPr="003E0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Національної комісії, що здійснює державне регулювання у сферах енергетики та комунальних </w:t>
            </w:r>
            <w:r w:rsidR="003E0E6B"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</w:t>
            </w:r>
          </w:p>
          <w:p w14:paraId="6F0E50B2" w14:textId="19119988" w:rsidR="00255270" w:rsidRPr="00DF15BD" w:rsidRDefault="003E0E6B" w:rsidP="00633C28">
            <w:pPr>
              <w:tabs>
                <w:tab w:val="left" w:pos="5184"/>
              </w:tabs>
              <w:spacing w:after="0" w:line="240" w:lineRule="auto"/>
              <w:ind w:left="786" w:right="-12" w:hanging="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Кривенко О.О.</w:t>
            </w:r>
          </w:p>
          <w:p w14:paraId="4C7F1872" w14:textId="77777777" w:rsidR="00255270" w:rsidRPr="00DF15BD" w:rsidRDefault="00255270" w:rsidP="00633C28">
            <w:pPr>
              <w:tabs>
                <w:tab w:val="left" w:pos="5184"/>
              </w:tabs>
              <w:spacing w:after="0" w:line="240" w:lineRule="auto"/>
              <w:ind w:left="786" w:right="-1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DE508D4" w14:textId="77777777" w:rsidR="00DF15BD" w:rsidRDefault="003C7F3B" w:rsidP="00633C28">
            <w:pPr>
              <w:tabs>
                <w:tab w:val="left" w:pos="5184"/>
              </w:tabs>
              <w:spacing w:after="0" w:line="240" w:lineRule="auto"/>
              <w:ind w:left="786" w:right="-12" w:hanging="8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  <w:r w:rsidR="00255270"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55270"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Т.в.о</w:t>
            </w:r>
            <w:proofErr w:type="spellEnd"/>
            <w:r w:rsidR="00255270"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3E0E6B"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Президента</w:t>
            </w:r>
            <w:r w:rsidR="00DF15BD"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3D196A01" w14:textId="40B5EA29" w:rsidR="00255270" w:rsidRPr="00DF15BD" w:rsidRDefault="00DF15BD" w:rsidP="00633C28">
            <w:pPr>
              <w:tabs>
                <w:tab w:val="left" w:pos="5184"/>
              </w:tabs>
              <w:spacing w:after="0" w:line="240" w:lineRule="auto"/>
              <w:ind w:left="786" w:right="-1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 «Укртрансгаз»</w:t>
            </w:r>
          </w:p>
          <w:p w14:paraId="1EED1E7F" w14:textId="4BDDC7D6" w:rsidR="00255270" w:rsidRDefault="00DF15BD" w:rsidP="00633C28">
            <w:pPr>
              <w:tabs>
                <w:tab w:val="left" w:pos="5184"/>
              </w:tabs>
              <w:spacing w:after="0" w:line="240" w:lineRule="auto"/>
              <w:ind w:left="786" w:right="-1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Хоменку А.І</w:t>
            </w:r>
            <w:r w:rsidR="00255270" w:rsidRPr="00DF1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4D1E54E5" w14:textId="58C88041" w:rsidR="00255270" w:rsidRPr="00255270" w:rsidRDefault="00255270" w:rsidP="00633C28">
            <w:pPr>
              <w:spacing w:after="0" w:line="240" w:lineRule="auto"/>
              <w:ind w:left="450" w:right="15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5270" w:rsidRPr="00633C28" w14:paraId="6E9BF7FB" w14:textId="77777777" w:rsidTr="00633C28">
        <w:trPr>
          <w:gridAfter w:val="1"/>
          <w:wAfter w:w="226" w:type="dxa"/>
          <w:trHeight w:val="414"/>
        </w:trPr>
        <w:tc>
          <w:tcPr>
            <w:tcW w:w="5144" w:type="dxa"/>
            <w:gridSpan w:val="3"/>
            <w:shd w:val="clear" w:color="auto" w:fill="auto"/>
          </w:tcPr>
          <w:p w14:paraId="340E6140" w14:textId="508BA8FD" w:rsidR="00255270" w:rsidRPr="00DF15BD" w:rsidRDefault="00255270" w:rsidP="00633C28">
            <w:pPr>
              <w:spacing w:after="0" w:line="240" w:lineRule="auto"/>
              <w:ind w:left="-6" w:right="153" w:firstLine="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DF1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Щодо</w:t>
            </w:r>
            <w:proofErr w:type="spellEnd"/>
            <w:r w:rsidRPr="00DF1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15BD" w:rsidRPr="00DF1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запровадження</w:t>
            </w:r>
            <w:proofErr w:type="spellEnd"/>
            <w:r w:rsidR="00DF15BD" w:rsidRPr="00DF1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15BD" w:rsidRPr="00DF1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розрахунків</w:t>
            </w:r>
            <w:proofErr w:type="spellEnd"/>
            <w:r w:rsidR="00DF15BD" w:rsidRPr="00DF1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F15BD" w:rsidRPr="00DF1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балансування</w:t>
            </w:r>
            <w:proofErr w:type="spellEnd"/>
            <w:r w:rsidR="00DF15BD" w:rsidRPr="00DF1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="00DF15BD" w:rsidRPr="00DF1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ринку</w:t>
            </w:r>
            <w:proofErr w:type="gramEnd"/>
            <w:r w:rsidR="00DF15BD" w:rsidRPr="00DF1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природного газу в </w:t>
            </w:r>
            <w:proofErr w:type="spellStart"/>
            <w:r w:rsidR="00DF15BD" w:rsidRPr="00DF1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одиницях</w:t>
            </w:r>
            <w:proofErr w:type="spellEnd"/>
            <w:r w:rsidR="00DF15BD" w:rsidRPr="00DF1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15BD" w:rsidRPr="00DF1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енергії</w:t>
            </w:r>
            <w:proofErr w:type="spellEnd"/>
          </w:p>
          <w:p w14:paraId="26B5A181" w14:textId="1E97F3B2" w:rsidR="001F5E17" w:rsidRPr="00DF15BD" w:rsidRDefault="001F5E17" w:rsidP="00633C28">
            <w:pPr>
              <w:spacing w:after="0" w:line="240" w:lineRule="auto"/>
              <w:ind w:left="450"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14:paraId="21018FC2" w14:textId="77777777" w:rsidR="00255270" w:rsidRPr="00DF15BD" w:rsidRDefault="00255270" w:rsidP="00633C28">
            <w:pPr>
              <w:spacing w:after="0" w:line="240" w:lineRule="auto"/>
              <w:ind w:left="450" w:right="15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758" w:type="dxa"/>
            <w:shd w:val="clear" w:color="auto" w:fill="auto"/>
          </w:tcPr>
          <w:p w14:paraId="53F4BA4D" w14:textId="77777777" w:rsidR="00255270" w:rsidRPr="00255270" w:rsidRDefault="00255270" w:rsidP="00633C28">
            <w:pPr>
              <w:spacing w:after="0" w:line="240" w:lineRule="auto"/>
              <w:ind w:left="450" w:right="15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</w:tbl>
    <w:p w14:paraId="70855A7B" w14:textId="235468C3" w:rsidR="00255270" w:rsidRPr="00255270" w:rsidRDefault="00255270" w:rsidP="00633C28">
      <w:pPr>
        <w:spacing w:after="0" w:line="240" w:lineRule="auto"/>
        <w:ind w:left="450" w:right="15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036C1">
        <w:rPr>
          <w:rFonts w:ascii="Times New Roman" w:hAnsi="Times New Roman" w:cs="Times New Roman"/>
          <w:b/>
          <w:sz w:val="24"/>
          <w:szCs w:val="24"/>
          <w:lang w:val="ru-RU"/>
        </w:rPr>
        <w:t>Шановний</w:t>
      </w:r>
      <w:proofErr w:type="spellEnd"/>
      <w:r w:rsidRPr="00C036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F15BD" w:rsidRPr="00C036C1">
        <w:rPr>
          <w:rFonts w:ascii="Times New Roman" w:hAnsi="Times New Roman" w:cs="Times New Roman"/>
          <w:b/>
          <w:sz w:val="24"/>
          <w:szCs w:val="24"/>
          <w:lang w:val="ru-RU"/>
        </w:rPr>
        <w:t>Ігоре</w:t>
      </w:r>
      <w:proofErr w:type="spellEnd"/>
      <w:r w:rsidR="00DF15BD" w:rsidRPr="00C036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Степановичу</w:t>
      </w:r>
      <w:r w:rsidRPr="00C036C1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</w:p>
    <w:p w14:paraId="46ED1C17" w14:textId="77777777" w:rsidR="00255270" w:rsidRPr="00255270" w:rsidRDefault="00255270" w:rsidP="00633C28">
      <w:pPr>
        <w:spacing w:after="0" w:line="240" w:lineRule="auto"/>
        <w:ind w:left="450" w:right="153"/>
        <w:jc w:val="center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115B7E7E" w14:textId="43C01B98" w:rsidR="00255270" w:rsidRPr="00255270" w:rsidRDefault="00255270" w:rsidP="00633C28">
      <w:pPr>
        <w:spacing w:after="0" w:line="240" w:lineRule="auto"/>
        <w:ind w:left="450" w:right="153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  <w:proofErr w:type="gram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директорів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Американської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торгівельної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– Палата) і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компаній-членів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висловлюємо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Вам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глибоку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повагу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звертаємось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15BD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DF15BD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>роект</w:t>
      </w:r>
      <w:r w:rsidR="00DF15B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 xml:space="preserve"> постанови </w:t>
      </w:r>
      <w:proofErr w:type="spellStart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>Кабінету</w:t>
      </w:r>
      <w:proofErr w:type="spellEnd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>Міністрів</w:t>
      </w:r>
      <w:proofErr w:type="spellEnd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>запровадження</w:t>
      </w:r>
      <w:proofErr w:type="spellEnd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>розрахунків</w:t>
      </w:r>
      <w:proofErr w:type="spellEnd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>балансування</w:t>
      </w:r>
      <w:proofErr w:type="spellEnd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 xml:space="preserve"> на ринку природного газу в </w:t>
      </w:r>
      <w:proofErr w:type="spellStart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>одиницях</w:t>
      </w:r>
      <w:proofErr w:type="spellEnd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="00DF15BD" w:rsidRPr="00DF15B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F404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9F4045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="009F4045">
        <w:rPr>
          <w:rFonts w:ascii="Times New Roman" w:hAnsi="Times New Roman" w:cs="Times New Roman"/>
          <w:sz w:val="24"/>
          <w:szCs w:val="24"/>
          <w:lang w:val="ru-RU"/>
        </w:rPr>
        <w:t xml:space="preserve"> – проект Постанови), яка </w:t>
      </w:r>
      <w:proofErr w:type="spellStart"/>
      <w:r w:rsidR="009F4045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4045">
        <w:rPr>
          <w:rFonts w:ascii="Times New Roman" w:hAnsi="Times New Roman" w:cs="Times New Roman"/>
          <w:sz w:val="24"/>
          <w:szCs w:val="24"/>
          <w:lang w:val="ru-RU"/>
        </w:rPr>
        <w:t>оприлюднена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045" w:rsidRPr="009F4045">
        <w:rPr>
          <w:rFonts w:ascii="Times New Roman" w:hAnsi="Times New Roman" w:cs="Times New Roman"/>
          <w:sz w:val="24"/>
          <w:szCs w:val="24"/>
          <w:lang w:val="ru-RU"/>
        </w:rPr>
        <w:t>14.12.2018</w:t>
      </w:r>
      <w:r w:rsidR="009F4045">
        <w:rPr>
          <w:rFonts w:ascii="Times New Roman" w:hAnsi="Times New Roman" w:cs="Times New Roman"/>
          <w:sz w:val="24"/>
          <w:szCs w:val="24"/>
          <w:lang w:val="ru-RU"/>
        </w:rPr>
        <w:t xml:space="preserve">р. на </w:t>
      </w:r>
      <w:proofErr w:type="spellStart"/>
      <w:r w:rsidR="009F4045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4045" w:rsidRPr="009F4045">
        <w:rPr>
          <w:rFonts w:ascii="Times New Roman" w:hAnsi="Times New Roman" w:cs="Times New Roman"/>
          <w:sz w:val="24"/>
          <w:szCs w:val="24"/>
          <w:lang w:val="ru-RU"/>
        </w:rPr>
        <w:t>Мініст</w:t>
      </w:r>
      <w:r w:rsidR="009F4045">
        <w:rPr>
          <w:rFonts w:ascii="Times New Roman" w:hAnsi="Times New Roman" w:cs="Times New Roman"/>
          <w:sz w:val="24"/>
          <w:szCs w:val="24"/>
          <w:lang w:val="ru-RU"/>
        </w:rPr>
        <w:t>ерства</w:t>
      </w:r>
      <w:proofErr w:type="spellEnd"/>
      <w:r w:rsidR="009F4045"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4045" w:rsidRPr="009F4045">
        <w:rPr>
          <w:rFonts w:ascii="Times New Roman" w:hAnsi="Times New Roman" w:cs="Times New Roman"/>
          <w:sz w:val="24"/>
          <w:szCs w:val="24"/>
          <w:lang w:val="ru-RU"/>
        </w:rPr>
        <w:t>енергетики</w:t>
      </w:r>
      <w:proofErr w:type="spellEnd"/>
      <w:r w:rsidR="009F4045"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9F4045" w:rsidRPr="009F4045">
        <w:rPr>
          <w:rFonts w:ascii="Times New Roman" w:hAnsi="Times New Roman" w:cs="Times New Roman"/>
          <w:sz w:val="24"/>
          <w:szCs w:val="24"/>
          <w:lang w:val="ru-RU"/>
        </w:rPr>
        <w:t>вугільної</w:t>
      </w:r>
      <w:proofErr w:type="spellEnd"/>
      <w:r w:rsidR="009F4045"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4045" w:rsidRPr="009F4045">
        <w:rPr>
          <w:rFonts w:ascii="Times New Roman" w:hAnsi="Times New Roman" w:cs="Times New Roman"/>
          <w:sz w:val="24"/>
          <w:szCs w:val="24"/>
          <w:lang w:val="ru-RU"/>
        </w:rPr>
        <w:t>промисловості</w:t>
      </w:r>
      <w:proofErr w:type="spellEnd"/>
      <w:r w:rsidR="009F4045"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4045" w:rsidRPr="009F404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9F404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9F4045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="009F404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9F4045">
        <w:rPr>
          <w:rFonts w:ascii="Times New Roman" w:hAnsi="Times New Roman" w:cs="Times New Roman"/>
          <w:sz w:val="24"/>
          <w:szCs w:val="24"/>
          <w:lang w:val="ru-RU"/>
        </w:rPr>
        <w:t>Міненерговугілля</w:t>
      </w:r>
      <w:proofErr w:type="spellEnd"/>
      <w:r w:rsidR="009F404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7EF8BA0" w14:textId="269EDFDC" w:rsidR="003E0E6B" w:rsidRPr="00AB621F" w:rsidRDefault="009F4045" w:rsidP="00633C28">
      <w:pPr>
        <w:spacing w:after="0" w:line="240" w:lineRule="auto"/>
        <w:ind w:left="450" w:right="153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Експерти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компаній-членів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ознайомилися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текстом проекту Постанови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підтримують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B621F">
        <w:rPr>
          <w:rFonts w:ascii="Times New Roman" w:hAnsi="Times New Roman" w:cs="Times New Roman"/>
          <w:sz w:val="24"/>
          <w:szCs w:val="24"/>
          <w:lang w:val="ru-RU"/>
        </w:rPr>
        <w:t>запропоновані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запровадження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розрахунків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балансування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на ринку природного газу в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одиницях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="00A22A4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22A43" w:rsidRPr="00A22A43">
        <w:rPr>
          <w:rFonts w:ascii="Times New Roman" w:hAnsi="Times New Roman" w:cs="Times New Roman"/>
          <w:sz w:val="24"/>
          <w:szCs w:val="24"/>
          <w:lang w:val="ru-RU"/>
        </w:rPr>
        <w:t>кВт*год</w:t>
      </w:r>
      <w:r w:rsidR="00A22A43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621F" w:rsidRPr="00AB6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C8F6B26" w14:textId="7D167D54" w:rsidR="009F4045" w:rsidRDefault="009F4045" w:rsidP="00633C28">
      <w:pPr>
        <w:spacing w:after="0" w:line="240" w:lineRule="auto"/>
        <w:ind w:left="450" w:right="153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На газовому ринку</w:t>
      </w:r>
      <w:proofErr w:type="gram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ЄС</w:t>
      </w:r>
      <w:r w:rsidR="00AB621F" w:rsidRPr="00AB62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цілях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сприяння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транскордонній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торгівлі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попередження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небалансів</w:t>
      </w:r>
      <w:proofErr w:type="spellEnd"/>
      <w:r w:rsidR="00AB621F" w:rsidRPr="00AB62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2A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заявлені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обсяги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транспортування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621F">
        <w:rPr>
          <w:rFonts w:ascii="Times New Roman" w:hAnsi="Times New Roman" w:cs="Times New Roman"/>
          <w:sz w:val="24"/>
          <w:szCs w:val="24"/>
          <w:lang w:val="uk-UA"/>
        </w:rPr>
        <w:t xml:space="preserve">газу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міждержавними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газопроводами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дорівнюють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розподіленим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обсягам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8BE37E" w14:textId="022776DD" w:rsidR="009F4045" w:rsidRDefault="009F4045" w:rsidP="00633C28">
      <w:pPr>
        <w:spacing w:after="0" w:line="240" w:lineRule="auto"/>
        <w:ind w:left="450" w:right="153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даний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момент</w:t>
      </w:r>
      <w:r w:rsidR="00A22A43">
        <w:rPr>
          <w:rFonts w:ascii="Times New Roman" w:hAnsi="Times New Roman" w:cs="Times New Roman"/>
          <w:sz w:val="24"/>
          <w:szCs w:val="24"/>
          <w:lang w:val="ru-RU"/>
        </w:rPr>
        <w:t xml:space="preserve"> нормами </w:t>
      </w:r>
      <w:proofErr w:type="spellStart"/>
      <w:r w:rsidR="00A22A43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="00A22A43">
        <w:rPr>
          <w:rFonts w:ascii="Times New Roman" w:hAnsi="Times New Roman" w:cs="Times New Roman"/>
          <w:sz w:val="24"/>
          <w:szCs w:val="24"/>
          <w:lang w:val="ru-RU"/>
        </w:rPr>
        <w:t xml:space="preserve"> права не </w:t>
      </w:r>
      <w:proofErr w:type="spellStart"/>
      <w:r w:rsidR="00A22A43">
        <w:rPr>
          <w:rFonts w:ascii="Times New Roman" w:hAnsi="Times New Roman" w:cs="Times New Roman"/>
          <w:sz w:val="24"/>
          <w:szCs w:val="24"/>
          <w:lang w:val="ru-RU"/>
        </w:rPr>
        <w:t>передбачена</w:t>
      </w:r>
      <w:proofErr w:type="spellEnd"/>
      <w:r w:rsidR="00A22A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рівність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заявлених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розподілених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обсягів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адже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Оператор ГТС з ЄС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заявляє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обсяги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природного газу в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енергетичних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одиницях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22A4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приймання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газу в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в кубометрах.</w:t>
      </w:r>
    </w:p>
    <w:p w14:paraId="4FF91C88" w14:textId="3CB68E8C" w:rsidR="009F4045" w:rsidRPr="009F4045" w:rsidRDefault="009F4045" w:rsidP="00633C28">
      <w:pPr>
        <w:spacing w:after="0" w:line="240" w:lineRule="auto"/>
        <w:ind w:left="450" w:right="153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Щоденні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теплотворної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здатності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газу в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українській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призводять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щоденної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кубометрів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газу,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, в свою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чергу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небаланс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поставленими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прийнятими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кордоні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045">
        <w:rPr>
          <w:rFonts w:ascii="Times New Roman" w:hAnsi="Times New Roman" w:cs="Times New Roman"/>
          <w:sz w:val="24"/>
          <w:szCs w:val="24"/>
          <w:lang w:val="ru-RU"/>
        </w:rPr>
        <w:t>обсягами</w:t>
      </w:r>
      <w:proofErr w:type="spellEnd"/>
      <w:r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газу.</w:t>
      </w:r>
      <w:r w:rsid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Небаланс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заявленими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розподіленими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обсягами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газу на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кордоні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призводить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C036C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еревищення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фактичного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обсягу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газу</w:t>
      </w:r>
      <w:r w:rsidR="00C036C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C036C1">
        <w:rPr>
          <w:rFonts w:ascii="Times New Roman" w:hAnsi="Times New Roman" w:cs="Times New Roman"/>
          <w:sz w:val="24"/>
          <w:szCs w:val="24"/>
          <w:lang w:val="ru-RU"/>
        </w:rPr>
        <w:t>внаслідок</w:t>
      </w:r>
      <w:proofErr w:type="spellEnd"/>
      <w:r w:rsid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>
        <w:rPr>
          <w:rFonts w:ascii="Times New Roman" w:hAnsi="Times New Roman" w:cs="Times New Roman"/>
          <w:sz w:val="24"/>
          <w:szCs w:val="24"/>
          <w:lang w:val="ru-RU"/>
        </w:rPr>
        <w:t>чого</w:t>
      </w:r>
      <w:proofErr w:type="spellEnd"/>
      <w:r w:rsid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виникають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пов'язані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ідповідним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оформленням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надлишку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газу</w:t>
      </w:r>
      <w:r w:rsidR="00C036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036C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еалізацією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надлишку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газу</w:t>
      </w:r>
      <w:r w:rsidR="00C036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036C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беріганням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надлишку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газу</w:t>
      </w:r>
      <w:r w:rsidR="00C036C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C036C1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C036C1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C036C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едостач</w:t>
      </w:r>
      <w:r w:rsidR="00C036C1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фактичного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обсягу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газу</w:t>
      </w:r>
      <w:r w:rsidR="00C036C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C036C1">
        <w:rPr>
          <w:rFonts w:ascii="Times New Roman" w:hAnsi="Times New Roman" w:cs="Times New Roman"/>
          <w:sz w:val="24"/>
          <w:szCs w:val="24"/>
          <w:lang w:val="ru-RU"/>
        </w:rPr>
        <w:t>внаслідок</w:t>
      </w:r>
      <w:proofErr w:type="spellEnd"/>
      <w:r w:rsid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>
        <w:rPr>
          <w:rFonts w:ascii="Times New Roman" w:hAnsi="Times New Roman" w:cs="Times New Roman"/>
          <w:sz w:val="24"/>
          <w:szCs w:val="24"/>
          <w:lang w:val="ru-RU"/>
        </w:rPr>
        <w:t>чого</w:t>
      </w:r>
      <w:proofErr w:type="spellEnd"/>
      <w:r w:rsid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виникають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>пов'язані</w:t>
      </w:r>
      <w:proofErr w:type="spellEnd"/>
      <w:r w:rsidR="00C036C1" w:rsidRPr="00C036C1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C036C1"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9F4045">
        <w:rPr>
          <w:rFonts w:ascii="Times New Roman" w:hAnsi="Times New Roman" w:cs="Times New Roman"/>
          <w:sz w:val="24"/>
          <w:szCs w:val="24"/>
          <w:lang w:val="ru-RU"/>
        </w:rPr>
        <w:t>закупівлею</w:t>
      </w:r>
      <w:proofErr w:type="spellEnd"/>
      <w:r w:rsidR="00C036C1"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газу на</w:t>
      </w:r>
      <w:r w:rsidR="00C03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9F4045">
        <w:rPr>
          <w:rFonts w:ascii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="00C036C1" w:rsidRPr="009F4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36C1" w:rsidRPr="009F4045">
        <w:rPr>
          <w:rFonts w:ascii="Times New Roman" w:hAnsi="Times New Roman" w:cs="Times New Roman"/>
          <w:sz w:val="24"/>
          <w:szCs w:val="24"/>
          <w:lang w:val="ru-RU"/>
        </w:rPr>
        <w:t>дефіциту</w:t>
      </w:r>
      <w:proofErr w:type="spellEnd"/>
      <w:r w:rsidR="00C036C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ECA4DE6" w14:textId="4A00855C" w:rsidR="00A22A43" w:rsidRPr="00C036C1" w:rsidRDefault="00A22A43" w:rsidP="00633C28">
      <w:pPr>
        <w:spacing w:after="0" w:line="240" w:lineRule="auto"/>
        <w:ind w:left="450" w:right="153" w:firstLine="99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думку експертів компаній-членів Палати, </w:t>
      </w:r>
      <w:r w:rsidRPr="00A22A43">
        <w:rPr>
          <w:rFonts w:ascii="Times New Roman" w:hAnsi="Times New Roman" w:cs="Times New Roman"/>
          <w:sz w:val="24"/>
          <w:szCs w:val="24"/>
          <w:lang w:val="uk-UA"/>
        </w:rPr>
        <w:t>запровад</w:t>
      </w:r>
      <w:r>
        <w:rPr>
          <w:rFonts w:ascii="Times New Roman" w:hAnsi="Times New Roman" w:cs="Times New Roman"/>
          <w:sz w:val="24"/>
          <w:szCs w:val="24"/>
          <w:lang w:val="uk-UA"/>
        </w:rPr>
        <w:t>ження</w:t>
      </w:r>
      <w:r w:rsidRPr="00A22A43">
        <w:rPr>
          <w:rFonts w:ascii="Times New Roman" w:hAnsi="Times New Roman" w:cs="Times New Roman"/>
          <w:sz w:val="24"/>
          <w:szCs w:val="24"/>
          <w:lang w:val="uk-UA"/>
        </w:rPr>
        <w:t xml:space="preserve"> енергетичн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22A43">
        <w:rPr>
          <w:rFonts w:ascii="Times New Roman" w:hAnsi="Times New Roman" w:cs="Times New Roman"/>
          <w:sz w:val="24"/>
          <w:szCs w:val="24"/>
          <w:lang w:val="uk-UA"/>
        </w:rPr>
        <w:t xml:space="preserve"> одиниц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A22A43">
        <w:rPr>
          <w:rFonts w:ascii="Times New Roman" w:hAnsi="Times New Roman" w:cs="Times New Roman"/>
          <w:sz w:val="24"/>
          <w:szCs w:val="24"/>
          <w:lang w:val="uk-UA"/>
        </w:rPr>
        <w:t xml:space="preserve"> як єдин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22A43">
        <w:rPr>
          <w:rFonts w:ascii="Times New Roman" w:hAnsi="Times New Roman" w:cs="Times New Roman"/>
          <w:sz w:val="24"/>
          <w:szCs w:val="24"/>
          <w:lang w:val="uk-UA"/>
        </w:rPr>
        <w:t xml:space="preserve"> одиниц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A22A43">
        <w:rPr>
          <w:rFonts w:ascii="Times New Roman" w:hAnsi="Times New Roman" w:cs="Times New Roman"/>
          <w:sz w:val="24"/>
          <w:szCs w:val="24"/>
          <w:lang w:val="uk-UA"/>
        </w:rPr>
        <w:t xml:space="preserve"> в торгівлі газом</w:t>
      </w:r>
      <w:bookmarkStart w:id="0" w:name="_GoBack"/>
      <w:bookmarkEnd w:id="0"/>
      <w:r w:rsidRPr="00A22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сприятиме з</w:t>
      </w:r>
      <w:r w:rsidRPr="00C036C1">
        <w:rPr>
          <w:rFonts w:ascii="Times New Roman" w:hAnsi="Times New Roman" w:cs="Times New Roman"/>
          <w:sz w:val="24"/>
          <w:szCs w:val="24"/>
          <w:lang w:val="uk-UA"/>
        </w:rPr>
        <w:t>абезпеч</w:t>
      </w:r>
      <w:r>
        <w:rPr>
          <w:rFonts w:ascii="Times New Roman" w:hAnsi="Times New Roman" w:cs="Times New Roman"/>
          <w:sz w:val="24"/>
          <w:szCs w:val="24"/>
          <w:lang w:val="uk-UA"/>
        </w:rPr>
        <w:t>енню</w:t>
      </w:r>
      <w:r w:rsidRPr="00C036C1">
        <w:rPr>
          <w:rFonts w:ascii="Times New Roman" w:hAnsi="Times New Roman" w:cs="Times New Roman"/>
          <w:sz w:val="24"/>
          <w:szCs w:val="24"/>
          <w:lang w:val="uk-UA"/>
        </w:rPr>
        <w:t xml:space="preserve"> рівн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036C1">
        <w:rPr>
          <w:rFonts w:ascii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036C1">
        <w:rPr>
          <w:rFonts w:ascii="Times New Roman" w:hAnsi="Times New Roman" w:cs="Times New Roman"/>
          <w:sz w:val="24"/>
          <w:szCs w:val="24"/>
          <w:lang w:val="uk-UA"/>
        </w:rPr>
        <w:t xml:space="preserve"> заявлених та розподілених обсягів газу на кордоні та уникненн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C036C1">
        <w:rPr>
          <w:rFonts w:ascii="Times New Roman" w:hAnsi="Times New Roman" w:cs="Times New Roman"/>
          <w:sz w:val="24"/>
          <w:szCs w:val="24"/>
          <w:lang w:val="uk-UA"/>
        </w:rPr>
        <w:t xml:space="preserve"> небалансу в транскордонній торгівлі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Pr="00A22A43">
        <w:rPr>
          <w:rFonts w:ascii="Times New Roman" w:hAnsi="Times New Roman" w:cs="Times New Roman"/>
          <w:sz w:val="24"/>
          <w:szCs w:val="24"/>
          <w:lang w:val="uk-UA"/>
        </w:rPr>
        <w:t xml:space="preserve">серед іншого,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позитивно впливатиме на подальшу </w:t>
      </w:r>
      <w:r w:rsidRPr="00A22A43">
        <w:rPr>
          <w:rFonts w:ascii="Times New Roman" w:hAnsi="Times New Roman" w:cs="Times New Roman"/>
          <w:sz w:val="24"/>
          <w:szCs w:val="24"/>
          <w:lang w:val="uk-UA"/>
        </w:rPr>
        <w:t>торгівл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A22A43">
        <w:rPr>
          <w:rFonts w:ascii="Times New Roman" w:hAnsi="Times New Roman" w:cs="Times New Roman"/>
          <w:sz w:val="24"/>
          <w:szCs w:val="24"/>
          <w:lang w:val="uk-UA"/>
        </w:rPr>
        <w:t xml:space="preserve"> газом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1451C5D" w14:textId="7115B737" w:rsidR="00255270" w:rsidRPr="00255270" w:rsidRDefault="00255270" w:rsidP="00633C28">
      <w:pPr>
        <w:spacing w:after="0" w:line="240" w:lineRule="auto"/>
        <w:ind w:left="450" w:right="153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Будь ласка,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раз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прийміть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запевнення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нашій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глибокій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повазі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побажання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успіху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35DF0E8" w14:textId="77777777" w:rsidR="00255270" w:rsidRPr="00255270" w:rsidRDefault="00255270" w:rsidP="00633C28">
      <w:pPr>
        <w:spacing w:after="0" w:line="240" w:lineRule="auto"/>
        <w:ind w:left="450" w:right="153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27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зазначеного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вище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, просимо Вас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відповідальну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особу, яка могла б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зв’язатись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з нами за телефоном 490 5800, контактна особа – Владислава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Левакіна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, менеджер з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стратегічного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55270">
        <w:rPr>
          <w:rFonts w:ascii="Times New Roman" w:hAnsi="Times New Roman" w:cs="Times New Roman"/>
          <w:sz w:val="24"/>
          <w:szCs w:val="24"/>
          <w:lang w:val="ru-RU"/>
        </w:rPr>
        <w:t>енергетика</w:t>
      </w:r>
      <w:proofErr w:type="spellEnd"/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hyperlink r:id="rId8" w:history="1">
        <w:r w:rsidRPr="00255270">
          <w:rPr>
            <w:rStyle w:val="Hyperlink"/>
            <w:rFonts w:ascii="Times New Roman" w:hAnsi="Times New Roman" w:cs="Times New Roman"/>
            <w:sz w:val="24"/>
            <w:szCs w:val="24"/>
          </w:rPr>
          <w:t>vlevakina</w:t>
        </w:r>
        <w:r w:rsidRPr="0025527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255270">
          <w:rPr>
            <w:rStyle w:val="Hyperlink"/>
            <w:rFonts w:ascii="Times New Roman" w:hAnsi="Times New Roman" w:cs="Times New Roman"/>
            <w:sz w:val="24"/>
            <w:szCs w:val="24"/>
          </w:rPr>
          <w:t>chamber</w:t>
        </w:r>
        <w:r w:rsidRPr="0025527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55270">
          <w:rPr>
            <w:rStyle w:val="Hyperlink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  <w:r w:rsidRPr="002552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5EFB4F2" w14:textId="47B59536" w:rsidR="00255270" w:rsidRDefault="00255270" w:rsidP="00633C28">
      <w:pPr>
        <w:spacing w:after="0" w:line="240" w:lineRule="auto"/>
        <w:ind w:left="450" w:right="153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2A21AB" w14:textId="77777777" w:rsidR="00130B45" w:rsidRPr="00255270" w:rsidRDefault="00130B45" w:rsidP="00633C28">
      <w:pPr>
        <w:spacing w:after="0" w:line="240" w:lineRule="auto"/>
        <w:ind w:left="450" w:right="153" w:firstLine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FD7864" w14:textId="1ADA3310" w:rsidR="00255270" w:rsidRDefault="00255270" w:rsidP="00633C28">
      <w:pPr>
        <w:spacing w:after="0" w:line="240" w:lineRule="auto"/>
        <w:ind w:left="450" w:right="15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 </w:t>
      </w:r>
      <w:proofErr w:type="spellStart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найкращими</w:t>
      </w:r>
      <w:proofErr w:type="spellEnd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побажаннями</w:t>
      </w:r>
      <w:proofErr w:type="spellEnd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14:paraId="3FE5B32C" w14:textId="77777777" w:rsidR="00633C28" w:rsidRDefault="00633C28" w:rsidP="00633C28">
      <w:pPr>
        <w:spacing w:after="0" w:line="240" w:lineRule="auto"/>
        <w:ind w:left="450" w:right="15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79ED85" w14:textId="77777777" w:rsidR="00874246" w:rsidRPr="00255270" w:rsidRDefault="00874246" w:rsidP="00633C28">
      <w:pPr>
        <w:spacing w:after="0" w:line="240" w:lineRule="auto"/>
        <w:ind w:left="450" w:right="15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004AF3" w14:textId="3DE87B97" w:rsidR="00255270" w:rsidRPr="00255270" w:rsidRDefault="00255270" w:rsidP="00633C28">
      <w:pPr>
        <w:spacing w:after="0" w:line="240" w:lineRule="auto"/>
        <w:ind w:left="450" w:right="1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Президент</w:t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</w:t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 w:rsidR="008742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Андрій</w:t>
      </w:r>
      <w:proofErr w:type="spellEnd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55270">
        <w:rPr>
          <w:rFonts w:ascii="Times New Roman" w:hAnsi="Times New Roman" w:cs="Times New Roman"/>
          <w:b/>
          <w:sz w:val="24"/>
          <w:szCs w:val="24"/>
          <w:lang w:val="ru-RU"/>
        </w:rPr>
        <w:t>Гундер</w:t>
      </w:r>
      <w:proofErr w:type="spellEnd"/>
    </w:p>
    <w:p w14:paraId="09005AAF" w14:textId="30DF0EF5" w:rsidR="00DC0B2A" w:rsidRPr="00255270" w:rsidRDefault="006C398C" w:rsidP="00633C28">
      <w:pPr>
        <w:spacing w:after="0" w:line="240" w:lineRule="auto"/>
        <w:ind w:left="450" w:right="153" w:firstLine="99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C0B2A" w:rsidRPr="00255270" w:rsidSect="00633C2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60" w:right="566" w:bottom="270" w:left="567" w:header="52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5A3F" w14:textId="77777777" w:rsidR="005D67C5" w:rsidRDefault="00F02915">
      <w:pPr>
        <w:spacing w:after="0" w:line="240" w:lineRule="auto"/>
      </w:pPr>
      <w:r>
        <w:separator/>
      </w:r>
    </w:p>
  </w:endnote>
  <w:endnote w:type="continuationSeparator" w:id="0">
    <w:p w14:paraId="1E239081" w14:textId="77777777" w:rsidR="005D67C5" w:rsidRDefault="00F0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ktra Light Pro">
    <w:altName w:val="Times New Roman"/>
    <w:panose1 w:val="00000000000000000000"/>
    <w:charset w:val="00"/>
    <w:family w:val="auto"/>
    <w:notTrueType/>
    <w:pitch w:val="variable"/>
    <w:sig w:usb0="00000001" w:usb1="5000206A" w:usb2="00000000" w:usb3="00000000" w:csb0="000001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C3A3" w14:textId="77777777" w:rsidR="003C7F3B" w:rsidRPr="00843624" w:rsidRDefault="003C7F3B" w:rsidP="003C7F3B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14:paraId="685D0626" w14:textId="77777777" w:rsidR="003C7F3B" w:rsidRPr="006E325A" w:rsidRDefault="003C7F3B" w:rsidP="003C7F3B">
    <w:pPr>
      <w:ind w:left="1559" w:hanging="1559"/>
      <w:jc w:val="both"/>
      <w:rPr>
        <w:rFonts w:ascii="Arial" w:hAnsi="Arial" w:cs="Arial"/>
        <w:i/>
        <w:color w:val="404040"/>
        <w:sz w:val="16"/>
        <w:szCs w:val="16"/>
      </w:rPr>
    </w:pPr>
    <w:bookmarkStart w:id="1" w:name="_Hlk500931139"/>
    <w:bookmarkStart w:id="2" w:name="_Hlk523402945"/>
    <w:bookmarkStart w:id="3" w:name="_Hlk523402946"/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Рада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директорів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>
      <w:rPr>
        <w:rFonts w:ascii="Arial" w:hAnsi="Arial" w:cs="Arial"/>
        <w:i/>
        <w:color w:val="404040"/>
        <w:sz w:val="16"/>
        <w:szCs w:val="16"/>
      </w:rPr>
      <w:tab/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Олена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Кошарна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Horizon Capital -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Голова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Олександр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Г.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МакУортер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Citibank -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Співголова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Маттео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Патроне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Європейський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банк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реконструкції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та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розвитку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-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Співголова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Ірина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Козлова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 xml:space="preserve">PepsiCo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-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Скарбник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Сергій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Чорний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Бейкер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і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Макензі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>” -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Секретар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та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юридичний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радник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;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Наталі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Алькер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Danone;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Васіле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Варварой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Cargill;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Гієм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Граньє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"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Санофі-Авентіс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>";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Камран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Іскандаров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 xml:space="preserve">Coca-Cola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Ураїна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>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A5376E">
      <w:rPr>
        <w:rFonts w:ascii="Arial" w:hAnsi="Arial" w:cs="Arial"/>
        <w:b/>
        <w:i/>
        <w:color w:val="404040"/>
        <w:sz w:val="16"/>
        <w:szCs w:val="16"/>
      </w:rPr>
      <w:t>Aлiстер</w:t>
    </w:r>
    <w:proofErr w:type="spellEnd"/>
    <w:r w:rsidRPr="00A5376E">
      <w:rPr>
        <w:rFonts w:ascii="Arial" w:hAnsi="Arial" w:cs="Arial"/>
        <w:b/>
        <w:i/>
        <w:color w:val="404040"/>
        <w:sz w:val="16"/>
        <w:szCs w:val="16"/>
      </w:rPr>
      <w:t xml:space="preserve"> Д. </w:t>
    </w:r>
    <w:proofErr w:type="spellStart"/>
    <w:r w:rsidRPr="00A5376E">
      <w:rPr>
        <w:rFonts w:ascii="Arial" w:hAnsi="Arial" w:cs="Arial"/>
        <w:b/>
        <w:i/>
        <w:color w:val="404040"/>
        <w:sz w:val="16"/>
        <w:szCs w:val="16"/>
      </w:rPr>
      <w:t>МакБейн</w:t>
    </w:r>
    <w:proofErr w:type="spellEnd"/>
    <w:r w:rsidRPr="00A5376E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A5376E">
      <w:rPr>
        <w:rFonts w:ascii="Arial" w:hAnsi="Arial" w:cs="Arial"/>
        <w:i/>
        <w:color w:val="404040"/>
        <w:sz w:val="16"/>
        <w:szCs w:val="16"/>
      </w:rPr>
      <w:t>Аравак</w:t>
    </w:r>
    <w:proofErr w:type="spellEnd"/>
    <w:r w:rsidRPr="00A5376E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A5376E">
      <w:rPr>
        <w:rFonts w:ascii="Arial" w:hAnsi="Arial" w:cs="Arial"/>
        <w:i/>
        <w:color w:val="404040"/>
        <w:sz w:val="16"/>
        <w:szCs w:val="16"/>
      </w:rPr>
      <w:t>Енерджі</w:t>
    </w:r>
    <w:proofErr w:type="spellEnd"/>
    <w:r w:rsidRPr="00A5376E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A5376E">
      <w:rPr>
        <w:rFonts w:ascii="Arial" w:hAnsi="Arial" w:cs="Arial"/>
        <w:i/>
        <w:color w:val="404040"/>
        <w:sz w:val="16"/>
        <w:szCs w:val="16"/>
      </w:rPr>
      <w:t>Юкрейн</w:t>
    </w:r>
    <w:proofErr w:type="spellEnd"/>
    <w:r w:rsidRPr="00A5376E">
      <w:rPr>
        <w:rFonts w:ascii="Arial" w:hAnsi="Arial" w:cs="Arial"/>
        <w:i/>
        <w:color w:val="404040"/>
        <w:sz w:val="16"/>
        <w:szCs w:val="16"/>
      </w:rPr>
      <w:t xml:space="preserve"> Б.В.;</w:t>
    </w:r>
    <w:r w:rsidRPr="00A5376E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Кіра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Рудік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 xml:space="preserve">Ring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>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Хмелярський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Юкрейн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>”;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Андрій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Цимбал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KPMG-</w:t>
    </w:r>
    <w:proofErr w:type="spellStart"/>
    <w:r w:rsidRPr="00100434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100434">
      <w:rPr>
        <w:rFonts w:ascii="Arial" w:hAnsi="Arial" w:cs="Arial"/>
        <w:i/>
        <w:color w:val="404040"/>
        <w:sz w:val="16"/>
        <w:szCs w:val="16"/>
      </w:rPr>
      <w:t>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Євген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Шевченко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Carlsberg;</w:t>
    </w:r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Сергій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100434">
      <w:rPr>
        <w:rFonts w:ascii="Arial" w:hAnsi="Arial" w:cs="Arial"/>
        <w:b/>
        <w:i/>
        <w:color w:val="404040"/>
        <w:sz w:val="16"/>
        <w:szCs w:val="16"/>
      </w:rPr>
      <w:t>Янчишин</w:t>
    </w:r>
    <w:proofErr w:type="spellEnd"/>
    <w:r w:rsidRPr="0010043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100434">
      <w:rPr>
        <w:rFonts w:ascii="Arial" w:hAnsi="Arial" w:cs="Arial"/>
        <w:i/>
        <w:color w:val="404040"/>
        <w:sz w:val="16"/>
        <w:szCs w:val="16"/>
      </w:rPr>
      <w:t>Oracle.</w:t>
    </w:r>
  </w:p>
  <w:p w14:paraId="53C1DA03" w14:textId="77777777" w:rsidR="003C7F3B" w:rsidRPr="00FF0942" w:rsidRDefault="003C7F3B" w:rsidP="003C7F3B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>резидент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: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Андрій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bookmarkEnd w:id="1"/>
    <w:bookmarkEnd w:id="2"/>
    <w:bookmarkEnd w:id="3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BD3C" w14:textId="77777777" w:rsidR="005D67C5" w:rsidRDefault="00F02915">
      <w:pPr>
        <w:spacing w:after="0" w:line="240" w:lineRule="auto"/>
      </w:pPr>
      <w:r>
        <w:separator/>
      </w:r>
    </w:p>
  </w:footnote>
  <w:footnote w:type="continuationSeparator" w:id="0">
    <w:p w14:paraId="34CA1533" w14:textId="77777777" w:rsidR="005D67C5" w:rsidRDefault="00F0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2560" w14:textId="77777777" w:rsidR="00665125" w:rsidRDefault="006C398C">
    <w:pPr>
      <w:pStyle w:val="Header"/>
    </w:pPr>
    <w:r>
      <w:rPr>
        <w:noProof/>
      </w:rPr>
      <w:pict w14:anchorId="20483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47157" o:spid="_x0000_s1026" type="#_x0000_t136" style="position:absolute;margin-left:0;margin-top:0;width:564.8pt;height:188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D1A2" w14:textId="7AFB3280" w:rsidR="003C7F3B" w:rsidRDefault="003C7F3B" w:rsidP="00665125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01C573B" wp14:editId="1C7B824A">
          <wp:simplePos x="0" y="0"/>
          <wp:positionH relativeFrom="column">
            <wp:posOffset>-249555</wp:posOffset>
          </wp:positionH>
          <wp:positionV relativeFrom="page">
            <wp:posOffset>157480</wp:posOffset>
          </wp:positionV>
          <wp:extent cx="1720215" cy="688340"/>
          <wp:effectExtent l="0" t="0" r="0" b="0"/>
          <wp:wrapNone/>
          <wp:docPr id="15" name="Picture 15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r="77191" b="27620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A4B55DE" wp14:editId="2D875472">
          <wp:simplePos x="0" y="0"/>
          <wp:positionH relativeFrom="column">
            <wp:posOffset>1470660</wp:posOffset>
          </wp:positionH>
          <wp:positionV relativeFrom="page">
            <wp:posOffset>20320</wp:posOffset>
          </wp:positionV>
          <wp:extent cx="5888355" cy="939800"/>
          <wp:effectExtent l="0" t="0" r="0" b="0"/>
          <wp:wrapNone/>
          <wp:docPr id="16" name="Picture 16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25"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BC7AEF" w14:textId="77777777" w:rsidR="003C7F3B" w:rsidRDefault="003C7F3B" w:rsidP="00665125">
    <w:pPr>
      <w:pStyle w:val="Header"/>
      <w:rPr>
        <w:lang w:val="en-US"/>
      </w:rPr>
    </w:pPr>
  </w:p>
  <w:p w14:paraId="3517C0AB" w14:textId="77777777" w:rsidR="003C7F3B" w:rsidRDefault="003C7F3B" w:rsidP="00665125">
    <w:pPr>
      <w:pStyle w:val="Header"/>
      <w:rPr>
        <w:lang w:val="en-US"/>
      </w:rPr>
    </w:pPr>
  </w:p>
  <w:p w14:paraId="7F9EF1D9" w14:textId="2FC509DA" w:rsidR="00665125" w:rsidRPr="00712510" w:rsidRDefault="006C398C" w:rsidP="00665125">
    <w:pPr>
      <w:pStyle w:val="Header"/>
      <w:rPr>
        <w:lang w:val="en-US"/>
      </w:rPr>
    </w:pPr>
    <w:r>
      <w:rPr>
        <w:noProof/>
      </w:rPr>
      <w:pict w14:anchorId="0D4F63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47158" o:spid="_x0000_s1027" type="#_x0000_t136" style="position:absolute;margin-left:0;margin-top:0;width:564.8pt;height:188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B65E" w14:textId="77777777" w:rsidR="00665125" w:rsidRDefault="006C398C">
    <w:pPr>
      <w:pStyle w:val="Header"/>
    </w:pPr>
    <w:r>
      <w:rPr>
        <w:noProof/>
      </w:rPr>
      <w:pict w14:anchorId="3996BB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47156" o:spid="_x0000_s1025" type="#_x0000_t136" style="position:absolute;margin-left:0;margin-top:0;width:564.8pt;height:188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F79"/>
    <w:multiLevelType w:val="hybridMultilevel"/>
    <w:tmpl w:val="215E798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57692D98"/>
    <w:multiLevelType w:val="hybridMultilevel"/>
    <w:tmpl w:val="A822ADB4"/>
    <w:lvl w:ilvl="0" w:tplc="BE5A0B52">
      <w:start w:val="5"/>
      <w:numFmt w:val="bullet"/>
      <w:lvlText w:val="-"/>
      <w:lvlJc w:val="left"/>
      <w:pPr>
        <w:ind w:left="2760" w:hanging="360"/>
      </w:pPr>
      <w:rPr>
        <w:rFonts w:ascii="Elektra Light Pro" w:eastAsia="Calibri" w:hAnsi="Elektra Light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70"/>
    <w:rsid w:val="000D43CE"/>
    <w:rsid w:val="00130B45"/>
    <w:rsid w:val="001F5E17"/>
    <w:rsid w:val="00237AC2"/>
    <w:rsid w:val="00255270"/>
    <w:rsid w:val="003A204F"/>
    <w:rsid w:val="003C7F3B"/>
    <w:rsid w:val="003E0E6B"/>
    <w:rsid w:val="004013B3"/>
    <w:rsid w:val="005D67C5"/>
    <w:rsid w:val="00633C28"/>
    <w:rsid w:val="006C398C"/>
    <w:rsid w:val="00790A9D"/>
    <w:rsid w:val="00874246"/>
    <w:rsid w:val="008D3C8E"/>
    <w:rsid w:val="009F4045"/>
    <w:rsid w:val="00A22A43"/>
    <w:rsid w:val="00AB621F"/>
    <w:rsid w:val="00C036C1"/>
    <w:rsid w:val="00D01D1D"/>
    <w:rsid w:val="00D85D87"/>
    <w:rsid w:val="00DF15BD"/>
    <w:rsid w:val="00F02915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F59B5"/>
  <w15:chartTrackingRefBased/>
  <w15:docId w15:val="{47AA14DE-6DB9-4E68-8446-41C77F2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5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erChar">
    <w:name w:val="Header Char"/>
    <w:basedOn w:val="DefaultParagraphFont"/>
    <w:link w:val="Header"/>
    <w:rsid w:val="0025527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25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2552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C7F3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vakina@chamber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4248-E533-4794-85C7-CE47A715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7</cp:revision>
  <dcterms:created xsi:type="dcterms:W3CDTF">2019-01-10T15:51:00Z</dcterms:created>
  <dcterms:modified xsi:type="dcterms:W3CDTF">2019-01-11T08:52:00Z</dcterms:modified>
</cp:coreProperties>
</file>