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5949" w14:textId="77777777" w:rsidR="00562C2B" w:rsidRDefault="00562C2B" w:rsidP="00975B05">
      <w:pPr>
        <w:pStyle w:val="NoSpacing"/>
        <w:rPr>
          <w:lang w:val="ru-RU"/>
        </w:rPr>
      </w:pPr>
    </w:p>
    <w:tbl>
      <w:tblPr>
        <w:tblW w:w="10908" w:type="dxa"/>
        <w:tblLook w:val="04A0" w:firstRow="1" w:lastRow="0" w:firstColumn="1" w:lastColumn="0" w:noHBand="0" w:noVBand="1"/>
      </w:tblPr>
      <w:tblGrid>
        <w:gridCol w:w="4526"/>
        <w:gridCol w:w="258"/>
        <w:gridCol w:w="6124"/>
      </w:tblGrid>
      <w:tr w:rsidR="00562C2B" w:rsidRPr="00241648" w14:paraId="60377818" w14:textId="77777777" w:rsidTr="00724F92">
        <w:trPr>
          <w:trHeight w:val="990"/>
        </w:trPr>
        <w:tc>
          <w:tcPr>
            <w:tcW w:w="4784" w:type="dxa"/>
            <w:gridSpan w:val="2"/>
            <w:shd w:val="clear" w:color="auto" w:fill="auto"/>
          </w:tcPr>
          <w:p w14:paraId="745AD9E5" w14:textId="31A5D787" w:rsidR="00562C2B" w:rsidRPr="00241648" w:rsidRDefault="00562C2B" w:rsidP="00975B05">
            <w:pPr>
              <w:ind w:left="450"/>
              <w:jc w:val="both"/>
              <w:rPr>
                <w:b/>
                <w:lang w:val="ru-RU"/>
              </w:rPr>
            </w:pPr>
            <w:r w:rsidRPr="00241648">
              <w:rPr>
                <w:b/>
              </w:rPr>
              <w:t>№1</w:t>
            </w:r>
            <w:r w:rsidR="00E46140">
              <w:rPr>
                <w:b/>
                <w:lang w:val="en-US"/>
              </w:rPr>
              <w:t>9</w:t>
            </w:r>
            <w:r w:rsidRPr="00241648">
              <w:rPr>
                <w:b/>
              </w:rPr>
              <w:t xml:space="preserve"> – </w:t>
            </w:r>
          </w:p>
          <w:p w14:paraId="5C66299D" w14:textId="137BC20B" w:rsidR="00562C2B" w:rsidRPr="00241648" w:rsidRDefault="00562C2B" w:rsidP="00975B05">
            <w:pPr>
              <w:ind w:left="450"/>
              <w:jc w:val="both"/>
              <w:rPr>
                <w:b/>
              </w:rPr>
            </w:pPr>
            <w:r w:rsidRPr="00241648">
              <w:rPr>
                <w:b/>
                <w:lang w:val="en-US"/>
              </w:rPr>
              <w:t>___</w:t>
            </w:r>
            <w:r w:rsidR="00E46140">
              <w:rPr>
                <w:b/>
              </w:rPr>
              <w:t>січня</w:t>
            </w:r>
            <w:r w:rsidRPr="00241648">
              <w:rPr>
                <w:b/>
                <w:lang w:val="ru-RU"/>
              </w:rPr>
              <w:t xml:space="preserve"> </w:t>
            </w:r>
            <w:r w:rsidRPr="00241648">
              <w:rPr>
                <w:b/>
              </w:rPr>
              <w:t>201</w:t>
            </w:r>
            <w:r w:rsidR="00E46140">
              <w:rPr>
                <w:b/>
              </w:rPr>
              <w:t>9</w:t>
            </w:r>
            <w:r w:rsidRPr="00241648">
              <w:rPr>
                <w:b/>
              </w:rPr>
              <w:t xml:space="preserve"> року</w:t>
            </w:r>
          </w:p>
        </w:tc>
        <w:tc>
          <w:tcPr>
            <w:tcW w:w="6124" w:type="dxa"/>
            <w:shd w:val="clear" w:color="auto" w:fill="auto"/>
          </w:tcPr>
          <w:p w14:paraId="66381045" w14:textId="47144254" w:rsidR="00975B05" w:rsidRPr="00E46140" w:rsidRDefault="00975B05" w:rsidP="00975B05">
            <w:pPr>
              <w:tabs>
                <w:tab w:val="left" w:pos="-724"/>
              </w:tabs>
              <w:ind w:left="1422" w:right="-18"/>
              <w:jc w:val="both"/>
              <w:rPr>
                <w:b/>
              </w:rPr>
            </w:pPr>
            <w:r w:rsidRPr="00E46140">
              <w:rPr>
                <w:b/>
              </w:rPr>
              <w:t>В.о.</w:t>
            </w:r>
            <w:r w:rsidR="00E46140">
              <w:rPr>
                <w:b/>
              </w:rPr>
              <w:t xml:space="preserve"> </w:t>
            </w:r>
            <w:r w:rsidRPr="00E46140">
              <w:rPr>
                <w:b/>
              </w:rPr>
              <w:t xml:space="preserve">Голови Державної фіскальної служби України </w:t>
            </w:r>
          </w:p>
          <w:p w14:paraId="0FD5082D" w14:textId="4A5FCE08" w:rsidR="00975B05" w:rsidRPr="00E46140" w:rsidRDefault="00975B05" w:rsidP="00975B05">
            <w:pPr>
              <w:tabs>
                <w:tab w:val="left" w:pos="-724"/>
              </w:tabs>
              <w:ind w:left="1422" w:right="-18"/>
              <w:jc w:val="both"/>
              <w:rPr>
                <w:b/>
              </w:rPr>
            </w:pPr>
            <w:r w:rsidRPr="00E46140">
              <w:rPr>
                <w:b/>
              </w:rPr>
              <w:t>Власову О.С.</w:t>
            </w:r>
          </w:p>
          <w:p w14:paraId="586FE07F" w14:textId="77777777" w:rsidR="00975B05" w:rsidRPr="00E46140" w:rsidRDefault="00975B05" w:rsidP="00975B05">
            <w:pPr>
              <w:tabs>
                <w:tab w:val="left" w:pos="-724"/>
              </w:tabs>
              <w:ind w:left="1422" w:right="-18"/>
              <w:jc w:val="both"/>
              <w:rPr>
                <w:b/>
              </w:rPr>
            </w:pPr>
          </w:p>
          <w:p w14:paraId="0383AA6E" w14:textId="0A14EC13" w:rsidR="00975B05" w:rsidRPr="00E46140" w:rsidRDefault="00975B05" w:rsidP="00975B05">
            <w:pPr>
              <w:tabs>
                <w:tab w:val="left" w:pos="-724"/>
              </w:tabs>
              <w:ind w:left="1422" w:right="-18" w:hanging="738"/>
              <w:jc w:val="both"/>
              <w:rPr>
                <w:b/>
              </w:rPr>
            </w:pPr>
            <w:r w:rsidRPr="00E46140">
              <w:rPr>
                <w:b/>
              </w:rPr>
              <w:t>Копія:</w:t>
            </w:r>
            <w:r w:rsidR="00E46140">
              <w:rPr>
                <w:b/>
              </w:rPr>
              <w:t xml:space="preserve"> </w:t>
            </w:r>
            <w:r w:rsidRPr="00E46140">
              <w:rPr>
                <w:b/>
              </w:rPr>
              <w:t>Міністр</w:t>
            </w:r>
            <w:r w:rsidR="00E46140">
              <w:rPr>
                <w:b/>
              </w:rPr>
              <w:t>у</w:t>
            </w:r>
            <w:r w:rsidRPr="00E46140">
              <w:rPr>
                <w:b/>
              </w:rPr>
              <w:t xml:space="preserve"> фінансів України</w:t>
            </w:r>
          </w:p>
          <w:p w14:paraId="7095CC36" w14:textId="6D2DE3F2" w:rsidR="00562C2B" w:rsidRPr="00E46140" w:rsidRDefault="00975B05" w:rsidP="00975B05">
            <w:pPr>
              <w:ind w:left="1422" w:right="-18" w:hanging="6"/>
              <w:rPr>
                <w:b/>
              </w:rPr>
            </w:pPr>
            <w:proofErr w:type="spellStart"/>
            <w:r w:rsidRPr="00E46140">
              <w:rPr>
                <w:b/>
              </w:rPr>
              <w:t>Маркаровій</w:t>
            </w:r>
            <w:proofErr w:type="spellEnd"/>
            <w:r w:rsidRPr="00E46140">
              <w:rPr>
                <w:b/>
              </w:rPr>
              <w:t xml:space="preserve"> О.С.</w:t>
            </w:r>
          </w:p>
          <w:p w14:paraId="43E91781" w14:textId="77777777" w:rsidR="00562C2B" w:rsidRPr="00E46140" w:rsidRDefault="00562C2B" w:rsidP="00975B05">
            <w:pPr>
              <w:ind w:left="450" w:hanging="6"/>
              <w:rPr>
                <w:b/>
              </w:rPr>
            </w:pPr>
            <w:r w:rsidRPr="00E46140">
              <w:rPr>
                <w:b/>
              </w:rPr>
              <w:t xml:space="preserve">            </w:t>
            </w:r>
          </w:p>
        </w:tc>
      </w:tr>
      <w:tr w:rsidR="00562C2B" w:rsidRPr="00241648" w14:paraId="105F35A3" w14:textId="77777777" w:rsidTr="00724F92">
        <w:trPr>
          <w:trHeight w:val="414"/>
        </w:trPr>
        <w:tc>
          <w:tcPr>
            <w:tcW w:w="4526" w:type="dxa"/>
            <w:shd w:val="clear" w:color="auto" w:fill="auto"/>
          </w:tcPr>
          <w:p w14:paraId="4B070E74" w14:textId="30FACD82" w:rsidR="00562C2B" w:rsidRDefault="00562C2B" w:rsidP="00975B05">
            <w:pPr>
              <w:ind w:left="450"/>
              <w:rPr>
                <w:i/>
                <w:lang w:eastAsia="ru-RU"/>
              </w:rPr>
            </w:pPr>
            <w:r w:rsidRPr="00241648">
              <w:rPr>
                <w:i/>
                <w:lang w:eastAsia="ru-RU"/>
              </w:rPr>
              <w:t>Щодо</w:t>
            </w:r>
            <w:r w:rsidR="001E49CE">
              <w:t xml:space="preserve"> </w:t>
            </w:r>
            <w:r w:rsidR="001E49CE" w:rsidRPr="001E49CE">
              <w:rPr>
                <w:i/>
                <w:lang w:eastAsia="ru-RU"/>
              </w:rPr>
              <w:t>нарахування зобов'язань з ПДВ</w:t>
            </w:r>
          </w:p>
          <w:p w14:paraId="20AAC30E" w14:textId="29707C6D" w:rsidR="001E49CE" w:rsidRPr="00241648" w:rsidRDefault="001E49CE" w:rsidP="00975B05">
            <w:pPr>
              <w:ind w:left="450"/>
              <w:rPr>
                <w:i/>
                <w:lang w:eastAsia="ru-RU"/>
              </w:rPr>
            </w:pPr>
            <w:r>
              <w:rPr>
                <w:i/>
                <w:lang w:eastAsia="ru-RU"/>
              </w:rPr>
              <w:t xml:space="preserve">на деякі </w:t>
            </w:r>
            <w:r w:rsidRPr="001E49CE">
              <w:rPr>
                <w:i/>
                <w:lang w:eastAsia="ru-RU"/>
              </w:rPr>
              <w:t>операції газовидобувних підприємств</w:t>
            </w:r>
          </w:p>
          <w:p w14:paraId="68C25AE5" w14:textId="77777777" w:rsidR="00562C2B" w:rsidRPr="00241648" w:rsidRDefault="00562C2B" w:rsidP="00975B05">
            <w:pPr>
              <w:ind w:left="450"/>
              <w:jc w:val="right"/>
            </w:pPr>
          </w:p>
        </w:tc>
        <w:tc>
          <w:tcPr>
            <w:tcW w:w="258" w:type="dxa"/>
            <w:shd w:val="clear" w:color="auto" w:fill="auto"/>
          </w:tcPr>
          <w:p w14:paraId="0325EC78" w14:textId="77777777" w:rsidR="00562C2B" w:rsidRPr="00E46140" w:rsidRDefault="00562C2B" w:rsidP="00975B05">
            <w:pPr>
              <w:ind w:left="450"/>
              <w:jc w:val="both"/>
              <w:rPr>
                <w:b/>
                <w:i/>
              </w:rPr>
            </w:pPr>
          </w:p>
        </w:tc>
        <w:tc>
          <w:tcPr>
            <w:tcW w:w="6124" w:type="dxa"/>
            <w:shd w:val="clear" w:color="auto" w:fill="auto"/>
          </w:tcPr>
          <w:p w14:paraId="60ED72EF" w14:textId="77777777" w:rsidR="00562C2B" w:rsidRPr="00E46140" w:rsidRDefault="00562C2B" w:rsidP="00975B05">
            <w:pPr>
              <w:ind w:left="450"/>
              <w:jc w:val="both"/>
              <w:rPr>
                <w:b/>
                <w:i/>
                <w:highlight w:val="yellow"/>
              </w:rPr>
            </w:pPr>
          </w:p>
        </w:tc>
      </w:tr>
    </w:tbl>
    <w:p w14:paraId="2F996D88" w14:textId="77777777" w:rsidR="00562C2B" w:rsidRPr="00241648" w:rsidRDefault="00562C2B" w:rsidP="00975B05">
      <w:pPr>
        <w:ind w:left="450"/>
        <w:rPr>
          <w:highlight w:val="yellow"/>
        </w:rPr>
      </w:pPr>
    </w:p>
    <w:p w14:paraId="2C0BC08A" w14:textId="43485645" w:rsidR="00562C2B" w:rsidRPr="00241648" w:rsidRDefault="00562C2B" w:rsidP="00975B05">
      <w:pPr>
        <w:ind w:left="450"/>
        <w:jc w:val="center"/>
        <w:rPr>
          <w:i/>
        </w:rPr>
      </w:pPr>
      <w:r w:rsidRPr="00241648">
        <w:rPr>
          <w:b/>
          <w:i/>
        </w:rPr>
        <w:t xml:space="preserve">Шановний </w:t>
      </w:r>
      <w:r w:rsidR="00E46140">
        <w:rPr>
          <w:b/>
          <w:i/>
        </w:rPr>
        <w:t>Олександре Сергійовичу</w:t>
      </w:r>
      <w:r w:rsidRPr="00241648">
        <w:rPr>
          <w:i/>
        </w:rPr>
        <w:t>!</w:t>
      </w:r>
    </w:p>
    <w:p w14:paraId="59E64892" w14:textId="77777777" w:rsidR="00562C2B" w:rsidRPr="00241648" w:rsidRDefault="00562C2B" w:rsidP="00975B05">
      <w:pPr>
        <w:ind w:left="450"/>
        <w:jc w:val="center"/>
        <w:rPr>
          <w:i/>
          <w:highlight w:val="yellow"/>
        </w:rPr>
      </w:pPr>
    </w:p>
    <w:p w14:paraId="49CFA860" w14:textId="61B79057" w:rsidR="002D4C61" w:rsidRDefault="00562C2B" w:rsidP="00975B05">
      <w:pPr>
        <w:ind w:left="450" w:firstLine="720"/>
        <w:jc w:val="both"/>
        <w:rPr>
          <w:rFonts w:ascii="Elektra Light Pro" w:hAnsi="Elektra Light Pro"/>
          <w:lang w:eastAsia="ru-RU"/>
        </w:rPr>
      </w:pPr>
      <w:r w:rsidRPr="00241648">
        <w:t>Від імені Ради директорів Американської торгівельної палати в Україні (далі – Палата) та компаній-членів засвідчуємо Вам глибоку повагу та</w:t>
      </w:r>
      <w:r w:rsidR="00975B05" w:rsidRPr="00975B05">
        <w:t xml:space="preserve"> зверта</w:t>
      </w:r>
      <w:r w:rsidR="00975B05">
        <w:t xml:space="preserve">ємось з проханням </w:t>
      </w:r>
      <w:r w:rsidR="002D4C61">
        <w:rPr>
          <w:rFonts w:ascii="Elektra Light Pro" w:hAnsi="Elektra Light Pro"/>
        </w:rPr>
        <w:t>надати роз’яснення з питань практичного застосування положень Податкового кодексу України.</w:t>
      </w:r>
    </w:p>
    <w:p w14:paraId="3E7B3CB2" w14:textId="777F5AF9" w:rsidR="002D4C61" w:rsidRDefault="002D4C61" w:rsidP="00975B05">
      <w:pPr>
        <w:ind w:left="450" w:firstLine="706"/>
        <w:jc w:val="both"/>
        <w:rPr>
          <w:rFonts w:ascii="Elektra Light Pro" w:hAnsi="Elektra Light Pro"/>
        </w:rPr>
      </w:pPr>
      <w:r>
        <w:rPr>
          <w:rFonts w:ascii="Elektra Light Pro" w:hAnsi="Elektra Light Pro"/>
        </w:rPr>
        <w:t>Основними законодавчими актами у сфері користування надрами для розробки родовищ корисних копалин</w:t>
      </w:r>
      <w:r w:rsidR="00975B05">
        <w:rPr>
          <w:rFonts w:ascii="Elektra Light Pro" w:hAnsi="Elektra Light Pro"/>
        </w:rPr>
        <w:t>,</w:t>
      </w:r>
      <w:r>
        <w:rPr>
          <w:rFonts w:ascii="Elektra Light Pro" w:hAnsi="Elektra Light Pro"/>
        </w:rPr>
        <w:t xml:space="preserve"> зокрема</w:t>
      </w:r>
      <w:r w:rsidR="00975B05">
        <w:rPr>
          <w:rFonts w:ascii="Elektra Light Pro" w:hAnsi="Elektra Light Pro"/>
        </w:rPr>
        <w:t>,</w:t>
      </w:r>
      <w:r>
        <w:rPr>
          <w:rFonts w:ascii="Elektra Light Pro" w:hAnsi="Elektra Light Pro"/>
        </w:rPr>
        <w:t xml:space="preserve"> є Кодекс України «Про надра» </w:t>
      </w:r>
      <w:r w:rsidR="00975B05">
        <w:rPr>
          <w:rFonts w:ascii="Elektra Light Pro" w:hAnsi="Elektra Light Pro"/>
        </w:rPr>
        <w:t xml:space="preserve">від </w:t>
      </w:r>
      <w:r>
        <w:rPr>
          <w:rFonts w:ascii="Elektra Light Pro" w:hAnsi="Elektra Light Pro"/>
        </w:rPr>
        <w:t>27.07.1994</w:t>
      </w:r>
      <w:r w:rsidR="00975B05">
        <w:rPr>
          <w:rFonts w:ascii="Elektra Light Pro" w:hAnsi="Elektra Light Pro"/>
        </w:rPr>
        <w:t>р.</w:t>
      </w:r>
      <w:r>
        <w:rPr>
          <w:rFonts w:ascii="Elektra Light Pro" w:hAnsi="Elektra Light Pro"/>
        </w:rPr>
        <w:t xml:space="preserve"> №132/94-ВР, Закон України «Про нафту і газ» від 12.07.2001</w:t>
      </w:r>
      <w:r w:rsidR="00975B05">
        <w:rPr>
          <w:rFonts w:ascii="Elektra Light Pro" w:hAnsi="Elektra Light Pro"/>
        </w:rPr>
        <w:t>р.</w:t>
      </w:r>
      <w:r>
        <w:rPr>
          <w:rFonts w:ascii="Elektra Light Pro" w:hAnsi="Elektra Light Pro"/>
        </w:rPr>
        <w:t xml:space="preserve"> № 2665-III, Наказ Міністерства екології та природних ресурсів України «Про затвердження Правил розробки нафтових і газових родовищ» від 15.03.2017</w:t>
      </w:r>
      <w:r w:rsidR="00975B05">
        <w:rPr>
          <w:rFonts w:ascii="Elektra Light Pro" w:hAnsi="Elektra Light Pro"/>
        </w:rPr>
        <w:t>р.</w:t>
      </w:r>
      <w:r>
        <w:rPr>
          <w:rFonts w:ascii="Elektra Light Pro" w:hAnsi="Elektra Light Pro"/>
        </w:rPr>
        <w:t>  № 118, Постанова Державного комітету СРСР на нагляду за безпечним веденням робіт в промисловості і гірничого нагляду «Про затвердження положення про порядок ліквідації нафтових, газових та інших свердловин і списання витрат на їх будівництво» від 27.12.1989</w:t>
      </w:r>
      <w:r w:rsidR="00975B05">
        <w:rPr>
          <w:rFonts w:ascii="Elektra Light Pro" w:hAnsi="Elektra Light Pro"/>
        </w:rPr>
        <w:t>р.</w:t>
      </w:r>
      <w:r>
        <w:rPr>
          <w:rFonts w:ascii="Elektra Light Pro" w:hAnsi="Elektra Light Pro"/>
        </w:rPr>
        <w:t xml:space="preserve"> № 19, Наказ Державного комітету з промислової безпеки і, охорони праці та гірничого нагляду «Про затвердження Правил безпеки в нафтогазодобувній промисловості України» від 06.05.2008 № 95, ГСТУ 320.00013741.017-2002 «Розвідка (</w:t>
      </w:r>
      <w:proofErr w:type="spellStart"/>
      <w:r>
        <w:rPr>
          <w:rFonts w:ascii="Elektra Light Pro" w:hAnsi="Elektra Light Pro"/>
        </w:rPr>
        <w:t>дорозвідка</w:t>
      </w:r>
      <w:proofErr w:type="spellEnd"/>
      <w:r>
        <w:rPr>
          <w:rFonts w:ascii="Elektra Light Pro" w:hAnsi="Elektra Light Pro"/>
        </w:rPr>
        <w:t xml:space="preserve">) та облаштування родовищ нафти і газу. Складові елементи видів робіт і об'єкти будівництва». </w:t>
      </w:r>
    </w:p>
    <w:p w14:paraId="18D45FFE" w14:textId="73131B42" w:rsidR="002D4C61" w:rsidRDefault="002D4C61" w:rsidP="00975B05">
      <w:pPr>
        <w:ind w:left="450" w:firstLine="706"/>
        <w:jc w:val="both"/>
        <w:rPr>
          <w:rFonts w:ascii="Elektra Light Pro" w:hAnsi="Elektra Light Pro"/>
        </w:rPr>
      </w:pPr>
      <w:r>
        <w:rPr>
          <w:rFonts w:ascii="Elektra Light Pro" w:hAnsi="Elektra Light Pro"/>
        </w:rPr>
        <w:t>Відповідно до Закону України «Про нафту і газ» від 12.07.2001</w:t>
      </w:r>
      <w:r w:rsidR="00975B05">
        <w:rPr>
          <w:rFonts w:ascii="Elektra Light Pro" w:hAnsi="Elektra Light Pro"/>
        </w:rPr>
        <w:t>р.</w:t>
      </w:r>
      <w:r>
        <w:rPr>
          <w:rFonts w:ascii="Elektra Light Pro" w:hAnsi="Elektra Light Pro"/>
        </w:rPr>
        <w:t xml:space="preserve"> № 2665-III:</w:t>
      </w:r>
    </w:p>
    <w:p w14:paraId="26735942" w14:textId="3F09B13B" w:rsidR="002D4C61" w:rsidRDefault="002D4C61" w:rsidP="00975B05">
      <w:pPr>
        <w:ind w:left="450" w:firstLine="706"/>
        <w:jc w:val="both"/>
        <w:rPr>
          <w:rFonts w:ascii="Elektra Light Pro" w:hAnsi="Elektra Light Pro"/>
        </w:rPr>
      </w:pPr>
      <w:r>
        <w:rPr>
          <w:rFonts w:ascii="Elektra Light Pro" w:hAnsi="Elektra Light Pro"/>
        </w:rPr>
        <w:t>нафтогазова галузь - галузь економіки України, яка разом з іншими галузями забезпечує пошук,  розвідку  та  розробку  родовищ нафти і газу, транспортування, переробку, зберігання і реалізацію нафти, газу та продуктів їх переробки;</w:t>
      </w:r>
    </w:p>
    <w:p w14:paraId="3234057B" w14:textId="77777777" w:rsidR="002D4C61" w:rsidRDefault="002D4C61" w:rsidP="00975B05">
      <w:pPr>
        <w:ind w:left="450" w:firstLine="706"/>
        <w:jc w:val="both"/>
        <w:rPr>
          <w:rFonts w:ascii="Elektra Light Pro" w:hAnsi="Elektra Light Pro"/>
        </w:rPr>
      </w:pPr>
      <w:r>
        <w:rPr>
          <w:rFonts w:ascii="Elektra Light Pro" w:hAnsi="Elektra Light Pro"/>
        </w:rPr>
        <w:t>користувач нафтогазоносними  надрами - юридична або фізична особа, що має спеціальний дозвіл на користування нафтогазоносними надрами з метою пошуку та розвідки родовищ нафти і газу, видобутку нафти і газу або їх зберігання,  повернення (захоронення) супутніх і стічних вод, інших відходів, що видобуваються в процесі розвідки і розробки родовищ нафти і газу;</w:t>
      </w:r>
    </w:p>
    <w:p w14:paraId="10C3049F" w14:textId="77777777" w:rsidR="002D4C61" w:rsidRDefault="002D4C61" w:rsidP="00975B05">
      <w:pPr>
        <w:ind w:left="450" w:firstLine="900"/>
        <w:jc w:val="both"/>
        <w:rPr>
          <w:rFonts w:ascii="Elektra Light Pro" w:hAnsi="Elektra Light Pro"/>
        </w:rPr>
      </w:pPr>
      <w:r>
        <w:rPr>
          <w:rFonts w:ascii="Elektra Light Pro" w:hAnsi="Elektra Light Pro"/>
        </w:rPr>
        <w:t>державне регулювання діяльності в нафтогазовій галузі здійснюється шляхом встановлення загальних правил здійснення цієї діяльності суб'єктами підприємницької діяльності, надання ліцензій на  здійснення  окремих видів діяльності, спеціальних дозволів на користування нафтогазоносними надрами та формування тарифної політики та іншими засобами, що визначаються законами.</w:t>
      </w:r>
    </w:p>
    <w:p w14:paraId="2494FF6F" w14:textId="77777777" w:rsidR="002D4C61" w:rsidRDefault="002D4C61" w:rsidP="00975B05">
      <w:pPr>
        <w:ind w:left="450" w:firstLine="706"/>
        <w:jc w:val="both"/>
        <w:rPr>
          <w:rFonts w:ascii="Elektra Light Pro" w:hAnsi="Elektra Light Pro"/>
          <w:b/>
        </w:rPr>
      </w:pPr>
      <w:r>
        <w:rPr>
          <w:rFonts w:ascii="Elektra Light Pro" w:hAnsi="Elektra Light Pro"/>
        </w:rPr>
        <w:t xml:space="preserve">У статті 20 Закон України «Про нафту і газ» визначено, </w:t>
      </w:r>
      <w:r>
        <w:rPr>
          <w:rFonts w:ascii="Elektra Light Pro" w:hAnsi="Elektra Light Pro"/>
          <w:b/>
        </w:rPr>
        <w:t xml:space="preserve">що власник спеціального дозволу на користування нафтогазоносними надрами зобов'язаний: </w:t>
      </w:r>
    </w:p>
    <w:p w14:paraId="03181D98" w14:textId="77777777" w:rsidR="002D4C61" w:rsidRDefault="002D4C61" w:rsidP="00975B05">
      <w:pPr>
        <w:numPr>
          <w:ilvl w:val="0"/>
          <w:numId w:val="2"/>
        </w:numPr>
        <w:ind w:left="993" w:hanging="284"/>
        <w:contextualSpacing/>
        <w:jc w:val="both"/>
        <w:rPr>
          <w:rFonts w:ascii="Elektra Light Pro" w:hAnsi="Elektra Light Pro"/>
        </w:rPr>
      </w:pPr>
      <w:r>
        <w:rPr>
          <w:rFonts w:ascii="Elektra Light Pro" w:hAnsi="Elektra Light Pro"/>
        </w:rPr>
        <w:t xml:space="preserve">забезпечити повноту геологічного вивчення, раціональне комплексне використання і охорону нафтогазоносних надр згідно з угодою про умови користування нафтогазоносними надрами та програмою робіт; </w:t>
      </w:r>
    </w:p>
    <w:p w14:paraId="4F3402A5" w14:textId="77777777" w:rsidR="002D4C61" w:rsidRDefault="002D4C61" w:rsidP="00975B05">
      <w:pPr>
        <w:numPr>
          <w:ilvl w:val="0"/>
          <w:numId w:val="2"/>
        </w:numPr>
        <w:ind w:left="993" w:hanging="284"/>
        <w:contextualSpacing/>
        <w:jc w:val="both"/>
        <w:rPr>
          <w:rFonts w:ascii="Elektra Light Pro" w:hAnsi="Elektra Light Pro"/>
        </w:rPr>
      </w:pPr>
      <w:r>
        <w:rPr>
          <w:rFonts w:ascii="Elektra Light Pro" w:hAnsi="Elektra Light Pro"/>
        </w:rPr>
        <w:t xml:space="preserve">додержуватися вимог законодавства України, чинних стандартів, правил, норм виконання робіт, пов'язаних з користуванням нафтогазоносними надрами; </w:t>
      </w:r>
    </w:p>
    <w:p w14:paraId="19565727" w14:textId="77777777" w:rsidR="002D4C61" w:rsidRDefault="002D4C61" w:rsidP="00975B05">
      <w:pPr>
        <w:numPr>
          <w:ilvl w:val="0"/>
          <w:numId w:val="2"/>
        </w:numPr>
        <w:ind w:left="993" w:hanging="284"/>
        <w:contextualSpacing/>
        <w:jc w:val="both"/>
        <w:rPr>
          <w:rFonts w:ascii="Elektra Light Pro" w:hAnsi="Elektra Light Pro"/>
        </w:rPr>
      </w:pPr>
      <w:r>
        <w:rPr>
          <w:rFonts w:ascii="Elektra Light Pro" w:hAnsi="Elektra Light Pro"/>
        </w:rPr>
        <w:lastRenderedPageBreak/>
        <w:t xml:space="preserve">створити безпечні для працівників і населення умови проведення робіт, пов'язаних з користуванням нафтогазоносними надрами; </w:t>
      </w:r>
    </w:p>
    <w:p w14:paraId="205A2A2B" w14:textId="77777777" w:rsidR="002D4C61" w:rsidRDefault="002D4C61" w:rsidP="00975B05">
      <w:pPr>
        <w:numPr>
          <w:ilvl w:val="0"/>
          <w:numId w:val="2"/>
        </w:numPr>
        <w:ind w:left="993" w:hanging="284"/>
        <w:contextualSpacing/>
        <w:jc w:val="both"/>
        <w:rPr>
          <w:rFonts w:ascii="Elektra Light Pro" w:hAnsi="Elektra Light Pro"/>
        </w:rPr>
      </w:pPr>
      <w:r>
        <w:rPr>
          <w:rFonts w:ascii="Elektra Light Pro" w:hAnsi="Elektra Light Pro"/>
        </w:rPr>
        <w:t xml:space="preserve">відшкодовувати збитки, заподіяні підприємствам, установам, організаціям, громадянам та довкіллю; </w:t>
      </w:r>
    </w:p>
    <w:p w14:paraId="3E107389" w14:textId="77777777" w:rsidR="002D4C61" w:rsidRDefault="002D4C61" w:rsidP="00975B05">
      <w:pPr>
        <w:numPr>
          <w:ilvl w:val="0"/>
          <w:numId w:val="2"/>
        </w:numPr>
        <w:ind w:left="993" w:hanging="284"/>
        <w:contextualSpacing/>
        <w:jc w:val="both"/>
        <w:rPr>
          <w:rFonts w:ascii="Elektra Light Pro" w:hAnsi="Elektra Light Pro"/>
        </w:rPr>
      </w:pPr>
      <w:r>
        <w:rPr>
          <w:rFonts w:ascii="Elektra Light Pro" w:hAnsi="Elektra Light Pro"/>
        </w:rPr>
        <w:t>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 порядку, затвердженого Кабінетом Міністрів України.</w:t>
      </w:r>
    </w:p>
    <w:p w14:paraId="182D264A" w14:textId="62F01C5A" w:rsidR="002D4C61" w:rsidRDefault="002D4C61" w:rsidP="00975B05">
      <w:pPr>
        <w:ind w:left="450" w:firstLine="990"/>
        <w:jc w:val="both"/>
        <w:rPr>
          <w:rFonts w:ascii="Elektra Light Pro" w:hAnsi="Elektra Light Pro"/>
        </w:rPr>
      </w:pPr>
      <w:r>
        <w:rPr>
          <w:rFonts w:ascii="Elektra Light Pro" w:hAnsi="Elektra Light Pro"/>
        </w:rPr>
        <w:t>Користування надрами газовидобувними компаніями в силу приписів законодавства та специфіки діяльності включає ряд операцій, які відносяться саме до господарської діяльності газовидобувного підприємства – діяльності спрямованої на отримання доходу.</w:t>
      </w:r>
    </w:p>
    <w:p w14:paraId="17229E5B" w14:textId="307C9BA3" w:rsidR="002D4C61" w:rsidRDefault="002D4C61" w:rsidP="00975B05">
      <w:pPr>
        <w:ind w:left="450" w:firstLine="990"/>
        <w:jc w:val="both"/>
        <w:rPr>
          <w:rFonts w:ascii="Elektra Light Pro" w:hAnsi="Elektra Light Pro"/>
        </w:rPr>
      </w:pPr>
      <w:r>
        <w:rPr>
          <w:rFonts w:ascii="Elektra Light Pro" w:hAnsi="Elektra Light Pro"/>
        </w:rPr>
        <w:t>Для формування доходу від операційної діяльності з видобутку природного газу необхідно пройти ряд етапів, які визначені Закон України «Про нафту і газ» та Кодексом «Про надра»:</w:t>
      </w:r>
    </w:p>
    <w:p w14:paraId="2621C8C0" w14:textId="77777777" w:rsidR="002D4C61" w:rsidRDefault="002D4C61" w:rsidP="00975B05">
      <w:pPr>
        <w:pStyle w:val="ListParagraph"/>
        <w:numPr>
          <w:ilvl w:val="0"/>
          <w:numId w:val="3"/>
        </w:numPr>
        <w:spacing w:after="0" w:line="240" w:lineRule="auto"/>
        <w:ind w:left="450" w:firstLine="990"/>
        <w:jc w:val="both"/>
        <w:rPr>
          <w:rFonts w:ascii="Elektra Light Pro" w:eastAsia="Times New Roman" w:hAnsi="Elektra Light Pro"/>
          <w:sz w:val="24"/>
          <w:szCs w:val="24"/>
          <w:lang w:val="uk-UA" w:eastAsia="ru-RU"/>
        </w:rPr>
      </w:pPr>
      <w:r>
        <w:rPr>
          <w:rFonts w:ascii="Elektra Light Pro" w:eastAsia="Times New Roman" w:hAnsi="Elektra Light Pro"/>
          <w:b/>
          <w:sz w:val="24"/>
          <w:szCs w:val="24"/>
          <w:lang w:val="uk-UA" w:eastAsia="ru-RU"/>
        </w:rPr>
        <w:t>розвідувальні роботи</w:t>
      </w:r>
      <w:r>
        <w:rPr>
          <w:rFonts w:ascii="Elektra Light Pro" w:eastAsia="Times New Roman" w:hAnsi="Elektra Light Pro"/>
          <w:sz w:val="24"/>
          <w:szCs w:val="24"/>
          <w:lang w:val="uk-UA" w:eastAsia="ru-RU"/>
        </w:rPr>
        <w:t xml:space="preserve"> - </w:t>
      </w:r>
      <w:proofErr w:type="spellStart"/>
      <w:r>
        <w:rPr>
          <w:rFonts w:ascii="Elektra Light Pro" w:eastAsia="Times New Roman" w:hAnsi="Elektra Light Pro"/>
          <w:sz w:val="24"/>
          <w:szCs w:val="24"/>
          <w:lang w:val="uk-UA" w:eastAsia="ru-RU"/>
        </w:rPr>
        <w:t>геологознімальні</w:t>
      </w:r>
      <w:proofErr w:type="spellEnd"/>
      <w:r>
        <w:rPr>
          <w:rFonts w:ascii="Elektra Light Pro" w:eastAsia="Times New Roman" w:hAnsi="Elektra Light Pro"/>
          <w:sz w:val="24"/>
          <w:szCs w:val="24"/>
          <w:lang w:val="uk-UA" w:eastAsia="ru-RU"/>
        </w:rPr>
        <w:t xml:space="preserve">, пошукові, геодезичні роботи, роботи з геологічного вивчення нафтогазоносності надр, роботи з </w:t>
      </w:r>
      <w:proofErr w:type="spellStart"/>
      <w:r>
        <w:rPr>
          <w:rFonts w:ascii="Elektra Light Pro" w:eastAsia="Times New Roman" w:hAnsi="Elektra Light Pro"/>
          <w:sz w:val="24"/>
          <w:szCs w:val="24"/>
          <w:lang w:val="uk-UA" w:eastAsia="ru-RU"/>
        </w:rPr>
        <w:t>дорозвідки</w:t>
      </w:r>
      <w:proofErr w:type="spellEnd"/>
      <w:r>
        <w:rPr>
          <w:rFonts w:ascii="Elektra Light Pro" w:eastAsia="Times New Roman" w:hAnsi="Elektra Light Pro"/>
          <w:sz w:val="24"/>
          <w:szCs w:val="24"/>
          <w:lang w:val="uk-UA" w:eastAsia="ru-RU"/>
        </w:rPr>
        <w:t xml:space="preserve"> та експлуатаційної розвідки родовищ, у тому числі буріння, облаштування та експлуатація нафтових і газових свердловин, з  нового будівництва, технічного обслуговування, капітального ремонту і реконструкції нафтових і газових свердловин та пов’язаних з їх обслуговуванням об’єктів трубопровідного транспорту,    виробничих споруд, під’їзних доріг, ліній електропередачі та зв’язку. Під час геологічного вивчення нафтогазоносних надр здійснюються геолого-геофізичні дослідження; виявлення і підготовка площ різноманітними геолого-геофізичними методами; буріння пошукових і розвідувальних свердловин; пошук і наступна розвідка родовищ; підрахунок і затвердження запасів вуглеводнів в ДКЗ України.</w:t>
      </w:r>
    </w:p>
    <w:p w14:paraId="791F305C" w14:textId="77777777" w:rsidR="002D4C61" w:rsidRDefault="002D4C61" w:rsidP="00975B05">
      <w:pPr>
        <w:pStyle w:val="ListParagraph"/>
        <w:numPr>
          <w:ilvl w:val="0"/>
          <w:numId w:val="3"/>
        </w:numPr>
        <w:spacing w:after="0" w:line="240" w:lineRule="auto"/>
        <w:ind w:left="450" w:firstLine="990"/>
        <w:jc w:val="both"/>
        <w:rPr>
          <w:rFonts w:ascii="Elektra Light Pro" w:eastAsia="Times New Roman" w:hAnsi="Elektra Light Pro"/>
          <w:sz w:val="24"/>
          <w:szCs w:val="24"/>
          <w:lang w:val="uk-UA" w:eastAsia="ru-RU"/>
        </w:rPr>
      </w:pPr>
      <w:r>
        <w:rPr>
          <w:rFonts w:ascii="Elektra Light Pro" w:eastAsia="Times New Roman" w:hAnsi="Elektra Light Pro"/>
          <w:b/>
          <w:sz w:val="24"/>
          <w:szCs w:val="24"/>
          <w:lang w:val="uk-UA" w:eastAsia="ru-RU"/>
        </w:rPr>
        <w:t>облаштування родовища</w:t>
      </w:r>
      <w:r>
        <w:rPr>
          <w:rFonts w:ascii="Elektra Light Pro" w:eastAsia="Times New Roman" w:hAnsi="Elektra Light Pro"/>
          <w:sz w:val="24"/>
          <w:szCs w:val="24"/>
          <w:lang w:val="uk-UA" w:eastAsia="ru-RU"/>
        </w:rPr>
        <w:t xml:space="preserve"> - комплекс проектних, вишукувальних, будівельних  та  інших  робіт, які необхідно провести для введення родовища  в промислову (дослідно-промислову) розробку, або робіт з будівництва,  капітального  ремонту,  реконструкції  і  технічного переоснащення на діючих (облаштованих) родовищах. </w:t>
      </w:r>
    </w:p>
    <w:p w14:paraId="3C8F259E" w14:textId="77777777" w:rsidR="002D4C61" w:rsidRDefault="002D4C61" w:rsidP="00975B05">
      <w:pPr>
        <w:pStyle w:val="ListParagraph"/>
        <w:numPr>
          <w:ilvl w:val="0"/>
          <w:numId w:val="3"/>
        </w:numPr>
        <w:spacing w:after="0" w:line="240" w:lineRule="auto"/>
        <w:ind w:left="450" w:firstLine="990"/>
        <w:jc w:val="both"/>
        <w:rPr>
          <w:rFonts w:ascii="Elektra Light Pro" w:eastAsia="Times New Roman" w:hAnsi="Elektra Light Pro"/>
          <w:sz w:val="24"/>
          <w:szCs w:val="24"/>
          <w:lang w:val="uk-UA" w:eastAsia="ru-RU"/>
        </w:rPr>
      </w:pPr>
      <w:r>
        <w:rPr>
          <w:rFonts w:ascii="Elektra Light Pro" w:eastAsia="Times New Roman" w:hAnsi="Elektra Light Pro"/>
          <w:b/>
          <w:sz w:val="24"/>
          <w:szCs w:val="24"/>
          <w:lang w:val="uk-UA" w:eastAsia="ru-RU"/>
        </w:rPr>
        <w:t>дослідно – промислова розробка родовища нафти і газу</w:t>
      </w:r>
      <w:r>
        <w:rPr>
          <w:rFonts w:ascii="Elektra Light Pro" w:eastAsia="Times New Roman" w:hAnsi="Elektra Light Pro"/>
          <w:sz w:val="24"/>
          <w:szCs w:val="24"/>
          <w:lang w:val="uk-UA" w:eastAsia="ru-RU"/>
        </w:rPr>
        <w:t xml:space="preserve"> - стадія геологічного вивчення родовища,  на якій здійснюється видобуток  з родовища  обмеженої кількості нафти і газу з метою визначення його промислової цінності, уточнення гірничо-геологічних та технологічних параметрів, необхідних для підрахунку запасів нафти, газу і супутніх компонентів та </w:t>
      </w:r>
      <w:proofErr w:type="spellStart"/>
      <w:r>
        <w:rPr>
          <w:rFonts w:ascii="Elektra Light Pro" w:eastAsia="Times New Roman" w:hAnsi="Elektra Light Pro"/>
          <w:sz w:val="24"/>
          <w:szCs w:val="24"/>
          <w:lang w:val="uk-UA" w:eastAsia="ru-RU"/>
        </w:rPr>
        <w:t>обгрунтування</w:t>
      </w:r>
      <w:proofErr w:type="spellEnd"/>
      <w:r>
        <w:rPr>
          <w:rFonts w:ascii="Elektra Light Pro" w:eastAsia="Times New Roman" w:hAnsi="Elektra Light Pro"/>
          <w:sz w:val="24"/>
          <w:szCs w:val="24"/>
          <w:lang w:val="uk-UA" w:eastAsia="ru-RU"/>
        </w:rPr>
        <w:t xml:space="preserve"> вибору  раціонального методу (технології) промислової розробки родовища. </w:t>
      </w:r>
    </w:p>
    <w:p w14:paraId="5AA30353" w14:textId="77777777" w:rsidR="002D4C61" w:rsidRDefault="002D4C61" w:rsidP="00975B05">
      <w:pPr>
        <w:pStyle w:val="ListParagraph"/>
        <w:numPr>
          <w:ilvl w:val="0"/>
          <w:numId w:val="3"/>
        </w:numPr>
        <w:spacing w:after="0" w:line="240" w:lineRule="auto"/>
        <w:ind w:left="450" w:firstLine="990"/>
        <w:jc w:val="both"/>
        <w:rPr>
          <w:rFonts w:ascii="Elektra Light Pro" w:eastAsia="Times New Roman" w:hAnsi="Elektra Light Pro"/>
          <w:sz w:val="24"/>
          <w:szCs w:val="24"/>
          <w:lang w:val="uk-UA" w:eastAsia="ru-RU"/>
        </w:rPr>
      </w:pPr>
      <w:r>
        <w:rPr>
          <w:rFonts w:ascii="Elektra Light Pro" w:eastAsia="Times New Roman" w:hAnsi="Elektra Light Pro"/>
          <w:b/>
          <w:sz w:val="24"/>
          <w:szCs w:val="24"/>
          <w:lang w:val="uk-UA" w:eastAsia="ru-RU"/>
        </w:rPr>
        <w:t>промислова розробка родовища</w:t>
      </w:r>
      <w:r>
        <w:rPr>
          <w:rFonts w:ascii="Elektra Light Pro" w:eastAsia="Times New Roman" w:hAnsi="Elektra Light Pro"/>
          <w:sz w:val="24"/>
          <w:szCs w:val="24"/>
          <w:lang w:val="uk-UA" w:eastAsia="ru-RU"/>
        </w:rPr>
        <w:t xml:space="preserve"> – технологічний процес вилучення з родовища нафти,  газу та супутніх  їм  корисних компонентів, що здійснюється на основі відповідних проектних документів після завершення геологічного вивчення родовища, геолого-економічної оцінки і затвердження у встановленому порядку  запасів нафти, газу і супутніх компонентів. </w:t>
      </w:r>
    </w:p>
    <w:p w14:paraId="3AC37AB1" w14:textId="7D3F9AB8" w:rsidR="002D4C61" w:rsidRDefault="002D4C61" w:rsidP="00975B05">
      <w:pPr>
        <w:pStyle w:val="ListParagraph"/>
        <w:numPr>
          <w:ilvl w:val="0"/>
          <w:numId w:val="3"/>
        </w:numPr>
        <w:spacing w:after="0" w:line="240" w:lineRule="auto"/>
        <w:ind w:left="450" w:firstLine="990"/>
        <w:jc w:val="both"/>
        <w:rPr>
          <w:rFonts w:ascii="Elektra Light Pro" w:eastAsia="Times New Roman" w:hAnsi="Elektra Light Pro"/>
          <w:sz w:val="24"/>
          <w:szCs w:val="24"/>
          <w:lang w:val="uk-UA" w:eastAsia="ru-RU"/>
        </w:rPr>
      </w:pPr>
      <w:r>
        <w:rPr>
          <w:rFonts w:ascii="Elektra Light Pro" w:eastAsia="Times New Roman" w:hAnsi="Elektra Light Pro"/>
          <w:b/>
          <w:sz w:val="24"/>
          <w:szCs w:val="24"/>
          <w:lang w:val="uk-UA" w:eastAsia="ru-RU"/>
        </w:rPr>
        <w:t>ліквідація і консервація гірничодобувних об'єктів</w:t>
      </w:r>
      <w:r>
        <w:rPr>
          <w:rFonts w:ascii="Elektra Light Pro" w:eastAsia="Times New Roman" w:hAnsi="Elektra Light Pro"/>
          <w:sz w:val="24"/>
          <w:szCs w:val="24"/>
          <w:lang w:val="uk-UA" w:eastAsia="ru-RU"/>
        </w:rPr>
        <w:t xml:space="preserve">. Після вироблення запасів корисних копалин, а також у разі, коли за техніко-економічними розрахунками та іншими </w:t>
      </w:r>
      <w:r w:rsidR="00E46140">
        <w:rPr>
          <w:rFonts w:ascii="Elektra Light Pro" w:eastAsia="Times New Roman" w:hAnsi="Elektra Light Pro"/>
          <w:sz w:val="24"/>
          <w:szCs w:val="24"/>
          <w:lang w:val="uk-UA" w:eastAsia="ru-RU"/>
        </w:rPr>
        <w:t>обґрунтуваннями</w:t>
      </w:r>
      <w:r>
        <w:rPr>
          <w:rFonts w:ascii="Elektra Light Pro" w:eastAsia="Times New Roman" w:hAnsi="Elektra Light Pro"/>
          <w:sz w:val="24"/>
          <w:szCs w:val="24"/>
          <w:lang w:val="uk-UA" w:eastAsia="ru-RU"/>
        </w:rPr>
        <w:t xml:space="preserve"> подальша розробка родовищ чи його частин є недоцільною або неможливою, гірничодобувні об'єкти або ділянки цих об'єктів підлягають ліквідації чи консервації. У разі повної або часткової ліквідації чи консервації гірничодобувного об'єкта гірничі виробки і свердловини повинні бути приведені у стан, який гарантує безпеку людей, майна і навколишнього природного середовища, а в разі консервації - гарантує також і збереження родовищ, гірничих виробок та свердловин на весь період консервації. У разі ліквідації гірничодобувних об'єктів повинно бути вирішено також питання про можливе використання гірничих виробок і свердловин для інших цілей суспільного виробництва. </w:t>
      </w:r>
    </w:p>
    <w:p w14:paraId="7846B595" w14:textId="2FE163AA" w:rsidR="002D4C61" w:rsidRDefault="002D4C61" w:rsidP="00975B05">
      <w:pPr>
        <w:ind w:left="450" w:firstLine="990"/>
        <w:jc w:val="both"/>
        <w:rPr>
          <w:rFonts w:ascii="Elektra Light Pro" w:hAnsi="Elektra Light Pro"/>
          <w:lang w:eastAsia="ru-RU"/>
        </w:rPr>
      </w:pPr>
      <w:r>
        <w:rPr>
          <w:rFonts w:ascii="Elektra Light Pro" w:hAnsi="Elektra Light Pro"/>
        </w:rPr>
        <w:t>Діяльність газовидобувного підприємства в будь</w:t>
      </w:r>
      <w:r w:rsidR="00975B05">
        <w:rPr>
          <w:rFonts w:ascii="Elektra Light Pro" w:hAnsi="Elektra Light Pro"/>
        </w:rPr>
        <w:t>-</w:t>
      </w:r>
      <w:r>
        <w:rPr>
          <w:rFonts w:ascii="Elektra Light Pro" w:hAnsi="Elektra Light Pro"/>
        </w:rPr>
        <w:t>якій країні світу, зокрема в Україні, є дуже капітало</w:t>
      </w:r>
      <w:r w:rsidR="00E46140">
        <w:rPr>
          <w:rFonts w:ascii="Elektra Light Pro" w:hAnsi="Elektra Light Pro"/>
        </w:rPr>
        <w:t>місткою</w:t>
      </w:r>
      <w:r>
        <w:rPr>
          <w:rFonts w:ascii="Elektra Light Pro" w:hAnsi="Elektra Light Pro"/>
        </w:rPr>
        <w:t xml:space="preserve"> та </w:t>
      </w:r>
      <w:r w:rsidR="00E46140">
        <w:rPr>
          <w:rFonts w:ascii="Elektra Light Pro" w:hAnsi="Elektra Light Pro"/>
        </w:rPr>
        <w:t>високо ризиковою</w:t>
      </w:r>
      <w:r>
        <w:rPr>
          <w:rFonts w:ascii="Elektra Light Pro" w:hAnsi="Elektra Light Pro"/>
        </w:rPr>
        <w:t xml:space="preserve">, а проведення діяльності з видобутку природного газу без понесення витрат на розвідувальні роботи, облаштування та розробку родовища є </w:t>
      </w:r>
      <w:r w:rsidR="00975B05">
        <w:rPr>
          <w:rFonts w:ascii="Elektra Light Pro" w:hAnsi="Elektra Light Pro"/>
        </w:rPr>
        <w:t>не</w:t>
      </w:r>
      <w:r>
        <w:rPr>
          <w:rFonts w:ascii="Elektra Light Pro" w:hAnsi="Elektra Light Pro"/>
        </w:rPr>
        <w:t>можливим.</w:t>
      </w:r>
    </w:p>
    <w:p w14:paraId="4BB11ACD" w14:textId="77777777" w:rsidR="002D4C61" w:rsidRDefault="002D4C61" w:rsidP="00975B05">
      <w:pPr>
        <w:ind w:left="450" w:firstLine="990"/>
        <w:jc w:val="both"/>
        <w:rPr>
          <w:rFonts w:ascii="Elektra Light Pro" w:hAnsi="Elektra Light Pro"/>
        </w:rPr>
      </w:pPr>
      <w:r>
        <w:rPr>
          <w:rFonts w:ascii="Elektra Light Pro" w:hAnsi="Elektra Light Pro"/>
        </w:rPr>
        <w:lastRenderedPageBreak/>
        <w:t xml:space="preserve">Відповідно до ст. 42 Господарського кодексу України підприємництво - це самостійна, ініціативна, систематична, </w:t>
      </w:r>
      <w:r>
        <w:rPr>
          <w:rFonts w:ascii="Elektra Light Pro" w:hAnsi="Elektra Light Pro"/>
          <w:b/>
        </w:rPr>
        <w:t>на власний ризик господарська</w:t>
      </w:r>
      <w:r>
        <w:rPr>
          <w:rFonts w:ascii="Elektra Light Pro" w:hAnsi="Elektra Light Pro"/>
        </w:rPr>
        <w:t xml:space="preserve"> </w:t>
      </w:r>
      <w:r>
        <w:rPr>
          <w:rFonts w:ascii="Elektra Light Pro" w:hAnsi="Elektra Light Pro"/>
          <w:b/>
        </w:rPr>
        <w:t>діяльність</w:t>
      </w:r>
      <w:r>
        <w:rPr>
          <w:rFonts w:ascii="Elektra Light Pro" w:hAnsi="Elektra Light Pro"/>
        </w:rPr>
        <w:t>, що здійснюється суб'єктами господарювання (підприємцями) з метою досягнення економічних і соціальних результатів та одержання прибутку.</w:t>
      </w:r>
    </w:p>
    <w:p w14:paraId="645E061C" w14:textId="77777777" w:rsidR="002D4C61" w:rsidRDefault="002D4C61" w:rsidP="00975B05">
      <w:pPr>
        <w:ind w:left="450" w:firstLine="990"/>
        <w:jc w:val="both"/>
        <w:rPr>
          <w:rFonts w:ascii="Elektra Light Pro" w:hAnsi="Elektra Light Pro"/>
        </w:rPr>
      </w:pPr>
      <w:r>
        <w:rPr>
          <w:rFonts w:ascii="Elektra Light Pro" w:hAnsi="Elektra Light Pro"/>
        </w:rPr>
        <w:t xml:space="preserve">Згідно </w:t>
      </w:r>
      <w:proofErr w:type="spellStart"/>
      <w:r>
        <w:rPr>
          <w:rFonts w:ascii="Elektra Light Pro" w:hAnsi="Elektra Light Pro"/>
        </w:rPr>
        <w:t>пп</w:t>
      </w:r>
      <w:proofErr w:type="spellEnd"/>
      <w:r>
        <w:rPr>
          <w:rFonts w:ascii="Elektra Light Pro" w:hAnsi="Elektra Light Pro"/>
        </w:rPr>
        <w:t xml:space="preserve">. 14.1.36 Податкового кодексу України (надалі - ПКУ) господарська діяльність - діяльність особи, що пов'язана з виробництвом (виготовленням) та/або реалізацією товарів, виконанням робіт, наданням послуг, </w:t>
      </w:r>
      <w:r>
        <w:rPr>
          <w:rFonts w:ascii="Elektra Light Pro" w:hAnsi="Elektra Light Pro"/>
          <w:b/>
        </w:rPr>
        <w:t>спрямована на отримання доходу</w:t>
      </w:r>
      <w:r>
        <w:rPr>
          <w:rFonts w:ascii="Elektra Light Pro" w:hAnsi="Elektra Light Pro"/>
        </w:rPr>
        <w:t xml:space="preserve"> і проводиться такою особою самостійно та/або через свої відокремлені підрозділи, а також через будь-яку іншу особу, що діє на користь першої особи, зокрема за договорами комісії, доручення та агентськими договорами.</w:t>
      </w:r>
    </w:p>
    <w:p w14:paraId="061D3FA2" w14:textId="097CAE32" w:rsidR="002D4C61" w:rsidRPr="00E52C96" w:rsidRDefault="002D4C61" w:rsidP="00975B05">
      <w:pPr>
        <w:ind w:left="450" w:firstLine="990"/>
        <w:jc w:val="both"/>
        <w:rPr>
          <w:rFonts w:ascii="Elektra Light Pro" w:hAnsi="Elektra Light Pro"/>
        </w:rPr>
      </w:pPr>
      <w:r>
        <w:rPr>
          <w:rFonts w:ascii="Elektra Light Pro" w:hAnsi="Elektra Light Pro"/>
        </w:rPr>
        <w:t xml:space="preserve">В ході провадження господарської діяльності газовидобувних підприємств в силу специфіки галузі виникають питання оподаткування, які </w:t>
      </w:r>
      <w:r w:rsidR="00975B05">
        <w:rPr>
          <w:rFonts w:ascii="Elektra Light Pro" w:hAnsi="Elektra Light Pro"/>
        </w:rPr>
        <w:t xml:space="preserve">можуть </w:t>
      </w:r>
      <w:r>
        <w:rPr>
          <w:rFonts w:ascii="Elektra Light Pro" w:hAnsi="Elektra Light Pro"/>
        </w:rPr>
        <w:t>тракту</w:t>
      </w:r>
      <w:r w:rsidR="00975B05">
        <w:rPr>
          <w:rFonts w:ascii="Elektra Light Pro" w:hAnsi="Elektra Light Pro"/>
        </w:rPr>
        <w:t>ватися</w:t>
      </w:r>
      <w:r>
        <w:rPr>
          <w:rFonts w:ascii="Elektra Light Pro" w:hAnsi="Elektra Light Pro"/>
        </w:rPr>
        <w:t xml:space="preserve"> контролюючими </w:t>
      </w:r>
      <w:r w:rsidRPr="00E52C96">
        <w:rPr>
          <w:rFonts w:ascii="Elektra Light Pro" w:hAnsi="Elektra Light Pro"/>
        </w:rPr>
        <w:t xml:space="preserve">органами без </w:t>
      </w:r>
      <w:r w:rsidR="00975B05" w:rsidRPr="00E52C96">
        <w:rPr>
          <w:rFonts w:ascii="Elektra Light Pro" w:hAnsi="Elektra Light Pro"/>
        </w:rPr>
        <w:t>врахування</w:t>
      </w:r>
      <w:r w:rsidRPr="00E52C96">
        <w:rPr>
          <w:rFonts w:ascii="Elektra Light Pro" w:hAnsi="Elektra Light Pro"/>
        </w:rPr>
        <w:t xml:space="preserve"> специфіки діяльності галузі.</w:t>
      </w:r>
    </w:p>
    <w:p w14:paraId="2B1EED10" w14:textId="77777777" w:rsidR="002D4C61" w:rsidRPr="00E52C96" w:rsidRDefault="002D4C61" w:rsidP="00975B05">
      <w:pPr>
        <w:ind w:left="450" w:firstLine="990"/>
        <w:jc w:val="both"/>
        <w:rPr>
          <w:rFonts w:ascii="Elektra Light Pro" w:hAnsi="Elektra Light Pro"/>
          <w:b/>
        </w:rPr>
      </w:pPr>
      <w:r w:rsidRPr="00E52C96">
        <w:rPr>
          <w:rFonts w:ascii="Elektra Light Pro" w:hAnsi="Elektra Light Pro"/>
          <w:b/>
        </w:rPr>
        <w:t>1. Ліквідації нафтогазових свердловин, які були введені в експлуатацію як основні засоби.</w:t>
      </w:r>
    </w:p>
    <w:p w14:paraId="5C795607" w14:textId="77777777" w:rsidR="002D4C61" w:rsidRPr="00E52C96" w:rsidRDefault="002D4C61" w:rsidP="00975B05">
      <w:pPr>
        <w:ind w:left="450" w:firstLine="990"/>
        <w:jc w:val="both"/>
        <w:rPr>
          <w:rFonts w:ascii="Elektra Light Pro" w:hAnsi="Elektra Light Pro"/>
        </w:rPr>
      </w:pPr>
      <w:r w:rsidRPr="00E52C96">
        <w:rPr>
          <w:rFonts w:ascii="Elektra Light Pro" w:hAnsi="Elektra Light Pro"/>
        </w:rPr>
        <w:t xml:space="preserve">Контролюючі органи наполягають на нарахуванні податкових зобов’язань відповідно до </w:t>
      </w:r>
      <w:proofErr w:type="spellStart"/>
      <w:r w:rsidRPr="00E52C96">
        <w:rPr>
          <w:rFonts w:ascii="Elektra Light Pro" w:hAnsi="Elektra Light Pro"/>
        </w:rPr>
        <w:t>пп</w:t>
      </w:r>
      <w:proofErr w:type="spellEnd"/>
      <w:r w:rsidRPr="00E52C96">
        <w:rPr>
          <w:rFonts w:ascii="Elektra Light Pro" w:hAnsi="Elektra Light Pro"/>
        </w:rPr>
        <w:t xml:space="preserve">. 14.1.191, п. 189.9 ПКУ. </w:t>
      </w:r>
    </w:p>
    <w:p w14:paraId="35E634DE" w14:textId="30DD0E3B" w:rsidR="002D4C61" w:rsidRDefault="00975B05" w:rsidP="00975B05">
      <w:pPr>
        <w:ind w:left="450" w:firstLine="990"/>
        <w:jc w:val="both"/>
        <w:rPr>
          <w:rFonts w:ascii="Elektra Light Pro" w:hAnsi="Elektra Light Pro"/>
        </w:rPr>
      </w:pPr>
      <w:r w:rsidRPr="00E52C96">
        <w:rPr>
          <w:rFonts w:ascii="Elektra Light Pro" w:hAnsi="Elektra Light Pro"/>
        </w:rPr>
        <w:t>НА думку компаній- членів Палати, л</w:t>
      </w:r>
      <w:r w:rsidR="002D4C61" w:rsidRPr="00E52C96">
        <w:rPr>
          <w:rFonts w:ascii="Elektra Light Pro" w:hAnsi="Elektra Light Pro"/>
        </w:rPr>
        <w:t xml:space="preserve">іквідація свердловин не підпадає під визначення </w:t>
      </w:r>
      <w:proofErr w:type="spellStart"/>
      <w:r w:rsidR="002D4C61" w:rsidRPr="00E52C96">
        <w:rPr>
          <w:rFonts w:ascii="Elektra Light Pro" w:hAnsi="Elektra Light Pro"/>
        </w:rPr>
        <w:t>пп</w:t>
      </w:r>
      <w:proofErr w:type="spellEnd"/>
      <w:r w:rsidR="002D4C61" w:rsidRPr="00E52C96">
        <w:rPr>
          <w:rFonts w:ascii="Elektra Light Pro" w:hAnsi="Elektra Light Pro"/>
        </w:rPr>
        <w:t>. 14.1.191, п. 189.9 ПКУ</w:t>
      </w:r>
      <w:r w:rsidR="00E52C96" w:rsidRPr="00E52C96">
        <w:rPr>
          <w:rFonts w:ascii="Elektra Light Pro" w:hAnsi="Elektra Light Pro"/>
        </w:rPr>
        <w:t>,</w:t>
      </w:r>
      <w:r w:rsidR="002D4C61" w:rsidRPr="00E52C96">
        <w:rPr>
          <w:rFonts w:ascii="Elektra Light Pro" w:hAnsi="Elektra Light Pro"/>
        </w:rPr>
        <w:t xml:space="preserve"> оскільки </w:t>
      </w:r>
      <w:r w:rsidR="00E52C96" w:rsidRPr="00E52C96">
        <w:rPr>
          <w:rFonts w:ascii="Elektra Light Pro" w:hAnsi="Elektra Light Pro"/>
        </w:rPr>
        <w:t>здійснюється не за</w:t>
      </w:r>
      <w:r w:rsidR="002D4C61" w:rsidRPr="00E52C96">
        <w:rPr>
          <w:rFonts w:ascii="Elektra Light Pro" w:hAnsi="Elektra Light Pro"/>
        </w:rPr>
        <w:t xml:space="preserve"> власним бажанням та/чи самостійним рішенням платника податку, а </w:t>
      </w:r>
      <w:r w:rsidR="00E52C96" w:rsidRPr="00E52C96">
        <w:rPr>
          <w:rFonts w:ascii="Elektra Light Pro" w:hAnsi="Elektra Light Pro"/>
        </w:rPr>
        <w:t>внаслідок</w:t>
      </w:r>
      <w:r w:rsidR="002D4C61" w:rsidRPr="00E52C96">
        <w:rPr>
          <w:rFonts w:ascii="Elektra Light Pro" w:hAnsi="Elektra Light Pro"/>
        </w:rPr>
        <w:t xml:space="preserve"> певни</w:t>
      </w:r>
      <w:r w:rsidR="00E52C96" w:rsidRPr="00E52C96">
        <w:rPr>
          <w:rFonts w:ascii="Elektra Light Pro" w:hAnsi="Elektra Light Pro"/>
        </w:rPr>
        <w:t>х</w:t>
      </w:r>
      <w:r w:rsidR="002D4C61" w:rsidRPr="00E52C96">
        <w:rPr>
          <w:rFonts w:ascii="Elektra Light Pro" w:hAnsi="Elektra Light Pro"/>
        </w:rPr>
        <w:t>, незалежни</w:t>
      </w:r>
      <w:r w:rsidR="00E52C96" w:rsidRPr="00E52C96">
        <w:rPr>
          <w:rFonts w:ascii="Elektra Light Pro" w:hAnsi="Elektra Light Pro"/>
        </w:rPr>
        <w:t>х</w:t>
      </w:r>
      <w:r w:rsidR="002D4C61">
        <w:rPr>
          <w:rFonts w:ascii="Elektra Light Pro" w:hAnsi="Elektra Light Pro"/>
        </w:rPr>
        <w:t xml:space="preserve"> від нього геологічни</w:t>
      </w:r>
      <w:r w:rsidR="00E52C96">
        <w:rPr>
          <w:rFonts w:ascii="Elektra Light Pro" w:hAnsi="Elektra Light Pro"/>
        </w:rPr>
        <w:t>х</w:t>
      </w:r>
      <w:r w:rsidR="002D4C61">
        <w:rPr>
          <w:rFonts w:ascii="Elektra Light Pro" w:hAnsi="Elektra Light Pro"/>
        </w:rPr>
        <w:t xml:space="preserve"> чи технологічни</w:t>
      </w:r>
      <w:r w:rsidR="00E52C96">
        <w:rPr>
          <w:rFonts w:ascii="Elektra Light Pro" w:hAnsi="Elektra Light Pro"/>
        </w:rPr>
        <w:t xml:space="preserve">х </w:t>
      </w:r>
      <w:r w:rsidR="002D4C61">
        <w:rPr>
          <w:rFonts w:ascii="Elektra Light Pro" w:hAnsi="Elektra Light Pro"/>
        </w:rPr>
        <w:t>причин, визначеними в Положенні про порядок ліквідації нафтових, газових та інших свердловин</w:t>
      </w:r>
      <w:r w:rsidR="00E52C96">
        <w:rPr>
          <w:rFonts w:ascii="Elektra Light Pro" w:hAnsi="Elektra Light Pro"/>
        </w:rPr>
        <w:t>,</w:t>
      </w:r>
      <w:r w:rsidR="002D4C61">
        <w:rPr>
          <w:rFonts w:ascii="Elektra Light Pro" w:hAnsi="Elektra Light Pro"/>
        </w:rPr>
        <w:t xml:space="preserve"> і списання витрат на їх будівництво</w:t>
      </w:r>
      <w:r w:rsidR="00E52C96">
        <w:rPr>
          <w:rFonts w:ascii="Elektra Light Pro" w:hAnsi="Elektra Light Pro"/>
        </w:rPr>
        <w:t>,</w:t>
      </w:r>
      <w:r w:rsidR="002D4C61">
        <w:rPr>
          <w:rFonts w:ascii="Elektra Light Pro" w:hAnsi="Elektra Light Pro"/>
        </w:rPr>
        <w:t xml:space="preserve"> затвердженому Постановою Державного комітету СРСР на нагляду за безпечним веденням робіт в промисловості і гірничого нагляду від 27.12.1989</w:t>
      </w:r>
      <w:r w:rsidR="00E52C96">
        <w:rPr>
          <w:rFonts w:ascii="Elektra Light Pro" w:hAnsi="Elektra Light Pro"/>
        </w:rPr>
        <w:t>р.</w:t>
      </w:r>
      <w:r w:rsidR="002D4C61">
        <w:rPr>
          <w:rFonts w:ascii="Elektra Light Pro" w:hAnsi="Elektra Light Pro"/>
        </w:rPr>
        <w:t xml:space="preserve"> № 19, а сама ліквідація здійснюється на підставі затвердженого плану ліквідації, погодженого з Державною службою України з питань праці. </w:t>
      </w:r>
      <w:r w:rsidR="00E52C96">
        <w:rPr>
          <w:rFonts w:ascii="Elektra Light Pro" w:hAnsi="Elektra Light Pro"/>
        </w:rPr>
        <w:t>Також</w:t>
      </w:r>
      <w:r w:rsidR="002D4C61">
        <w:rPr>
          <w:rFonts w:ascii="Elektra Light Pro" w:hAnsi="Elektra Light Pro"/>
        </w:rPr>
        <w:t>, платники податків на виконання п. 189.9 ПКУ готові надавати контролюючими органами відповідні документи про знищення, розібрання або перетворення основних виробничих або невиробничих засобів у інший спосіб, внаслідок чого вони не можуть використовуватися за первісним призначенням.</w:t>
      </w:r>
    </w:p>
    <w:p w14:paraId="2B77C660" w14:textId="595696FF" w:rsidR="00E52C96" w:rsidRDefault="00E52C96" w:rsidP="00975B05">
      <w:pPr>
        <w:ind w:left="450" w:firstLine="990"/>
        <w:jc w:val="both"/>
        <w:rPr>
          <w:rFonts w:ascii="Elektra Light Pro" w:hAnsi="Elektra Light Pro"/>
        </w:rPr>
      </w:pPr>
      <w:r>
        <w:rPr>
          <w:rFonts w:ascii="Elektra Light Pro" w:hAnsi="Elektra Light Pro"/>
        </w:rPr>
        <w:t>Просимо надати роз’яснення, чи підпадатиме л</w:t>
      </w:r>
      <w:r w:rsidRPr="00E52C96">
        <w:rPr>
          <w:rFonts w:ascii="Elektra Light Pro" w:hAnsi="Elektra Light Pro"/>
        </w:rPr>
        <w:t>іквідаці</w:t>
      </w:r>
      <w:r>
        <w:rPr>
          <w:rFonts w:ascii="Elektra Light Pro" w:hAnsi="Elektra Light Pro"/>
        </w:rPr>
        <w:t>я</w:t>
      </w:r>
      <w:r w:rsidRPr="00E52C96">
        <w:rPr>
          <w:rFonts w:ascii="Elektra Light Pro" w:hAnsi="Elektra Light Pro"/>
        </w:rPr>
        <w:t xml:space="preserve"> нафтогазових свердловин, які були введені в експлуатацію як основні засоби</w:t>
      </w:r>
      <w:r>
        <w:rPr>
          <w:rFonts w:ascii="Elektra Light Pro" w:hAnsi="Elektra Light Pro"/>
        </w:rPr>
        <w:t xml:space="preserve">, під сферу застосування </w:t>
      </w:r>
      <w:proofErr w:type="spellStart"/>
      <w:r w:rsidRPr="00E52C96">
        <w:rPr>
          <w:rFonts w:ascii="Elektra Light Pro" w:hAnsi="Elektra Light Pro"/>
        </w:rPr>
        <w:t>пп</w:t>
      </w:r>
      <w:proofErr w:type="spellEnd"/>
      <w:r w:rsidRPr="00E52C96">
        <w:rPr>
          <w:rFonts w:ascii="Elektra Light Pro" w:hAnsi="Elektra Light Pro"/>
        </w:rPr>
        <w:t>. 14.1.191, п. 189.9 ПКУ</w:t>
      </w:r>
      <w:r>
        <w:rPr>
          <w:rFonts w:ascii="Elektra Light Pro" w:hAnsi="Elektra Light Pro"/>
        </w:rPr>
        <w:t xml:space="preserve"> для </w:t>
      </w:r>
      <w:r w:rsidRPr="00E52C96">
        <w:rPr>
          <w:rFonts w:ascii="Elektra Light Pro" w:hAnsi="Elektra Light Pro"/>
        </w:rPr>
        <w:t>нарахуванн</w:t>
      </w:r>
      <w:r>
        <w:rPr>
          <w:rFonts w:ascii="Elektra Light Pro" w:hAnsi="Elektra Light Pro"/>
        </w:rPr>
        <w:t>я</w:t>
      </w:r>
      <w:r w:rsidRPr="00E52C96">
        <w:rPr>
          <w:rFonts w:ascii="Elektra Light Pro" w:hAnsi="Elektra Light Pro"/>
        </w:rPr>
        <w:t xml:space="preserve"> податкових зобов’язань</w:t>
      </w:r>
      <w:r>
        <w:rPr>
          <w:rFonts w:ascii="Elektra Light Pro" w:hAnsi="Elektra Light Pro"/>
        </w:rPr>
        <w:t>.</w:t>
      </w:r>
    </w:p>
    <w:p w14:paraId="6D2180A3" w14:textId="77777777" w:rsidR="00E52C96" w:rsidRDefault="00E52C96" w:rsidP="00975B05">
      <w:pPr>
        <w:ind w:left="450" w:firstLine="990"/>
        <w:jc w:val="both"/>
        <w:rPr>
          <w:rFonts w:ascii="Elektra Light Pro" w:hAnsi="Elektra Light Pro"/>
        </w:rPr>
      </w:pPr>
    </w:p>
    <w:p w14:paraId="5B86F8D2" w14:textId="77777777" w:rsidR="002D4C61" w:rsidRDefault="002D4C61" w:rsidP="00975B05">
      <w:pPr>
        <w:ind w:left="450" w:firstLine="990"/>
        <w:jc w:val="both"/>
        <w:rPr>
          <w:rFonts w:ascii="Elektra Light Pro" w:hAnsi="Elektra Light Pro"/>
          <w:b/>
        </w:rPr>
      </w:pPr>
      <w:r>
        <w:rPr>
          <w:rFonts w:ascii="Elektra Light Pro" w:hAnsi="Elektra Light Pro"/>
          <w:b/>
        </w:rPr>
        <w:t xml:space="preserve">2. Понесення витрат на розвідувальні роботи родовищ (площ), по ділянках, на які ще не отримано спеціальний дозвіл, чи термін його дії завершено (після понесення витрат), або якщо понесені витрати у т. ч. на спорудження пошукових, розвідувальних та інших нафтогазових свердловин, які не є основними засобами, не призвели до виявлення покладів корисних копалин, відсутності промислового притоку, технічної можливості та економічної доцільності видобувати корисні копалини на досліджуваній території, або якщо понесені витрати на капітальний (поточний) ремонт, модернізацію, заміну компонента свердловин (у </w:t>
      </w:r>
      <w:proofErr w:type="spellStart"/>
      <w:r>
        <w:rPr>
          <w:rFonts w:ascii="Elektra Light Pro" w:hAnsi="Elektra Light Pro"/>
          <w:b/>
        </w:rPr>
        <w:t>т.ч</w:t>
      </w:r>
      <w:proofErr w:type="spellEnd"/>
      <w:r>
        <w:rPr>
          <w:rFonts w:ascii="Elektra Light Pro" w:hAnsi="Elektra Light Pro"/>
          <w:b/>
        </w:rPr>
        <w:t>. орендованих) не призвели до відновлення / збільшення видобутку.</w:t>
      </w:r>
    </w:p>
    <w:p w14:paraId="640477C3" w14:textId="6FAF64D2" w:rsidR="002D4C61" w:rsidRPr="00E46140" w:rsidRDefault="002D4C61" w:rsidP="00975B05">
      <w:pPr>
        <w:ind w:left="450" w:firstLine="990"/>
        <w:jc w:val="both"/>
        <w:rPr>
          <w:rFonts w:ascii="Elektra Light Pro" w:hAnsi="Elektra Light Pro"/>
        </w:rPr>
      </w:pPr>
      <w:r>
        <w:rPr>
          <w:rFonts w:ascii="Elektra Light Pro" w:hAnsi="Elektra Light Pro"/>
        </w:rPr>
        <w:t>Велика частина свердловин (третина з усіх пробурених – за даними ДНВП «</w:t>
      </w:r>
      <w:proofErr w:type="spellStart"/>
      <w:r>
        <w:rPr>
          <w:rFonts w:ascii="Elektra Light Pro" w:hAnsi="Elektra Light Pro"/>
        </w:rPr>
        <w:t>Геоінформ</w:t>
      </w:r>
      <w:proofErr w:type="spellEnd"/>
      <w:r>
        <w:rPr>
          <w:rFonts w:ascii="Elektra Light Pro" w:hAnsi="Elektra Light Pro"/>
        </w:rPr>
        <w:t xml:space="preserve"> України») виявляються «сухими» (такими, що не дають проектного припливу вуглеводнів) з різних геологічних та технічних причин</w:t>
      </w:r>
      <w:r w:rsidR="00E52C96">
        <w:rPr>
          <w:rFonts w:ascii="Elektra Light Pro" w:hAnsi="Elektra Light Pro"/>
        </w:rPr>
        <w:t>:</w:t>
      </w:r>
      <w:r>
        <w:rPr>
          <w:rFonts w:ascii="Elektra Light Pro" w:hAnsi="Elektra Light Pro"/>
        </w:rPr>
        <w:t xml:space="preserve"> якщо, наприклад, вони не доведені до проектних глибин через геологічну недоцільність, їх подальше буріння є неможливим, проведені ремонтні роботи не дали позитивних результатів, подальше їх використання визнано недоцільним і нерентабельним, тощо. У такому випадку, </w:t>
      </w:r>
      <w:r w:rsidR="00E52C96">
        <w:rPr>
          <w:rFonts w:ascii="Elektra Light Pro" w:hAnsi="Elektra Light Pro"/>
        </w:rPr>
        <w:t>свердловини</w:t>
      </w:r>
      <w:r>
        <w:rPr>
          <w:rFonts w:ascii="Elektra Light Pro" w:hAnsi="Elektra Light Pro"/>
        </w:rPr>
        <w:t xml:space="preserve"> підлягають ліквідації. </w:t>
      </w:r>
      <w:r w:rsidR="00E52C96">
        <w:rPr>
          <w:rFonts w:ascii="Elektra Light Pro" w:hAnsi="Elektra Light Pro"/>
        </w:rPr>
        <w:t xml:space="preserve">Оскільки навіть «суха» свердловина надає </w:t>
      </w:r>
      <w:proofErr w:type="spellStart"/>
      <w:r w:rsidR="00E52C96">
        <w:rPr>
          <w:rFonts w:ascii="Elektra Light Pro" w:hAnsi="Elektra Light Pro"/>
        </w:rPr>
        <w:t>надрокористувачу</w:t>
      </w:r>
      <w:proofErr w:type="spellEnd"/>
      <w:r w:rsidR="00E52C96">
        <w:rPr>
          <w:rFonts w:ascii="Elektra Light Pro" w:hAnsi="Elektra Light Pro"/>
        </w:rPr>
        <w:t xml:space="preserve"> вкрай цінну геологічну інформацію, яку неможливо отримати в такому обсязі без витрат, на думку компаній-членів Палати</w:t>
      </w:r>
      <w:r>
        <w:rPr>
          <w:rFonts w:ascii="Elektra Light Pro" w:hAnsi="Elektra Light Pro"/>
        </w:rPr>
        <w:t xml:space="preserve">, </w:t>
      </w:r>
      <w:r w:rsidR="00E52C96">
        <w:rPr>
          <w:rFonts w:ascii="Elektra Light Pro" w:hAnsi="Elektra Light Pro"/>
        </w:rPr>
        <w:t>використання такої свердловини не може трактуватися як таке, що здійснюється</w:t>
      </w:r>
      <w:r>
        <w:rPr>
          <w:rFonts w:ascii="Elektra Light Pro" w:hAnsi="Elektra Light Pro"/>
        </w:rPr>
        <w:t xml:space="preserve"> не в господарських цілях відповідно до п. 198.5 ПК</w:t>
      </w:r>
      <w:r w:rsidR="00E52C96">
        <w:rPr>
          <w:rFonts w:ascii="Elektra Light Pro" w:hAnsi="Elektra Light Pro"/>
        </w:rPr>
        <w:t>У.</w:t>
      </w:r>
    </w:p>
    <w:p w14:paraId="1A736E20" w14:textId="4C880AC6" w:rsidR="002D4C61" w:rsidRDefault="007A5EE4" w:rsidP="00975B05">
      <w:pPr>
        <w:ind w:left="450" w:firstLine="990"/>
        <w:jc w:val="both"/>
        <w:rPr>
          <w:rFonts w:ascii="Elektra Light Pro" w:hAnsi="Elektra Light Pro"/>
        </w:rPr>
      </w:pPr>
      <w:r>
        <w:rPr>
          <w:rFonts w:ascii="Elektra Light Pro" w:hAnsi="Elektra Light Pro"/>
          <w:lang w:val="ru-RU"/>
        </w:rPr>
        <w:lastRenderedPageBreak/>
        <w:t>В</w:t>
      </w:r>
      <w:r w:rsidR="002D4C61">
        <w:rPr>
          <w:rFonts w:ascii="Elektra Light Pro" w:hAnsi="Elektra Light Pro"/>
        </w:rPr>
        <w:t xml:space="preserve"> цілях нарахування податкових зобов’язань з ПДВ згідно </w:t>
      </w:r>
      <w:proofErr w:type="spellStart"/>
      <w:r w:rsidR="002D4C61">
        <w:rPr>
          <w:rFonts w:ascii="Elektra Light Pro" w:hAnsi="Elektra Light Pro"/>
        </w:rPr>
        <w:t>абз</w:t>
      </w:r>
      <w:proofErr w:type="spellEnd"/>
      <w:r w:rsidR="002D4C61">
        <w:rPr>
          <w:rFonts w:ascii="Elektra Light Pro" w:hAnsi="Elektra Light Pro"/>
        </w:rPr>
        <w:t xml:space="preserve">. г) п. 198.5 ПКУ, </w:t>
      </w:r>
      <w:proofErr w:type="spellStart"/>
      <w:r w:rsidR="00A05653">
        <w:rPr>
          <w:rFonts w:ascii="Elektra Light Pro" w:hAnsi="Elektra Light Pro"/>
          <w:lang w:val="ru-RU"/>
        </w:rPr>
        <w:t>контролюючими</w:t>
      </w:r>
      <w:proofErr w:type="spellEnd"/>
      <w:r w:rsidR="00A05653">
        <w:rPr>
          <w:rFonts w:ascii="Elektra Light Pro" w:hAnsi="Elektra Light Pro"/>
          <w:lang w:val="ru-RU"/>
        </w:rPr>
        <w:t xml:space="preserve"> органами </w:t>
      </w:r>
      <w:proofErr w:type="spellStart"/>
      <w:r w:rsidR="00A05653">
        <w:rPr>
          <w:rFonts w:ascii="Elektra Light Pro" w:hAnsi="Elektra Light Pro"/>
          <w:lang w:val="ru-RU"/>
        </w:rPr>
        <w:t>може</w:t>
      </w:r>
      <w:proofErr w:type="spellEnd"/>
      <w:r w:rsidR="002D4C61">
        <w:rPr>
          <w:rFonts w:ascii="Elektra Light Pro" w:hAnsi="Elektra Light Pro"/>
        </w:rPr>
        <w:t xml:space="preserve"> </w:t>
      </w:r>
      <w:proofErr w:type="spellStart"/>
      <w:r w:rsidR="002D4C61">
        <w:rPr>
          <w:rFonts w:ascii="Elektra Light Pro" w:hAnsi="Elektra Light Pro"/>
        </w:rPr>
        <w:t>застос</w:t>
      </w:r>
      <w:r w:rsidR="00A05653">
        <w:rPr>
          <w:rFonts w:ascii="Elektra Light Pro" w:hAnsi="Elektra Light Pro"/>
        </w:rPr>
        <w:t>о</w:t>
      </w:r>
      <w:r w:rsidR="002D4C61">
        <w:rPr>
          <w:rFonts w:ascii="Elektra Light Pro" w:hAnsi="Elektra Light Pro"/>
        </w:rPr>
        <w:t>в</w:t>
      </w:r>
      <w:r w:rsidR="00A05653">
        <w:rPr>
          <w:rFonts w:ascii="Elektra Light Pro" w:hAnsi="Elektra Light Pro"/>
          <w:lang w:val="ru-RU"/>
        </w:rPr>
        <w:t>уватись</w:t>
      </w:r>
      <w:proofErr w:type="spellEnd"/>
      <w:r w:rsidR="002D4C61">
        <w:rPr>
          <w:rFonts w:ascii="Elektra Light Pro" w:hAnsi="Elektra Light Pro"/>
        </w:rPr>
        <w:t xml:space="preserve"> підх</w:t>
      </w:r>
      <w:r w:rsidR="00A05653">
        <w:rPr>
          <w:rFonts w:ascii="Elektra Light Pro" w:hAnsi="Elektra Light Pro"/>
        </w:rPr>
        <w:t>і</w:t>
      </w:r>
      <w:r w:rsidR="002D4C61">
        <w:rPr>
          <w:rFonts w:ascii="Elektra Light Pro" w:hAnsi="Elektra Light Pro"/>
        </w:rPr>
        <w:t>д про віднесення до господарської діяльності лише тих витрат, які формують собівартість  видобутку природного газу та / або включені до вартості природного газу згідно бухгалтерського обліку і приймають участь в оподатковуваних ПДВ операціях при реалізації природного газу, та визнанн</w:t>
      </w:r>
      <w:r w:rsidR="00A05653">
        <w:rPr>
          <w:rFonts w:ascii="Elektra Light Pro" w:hAnsi="Elektra Light Pro"/>
        </w:rPr>
        <w:t>я</w:t>
      </w:r>
      <w:r w:rsidR="002D4C61">
        <w:rPr>
          <w:rFonts w:ascii="Elektra Light Pro" w:hAnsi="Elektra Light Pro"/>
        </w:rPr>
        <w:t xml:space="preserve"> негосподарськими тих витрат, які не формують собівартість та/або вартість видобутку природного газу згідно бухгалтерського обліку, і не приймають участь в оподатковуваних ПДВ операціях з реалізації природного газу, але відносяться до витрат.</w:t>
      </w:r>
    </w:p>
    <w:p w14:paraId="595485E2" w14:textId="37EE62F0" w:rsidR="002D4C61" w:rsidRDefault="00A05653" w:rsidP="00975B05">
      <w:pPr>
        <w:ind w:left="450" w:firstLine="990"/>
        <w:jc w:val="both"/>
        <w:rPr>
          <w:rFonts w:ascii="Elektra Light Pro" w:hAnsi="Elektra Light Pro"/>
        </w:rPr>
      </w:pPr>
      <w:r>
        <w:rPr>
          <w:rFonts w:ascii="Elektra Light Pro" w:hAnsi="Elektra Light Pro"/>
        </w:rPr>
        <w:t>Такий підхід щодо</w:t>
      </w:r>
      <w:r w:rsidR="002D4C61">
        <w:rPr>
          <w:rFonts w:ascii="Elektra Light Pro" w:hAnsi="Elektra Light Pro"/>
        </w:rPr>
        <w:t xml:space="preserve"> визнанн</w:t>
      </w:r>
      <w:r>
        <w:rPr>
          <w:rFonts w:ascii="Elektra Light Pro" w:hAnsi="Elektra Light Pro"/>
        </w:rPr>
        <w:t>я</w:t>
      </w:r>
      <w:r w:rsidR="002D4C61">
        <w:rPr>
          <w:rFonts w:ascii="Elektra Light Pro" w:hAnsi="Elektra Light Pro"/>
        </w:rPr>
        <w:t xml:space="preserve"> негосподарськими вищенаведених витрат не відповідає нормам ПКУ, </w:t>
      </w:r>
      <w:r>
        <w:rPr>
          <w:rFonts w:ascii="Elektra Light Pro" w:hAnsi="Elektra Light Pro"/>
        </w:rPr>
        <w:t xml:space="preserve">положенням </w:t>
      </w:r>
      <w:r w:rsidR="002D4C61">
        <w:rPr>
          <w:rFonts w:ascii="Elektra Light Pro" w:hAnsi="Elektra Light Pro"/>
        </w:rPr>
        <w:t xml:space="preserve">вищенаведених нормативно – правових актів, </w:t>
      </w:r>
      <w:r>
        <w:rPr>
          <w:rFonts w:ascii="Elektra Light Pro" w:hAnsi="Elektra Light Pro"/>
        </w:rPr>
        <w:t>а також</w:t>
      </w:r>
      <w:r w:rsidR="002D4C61">
        <w:rPr>
          <w:rFonts w:ascii="Elektra Light Pro" w:hAnsi="Elektra Light Pro"/>
        </w:rPr>
        <w:t xml:space="preserve"> </w:t>
      </w:r>
      <w:r>
        <w:rPr>
          <w:rFonts w:ascii="Elektra Light Pro" w:hAnsi="Elektra Light Pro"/>
        </w:rPr>
        <w:t xml:space="preserve">природі </w:t>
      </w:r>
      <w:r w:rsidR="002D4C61">
        <w:rPr>
          <w:rFonts w:ascii="Elektra Light Pro" w:hAnsi="Elektra Light Pro"/>
        </w:rPr>
        <w:t>діяльності газовидобувного підприємства</w:t>
      </w:r>
      <w:r>
        <w:rPr>
          <w:rFonts w:ascii="Elektra Light Pro" w:hAnsi="Elektra Light Pro"/>
        </w:rPr>
        <w:t xml:space="preserve"> -</w:t>
      </w:r>
      <w:r w:rsidR="002D4C61">
        <w:rPr>
          <w:rFonts w:ascii="Elektra Light Pro" w:hAnsi="Elektra Light Pro"/>
        </w:rPr>
        <w:t xml:space="preserve"> проведення діяльності з видобутку природного газу</w:t>
      </w:r>
      <w:r>
        <w:rPr>
          <w:rFonts w:ascii="Elektra Light Pro" w:hAnsi="Elektra Light Pro"/>
        </w:rPr>
        <w:t>. Проте,</w:t>
      </w:r>
      <w:r w:rsidR="002D4C61">
        <w:rPr>
          <w:rFonts w:ascii="Elektra Light Pro" w:hAnsi="Elektra Light Pro"/>
        </w:rPr>
        <w:t xml:space="preserve"> без понесення витрат на розвідувальні роботи, облаштування та розробку родовища це є </w:t>
      </w:r>
      <w:r>
        <w:rPr>
          <w:rFonts w:ascii="Elektra Light Pro" w:hAnsi="Elektra Light Pro"/>
        </w:rPr>
        <w:t>не</w:t>
      </w:r>
      <w:r w:rsidR="002D4C61">
        <w:rPr>
          <w:rFonts w:ascii="Elektra Light Pro" w:hAnsi="Elektra Light Pro"/>
        </w:rPr>
        <w:t>можливим.</w:t>
      </w:r>
    </w:p>
    <w:p w14:paraId="1AA11B27" w14:textId="77777777" w:rsidR="002D4C61" w:rsidRDefault="002D4C61" w:rsidP="00975B05">
      <w:pPr>
        <w:ind w:left="450" w:firstLine="990"/>
        <w:jc w:val="both"/>
        <w:rPr>
          <w:rFonts w:ascii="Elektra Light Pro" w:hAnsi="Elektra Light Pro"/>
        </w:rPr>
      </w:pPr>
      <w:r>
        <w:rPr>
          <w:rFonts w:ascii="Elektra Light Pro" w:hAnsi="Elektra Light Pro"/>
        </w:rPr>
        <w:t>Згідно ст.1 Закону України «Про бухгалтерський облік та фінансову звітність в Україні»:</w:t>
      </w:r>
    </w:p>
    <w:p w14:paraId="319B57CC" w14:textId="77777777" w:rsidR="002D4C61" w:rsidRDefault="002D4C61" w:rsidP="00975B05">
      <w:pPr>
        <w:ind w:left="450" w:firstLine="990"/>
        <w:jc w:val="both"/>
        <w:rPr>
          <w:rFonts w:ascii="Elektra Light Pro" w:hAnsi="Elektra Light Pro"/>
        </w:rPr>
      </w:pPr>
      <w:r>
        <w:rPr>
          <w:rFonts w:ascii="Elektra Light Pro" w:hAnsi="Elektra Light Pro"/>
        </w:rPr>
        <w:t>бухгалтерський облік -  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w:t>
      </w:r>
    </w:p>
    <w:p w14:paraId="2F840287" w14:textId="77777777" w:rsidR="002D4C61" w:rsidRDefault="002D4C61" w:rsidP="00975B05">
      <w:pPr>
        <w:ind w:left="450" w:firstLine="990"/>
        <w:jc w:val="both"/>
        <w:rPr>
          <w:rFonts w:ascii="Elektra Light Pro" w:hAnsi="Elektra Light Pro"/>
        </w:rPr>
      </w:pPr>
      <w:r>
        <w:rPr>
          <w:rFonts w:ascii="Elektra Light Pro" w:hAnsi="Elektra Light Pro"/>
        </w:rPr>
        <w:t xml:space="preserve">активи - ресурси, контрольовані підприємством у результаті минулих подій, використання яких, як очікується, приведе до отримання економічних </w:t>
      </w:r>
      <w:proofErr w:type="spellStart"/>
      <w:r>
        <w:rPr>
          <w:rFonts w:ascii="Elektra Light Pro" w:hAnsi="Elektra Light Pro"/>
        </w:rPr>
        <w:t>вигод</w:t>
      </w:r>
      <w:proofErr w:type="spellEnd"/>
      <w:r>
        <w:rPr>
          <w:rFonts w:ascii="Elektra Light Pro" w:hAnsi="Elektra Light Pro"/>
        </w:rPr>
        <w:t xml:space="preserve"> у майбутньому.</w:t>
      </w:r>
    </w:p>
    <w:p w14:paraId="7661D194" w14:textId="4F5671B2" w:rsidR="002D4C61" w:rsidRDefault="002D4C61" w:rsidP="00975B05">
      <w:pPr>
        <w:ind w:left="450" w:firstLine="990"/>
        <w:jc w:val="both"/>
        <w:rPr>
          <w:rFonts w:ascii="Elektra Light Pro" w:hAnsi="Elektra Light Pro"/>
        </w:rPr>
      </w:pPr>
      <w:r>
        <w:rPr>
          <w:rFonts w:ascii="Elektra Light Pro" w:hAnsi="Elektra Light Pro"/>
        </w:rPr>
        <w:t xml:space="preserve">Стандартами бухгалтерського обліку не передбачено формування собівартості видобутого природного газу з врахуванням витрат на розвідувальні роботи, якщо понесені витрати не призвели до виявлення покладів корисних копалин та / або витрат при ліквідації пошукових, розвідувальних, експлуатаційних та інших нафтогазових свердловин, у тому числі таких, що не були введені в експлуатацію як основні засоби та / або понесених витрат на капітальний (поточний) ремонт, модернізацію свердловин (у т. ч. орендованих), які не призвели до відновлення / збільшення видобутку. </w:t>
      </w:r>
    </w:p>
    <w:p w14:paraId="21B2011F" w14:textId="77777777" w:rsidR="002D4C61" w:rsidRDefault="002D4C61" w:rsidP="00975B05">
      <w:pPr>
        <w:ind w:left="450" w:firstLine="990"/>
        <w:jc w:val="both"/>
        <w:rPr>
          <w:rFonts w:ascii="Elektra Light Pro" w:hAnsi="Elektra Light Pro"/>
        </w:rPr>
      </w:pPr>
      <w:r>
        <w:rPr>
          <w:rFonts w:ascii="Elektra Light Pro" w:hAnsi="Elektra Light Pro"/>
        </w:rPr>
        <w:t xml:space="preserve">Такі витрати визнаються витратами звітного періоду відповідно до П(С)БО 33 «Витрати на розвідку запасів корисних копалин», МСБО 8 «Розвідка та оцінка запасів корисних копалин», П(С)БО 7, МСБО 16 «Основні засоби», П(С)БО 8, МСБО 38 «Нематеріальні активи», оскільки не відповідатимуть визначенню активу. </w:t>
      </w:r>
    </w:p>
    <w:p w14:paraId="44E1BA88" w14:textId="77777777" w:rsidR="002D4C61" w:rsidRDefault="002D4C61" w:rsidP="00975B05">
      <w:pPr>
        <w:ind w:left="450" w:firstLine="990"/>
        <w:jc w:val="both"/>
        <w:rPr>
          <w:rFonts w:ascii="Elektra Light Pro" w:hAnsi="Elektra Light Pro"/>
        </w:rPr>
      </w:pPr>
      <w:r>
        <w:rPr>
          <w:rFonts w:ascii="Elektra Light Pro" w:hAnsi="Elektra Light Pro"/>
        </w:rPr>
        <w:t>Проте, понесення витрат на:</w:t>
      </w:r>
    </w:p>
    <w:p w14:paraId="22BDDD0F" w14:textId="77777777" w:rsidR="002D4C61" w:rsidRDefault="002D4C61" w:rsidP="00975B05">
      <w:pPr>
        <w:ind w:left="450" w:firstLine="990"/>
        <w:jc w:val="both"/>
        <w:rPr>
          <w:rFonts w:ascii="Elektra Light Pro" w:hAnsi="Elektra Light Pro"/>
        </w:rPr>
      </w:pPr>
      <w:r>
        <w:rPr>
          <w:rFonts w:ascii="Elektra Light Pro" w:hAnsi="Elektra Light Pro"/>
        </w:rPr>
        <w:t>- розвідувальні роботи, що не призвели до технічної можливості та комерційної доцільності видобутку корисних копалин;</w:t>
      </w:r>
    </w:p>
    <w:p w14:paraId="68D64045" w14:textId="77777777" w:rsidR="002D4C61" w:rsidRDefault="002D4C61" w:rsidP="00975B05">
      <w:pPr>
        <w:ind w:left="450" w:firstLine="990"/>
        <w:jc w:val="both"/>
        <w:rPr>
          <w:rFonts w:ascii="Elektra Light Pro" w:hAnsi="Elektra Light Pro"/>
        </w:rPr>
      </w:pPr>
      <w:r>
        <w:rPr>
          <w:rFonts w:ascii="Elektra Light Pro" w:hAnsi="Elektra Light Pro"/>
        </w:rPr>
        <w:t xml:space="preserve">- капітальний (поточний) ремонт, модернізацію, заміну елемента свердловин (у </w:t>
      </w:r>
      <w:proofErr w:type="spellStart"/>
      <w:r>
        <w:rPr>
          <w:rFonts w:ascii="Elektra Light Pro" w:hAnsi="Elektra Light Pro"/>
        </w:rPr>
        <w:t>т.ч</w:t>
      </w:r>
      <w:proofErr w:type="spellEnd"/>
      <w:r>
        <w:rPr>
          <w:rFonts w:ascii="Elektra Light Pro" w:hAnsi="Elektra Light Pro"/>
        </w:rPr>
        <w:t xml:space="preserve">. орендованих), які не призвели до відновлення / збільшення видобутку; </w:t>
      </w:r>
    </w:p>
    <w:p w14:paraId="230E909E" w14:textId="44729F93" w:rsidR="002D4C61" w:rsidRPr="004E364D" w:rsidRDefault="002D4C61" w:rsidP="00975B05">
      <w:pPr>
        <w:ind w:left="450" w:firstLine="990"/>
        <w:jc w:val="both"/>
        <w:rPr>
          <w:rFonts w:ascii="Elektra Light Pro" w:hAnsi="Elektra Light Pro"/>
          <w:b/>
        </w:rPr>
      </w:pPr>
      <w:r>
        <w:rPr>
          <w:rFonts w:ascii="Elektra Light Pro" w:hAnsi="Elektra Light Pro"/>
        </w:rPr>
        <w:t>- ліквідацію (списання) вартості пошукових, розвідувальних, експлуатаційних та інших нафтогазових свердловин, у тому числі таких, що не були введені в експлуатацію як основні засоби при неможливості / недоцільності подальшого використання</w:t>
      </w:r>
      <w:r w:rsidR="003C7844">
        <w:rPr>
          <w:rFonts w:ascii="Elektra Light Pro" w:hAnsi="Elektra Light Pro"/>
        </w:rPr>
        <w:t xml:space="preserve"> </w:t>
      </w:r>
      <w:r>
        <w:rPr>
          <w:rFonts w:ascii="Elektra Light Pro" w:hAnsi="Elektra Light Pro"/>
          <w:b/>
        </w:rPr>
        <w:t>спрямовано на отримання доходу і є господ</w:t>
      </w:r>
      <w:r w:rsidRPr="004E364D">
        <w:rPr>
          <w:rFonts w:ascii="Elektra Light Pro" w:hAnsi="Elektra Light Pro"/>
          <w:b/>
        </w:rPr>
        <w:t>арською діяльністю газовидобувного підприємства.</w:t>
      </w:r>
    </w:p>
    <w:p w14:paraId="00CEBB12" w14:textId="6218C4C7" w:rsidR="002D4C61" w:rsidRDefault="002D4C61" w:rsidP="00975B05">
      <w:pPr>
        <w:ind w:left="450" w:firstLine="990"/>
        <w:jc w:val="both"/>
        <w:rPr>
          <w:rFonts w:ascii="Elektra Light Pro" w:hAnsi="Elektra Light Pro"/>
        </w:rPr>
      </w:pPr>
      <w:r w:rsidRPr="004E364D">
        <w:rPr>
          <w:rFonts w:ascii="Elektra Light Pro" w:hAnsi="Elektra Light Pro"/>
        </w:rPr>
        <w:t>Просимо звернути увагу, що ціноутворення на ринку природного газу (крім АТ «Укргазвидобування» в рамках Постанови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є вільним (ринковим) і не є державно регульованим. Тому застосування методу формування вартості природного газу «витрати + плюс» або будь-яких інших</w:t>
      </w:r>
      <w:r>
        <w:rPr>
          <w:rFonts w:ascii="Elektra Light Pro" w:hAnsi="Elektra Light Pro"/>
        </w:rPr>
        <w:t xml:space="preserve"> методів</w:t>
      </w:r>
      <w:r w:rsidR="003C7844">
        <w:rPr>
          <w:rFonts w:ascii="Elektra Light Pro" w:hAnsi="Elektra Light Pro"/>
        </w:rPr>
        <w:t>,</w:t>
      </w:r>
      <w:r>
        <w:rPr>
          <w:rFonts w:ascii="Elektra Light Pro" w:hAnsi="Elektra Light Pro"/>
        </w:rPr>
        <w:t xml:space="preserve"> що базуються на розмірі витрат</w:t>
      </w:r>
      <w:r w:rsidR="003C7844">
        <w:rPr>
          <w:rFonts w:ascii="Elektra Light Pro" w:hAnsi="Elektra Light Pro"/>
        </w:rPr>
        <w:t>,</w:t>
      </w:r>
      <w:r>
        <w:rPr>
          <w:rFonts w:ascii="Elektra Light Pro" w:hAnsi="Elektra Light Pro"/>
        </w:rPr>
        <w:t xml:space="preserve"> є </w:t>
      </w:r>
      <w:r w:rsidR="003C7844">
        <w:rPr>
          <w:rFonts w:ascii="Elektra Light Pro" w:hAnsi="Elektra Light Pro"/>
        </w:rPr>
        <w:t xml:space="preserve">економічно непрактичним </w:t>
      </w:r>
      <w:r>
        <w:rPr>
          <w:rFonts w:ascii="Elektra Light Pro" w:hAnsi="Elektra Light Pro"/>
        </w:rPr>
        <w:t>з точки зору комерційних (збутових) тактик газодобувних підприємств. Також</w:t>
      </w:r>
      <w:r w:rsidR="003C7844">
        <w:rPr>
          <w:rFonts w:ascii="Elektra Light Pro" w:hAnsi="Elektra Light Pro"/>
        </w:rPr>
        <w:t>,</w:t>
      </w:r>
      <w:r>
        <w:rPr>
          <w:rFonts w:ascii="Elektra Light Pro" w:hAnsi="Elektra Light Pro"/>
        </w:rPr>
        <w:t xml:space="preserve"> що розмір вищезазначених витрат є непрогнозованим, тому заздалегідь передбачити рівень таких витрат для калькулюван</w:t>
      </w:r>
      <w:bookmarkStart w:id="0" w:name="_GoBack"/>
      <w:bookmarkEnd w:id="0"/>
      <w:r>
        <w:rPr>
          <w:rFonts w:ascii="Elektra Light Pro" w:hAnsi="Elektra Light Pro"/>
        </w:rPr>
        <w:t>ня саме вартості природного газу є неможливим.</w:t>
      </w:r>
    </w:p>
    <w:p w14:paraId="15EB4176" w14:textId="49ADCC48" w:rsidR="002D4C61" w:rsidRDefault="003C7844" w:rsidP="00975B05">
      <w:pPr>
        <w:ind w:left="450" w:firstLine="990"/>
        <w:jc w:val="both"/>
        <w:rPr>
          <w:rFonts w:ascii="Elektra Light Pro" w:hAnsi="Elektra Light Pro"/>
        </w:rPr>
      </w:pPr>
      <w:r>
        <w:rPr>
          <w:rFonts w:ascii="Elektra Light Pro" w:hAnsi="Elektra Light Pro"/>
        </w:rPr>
        <w:lastRenderedPageBreak/>
        <w:t>Слід зазначити,</w:t>
      </w:r>
      <w:r w:rsidR="002D4C61">
        <w:rPr>
          <w:rFonts w:ascii="Elektra Light Pro" w:hAnsi="Elektra Light Pro"/>
        </w:rPr>
        <w:t xml:space="preserve"> що в цілому та у довгостроковій перспективі газовидобувні підприємства є прибутковими, генерують значну додану вартість та роблять значний внесок у Державний бюджет України.</w:t>
      </w:r>
    </w:p>
    <w:p w14:paraId="7D3B0DE0" w14:textId="765ADAFE" w:rsidR="002D4C61" w:rsidRDefault="003C7844" w:rsidP="00975B05">
      <w:pPr>
        <w:ind w:left="450" w:firstLine="990"/>
        <w:jc w:val="both"/>
        <w:rPr>
          <w:rFonts w:ascii="Elektra Light Pro" w:hAnsi="Elektra Light Pro"/>
        </w:rPr>
      </w:pPr>
      <w:r>
        <w:rPr>
          <w:rFonts w:ascii="Elektra Light Pro" w:hAnsi="Elektra Light Pro"/>
        </w:rPr>
        <w:t>Крім того, компанії-</w:t>
      </w:r>
      <w:r w:rsidR="002D4C61">
        <w:rPr>
          <w:rFonts w:ascii="Elektra Light Pro" w:hAnsi="Elektra Light Pro"/>
        </w:rPr>
        <w:t xml:space="preserve"> члени </w:t>
      </w:r>
      <w:r>
        <w:rPr>
          <w:rFonts w:ascii="Elektra Light Pro" w:hAnsi="Elektra Light Pro"/>
        </w:rPr>
        <w:t>Палати</w:t>
      </w:r>
      <w:r w:rsidR="002D4C61">
        <w:rPr>
          <w:rFonts w:ascii="Elektra Light Pro" w:hAnsi="Elektra Light Pro"/>
        </w:rPr>
        <w:t xml:space="preserve"> є сумлінними платниками податку, що підтверджується погодженням вищенаведених робіт і ліквідацій з державними органами та аудиторськими висновками. </w:t>
      </w:r>
    </w:p>
    <w:p w14:paraId="5D90570D" w14:textId="265A983D" w:rsidR="002D4C61" w:rsidRDefault="002D4C61" w:rsidP="00975B05">
      <w:pPr>
        <w:ind w:left="450" w:firstLine="990"/>
        <w:jc w:val="both"/>
        <w:rPr>
          <w:rFonts w:ascii="Elektra Light Pro" w:hAnsi="Elektra Light Pro"/>
        </w:rPr>
      </w:pPr>
      <w:r>
        <w:rPr>
          <w:rFonts w:ascii="Elektra Light Pro" w:hAnsi="Elektra Light Pro"/>
        </w:rPr>
        <w:t xml:space="preserve">Враховуючи вищенаведене, для </w:t>
      </w:r>
      <w:r w:rsidR="003C7844">
        <w:rPr>
          <w:rFonts w:ascii="Elektra Light Pro" w:hAnsi="Elektra Light Pro"/>
        </w:rPr>
        <w:t>послідовного та ун</w:t>
      </w:r>
      <w:r w:rsidR="004E364D">
        <w:rPr>
          <w:rFonts w:ascii="Elektra Light Pro" w:hAnsi="Elektra Light Pro"/>
        </w:rPr>
        <w:t>і</w:t>
      </w:r>
      <w:r w:rsidR="003C7844">
        <w:rPr>
          <w:rFonts w:ascii="Elektra Light Pro" w:hAnsi="Elektra Light Pro"/>
        </w:rPr>
        <w:t>фікованого трактування положень законодавства</w:t>
      </w:r>
      <w:r>
        <w:rPr>
          <w:rFonts w:ascii="Elektra Light Pro" w:hAnsi="Elektra Light Pro"/>
        </w:rPr>
        <w:t xml:space="preserve">, </w:t>
      </w:r>
      <w:r w:rsidR="003C7844">
        <w:rPr>
          <w:rFonts w:ascii="Elektra Light Pro" w:hAnsi="Elektra Light Pro"/>
        </w:rPr>
        <w:t>попередження</w:t>
      </w:r>
      <w:r>
        <w:rPr>
          <w:rFonts w:ascii="Elektra Light Pro" w:hAnsi="Elektra Light Pro"/>
        </w:rPr>
        <w:t xml:space="preserve"> додаткового</w:t>
      </w:r>
      <w:r w:rsidR="003C7844">
        <w:rPr>
          <w:rFonts w:ascii="Elektra Light Pro" w:hAnsi="Elektra Light Pro"/>
        </w:rPr>
        <w:t xml:space="preserve"> та </w:t>
      </w:r>
      <w:r w:rsidR="004E364D">
        <w:rPr>
          <w:rFonts w:ascii="Elektra Light Pro" w:hAnsi="Elektra Light Pro"/>
        </w:rPr>
        <w:t>необґрунтованого</w:t>
      </w:r>
      <w:r>
        <w:rPr>
          <w:rFonts w:ascii="Elektra Light Pro" w:hAnsi="Elektra Light Pro"/>
        </w:rPr>
        <w:t xml:space="preserve"> оподаткування витрат, </w:t>
      </w:r>
      <w:r w:rsidR="003C7844">
        <w:rPr>
          <w:rFonts w:ascii="Elektra Light Pro" w:hAnsi="Elektra Light Pro"/>
        </w:rPr>
        <w:t xml:space="preserve">що може </w:t>
      </w:r>
      <w:r>
        <w:rPr>
          <w:rFonts w:ascii="Elektra Light Pro" w:hAnsi="Elektra Light Pro"/>
        </w:rPr>
        <w:t>негативно позначит</w:t>
      </w:r>
      <w:r w:rsidR="003C7844">
        <w:rPr>
          <w:rFonts w:ascii="Elektra Light Pro" w:hAnsi="Elektra Light Pro"/>
        </w:rPr>
        <w:t>ися</w:t>
      </w:r>
      <w:r>
        <w:rPr>
          <w:rFonts w:ascii="Elektra Light Pro" w:hAnsi="Elektra Light Pro"/>
        </w:rPr>
        <w:t xml:space="preserve"> на обсягах інвестицій в галузь і </w:t>
      </w:r>
      <w:r w:rsidR="003C7844">
        <w:rPr>
          <w:rFonts w:ascii="Elektra Light Pro" w:hAnsi="Elektra Light Pro"/>
        </w:rPr>
        <w:t>стати перешкодою для реалізації</w:t>
      </w:r>
      <w:r>
        <w:rPr>
          <w:rFonts w:ascii="Elektra Light Pro" w:hAnsi="Elektra Light Pro"/>
        </w:rPr>
        <w:t xml:space="preserve"> стратегії держави на збільшення видобутку природного газу в Україні, просимо надати роз’яснення з питань практичного застосування положень Податкового кодексу України </w:t>
      </w:r>
      <w:r w:rsidR="004E364D">
        <w:rPr>
          <w:rFonts w:ascii="Elektra Light Pro" w:hAnsi="Elektra Light Pro"/>
        </w:rPr>
        <w:t>т</w:t>
      </w:r>
      <w:r>
        <w:rPr>
          <w:rFonts w:ascii="Elektra Light Pro" w:hAnsi="Elektra Light Pro"/>
        </w:rPr>
        <w:t xml:space="preserve">а </w:t>
      </w:r>
      <w:r w:rsidR="004E364D">
        <w:rPr>
          <w:rFonts w:ascii="Elektra Light Pro" w:hAnsi="Elektra Light Pro"/>
        </w:rPr>
        <w:t xml:space="preserve">підтвердити, що </w:t>
      </w:r>
      <w:r>
        <w:rPr>
          <w:rFonts w:ascii="Elektra Light Pro" w:hAnsi="Elektra Light Pro"/>
        </w:rPr>
        <w:t xml:space="preserve">на </w:t>
      </w:r>
      <w:r w:rsidR="004E364D">
        <w:rPr>
          <w:rFonts w:ascii="Elektra Light Pro" w:hAnsi="Elektra Light Pro"/>
        </w:rPr>
        <w:t xml:space="preserve">наступні </w:t>
      </w:r>
      <w:r>
        <w:rPr>
          <w:rFonts w:ascii="Elektra Light Pro" w:hAnsi="Elektra Light Pro"/>
        </w:rPr>
        <w:t xml:space="preserve">операції газовидобувних підприємств </w:t>
      </w:r>
      <w:r w:rsidR="004E364D">
        <w:rPr>
          <w:rFonts w:ascii="Elektra Light Pro" w:hAnsi="Elektra Light Pro"/>
        </w:rPr>
        <w:t>відсутні підстави для нарахування зобов'язань з ПДВ</w:t>
      </w:r>
      <w:r>
        <w:rPr>
          <w:rFonts w:ascii="Elektra Light Pro" w:hAnsi="Elektra Light Pro"/>
        </w:rPr>
        <w:t>:</w:t>
      </w:r>
    </w:p>
    <w:p w14:paraId="05687BF2" w14:textId="1592090F" w:rsidR="002D4C61" w:rsidRDefault="002D4C61" w:rsidP="00975B05">
      <w:pPr>
        <w:pStyle w:val="ListParagraph"/>
        <w:numPr>
          <w:ilvl w:val="0"/>
          <w:numId w:val="3"/>
        </w:numPr>
        <w:spacing w:after="0" w:line="240" w:lineRule="auto"/>
        <w:ind w:left="450" w:firstLine="990"/>
        <w:jc w:val="both"/>
        <w:rPr>
          <w:rFonts w:ascii="Elektra Light Pro" w:eastAsia="Times New Roman" w:hAnsi="Elektra Light Pro"/>
          <w:sz w:val="24"/>
          <w:szCs w:val="24"/>
          <w:lang w:val="uk-UA" w:eastAsia="ru-RU"/>
        </w:rPr>
      </w:pPr>
      <w:r>
        <w:rPr>
          <w:rFonts w:ascii="Elektra Light Pro" w:eastAsia="Times New Roman" w:hAnsi="Elektra Light Pro"/>
          <w:sz w:val="24"/>
          <w:szCs w:val="24"/>
          <w:lang w:val="uk-UA" w:eastAsia="ru-RU"/>
        </w:rPr>
        <w:t>ліквідаці</w:t>
      </w:r>
      <w:r w:rsidR="004E364D">
        <w:rPr>
          <w:rFonts w:ascii="Elektra Light Pro" w:eastAsia="Times New Roman" w:hAnsi="Elektra Light Pro"/>
          <w:sz w:val="24"/>
          <w:szCs w:val="24"/>
          <w:lang w:val="uk-UA" w:eastAsia="ru-RU"/>
        </w:rPr>
        <w:t>я</w:t>
      </w:r>
      <w:r>
        <w:rPr>
          <w:rFonts w:ascii="Elektra Light Pro" w:eastAsia="Times New Roman" w:hAnsi="Elektra Light Pro"/>
          <w:sz w:val="24"/>
          <w:szCs w:val="24"/>
          <w:lang w:val="uk-UA" w:eastAsia="ru-RU"/>
        </w:rPr>
        <w:t xml:space="preserve"> нафтогазових свердловин, які були введені в експлуатацію як основні засоби;</w:t>
      </w:r>
    </w:p>
    <w:p w14:paraId="1467ADD0" w14:textId="77777777" w:rsidR="002D4C61" w:rsidRDefault="002D4C61" w:rsidP="00975B05">
      <w:pPr>
        <w:pStyle w:val="ListParagraph"/>
        <w:numPr>
          <w:ilvl w:val="0"/>
          <w:numId w:val="3"/>
        </w:numPr>
        <w:spacing w:after="0" w:line="240" w:lineRule="auto"/>
        <w:ind w:left="450" w:firstLine="990"/>
        <w:jc w:val="both"/>
        <w:rPr>
          <w:rFonts w:ascii="Elektra Light Pro" w:eastAsia="Times New Roman" w:hAnsi="Elektra Light Pro"/>
          <w:sz w:val="24"/>
          <w:szCs w:val="24"/>
          <w:lang w:val="uk-UA" w:eastAsia="ru-RU"/>
        </w:rPr>
      </w:pPr>
      <w:r>
        <w:rPr>
          <w:rFonts w:ascii="Elektra Light Pro" w:eastAsia="Times New Roman" w:hAnsi="Elektra Light Pro"/>
          <w:sz w:val="24"/>
          <w:szCs w:val="24"/>
          <w:lang w:val="uk-UA" w:eastAsia="ru-RU"/>
        </w:rPr>
        <w:t>понесення витрат на розвідувальні роботи родовищ (площ), по ділянках, на які ще не отримано спеціальний дозвіл, чи термін його дії завершено (після понесення витрат), або якщо понесені витрати у т. ч. на спорудження пошукових, розвідувальних та інших нафтогазових свердловин, які не є основними засобами, не призвели до виявлення покладів корисних копалин, відсутності промислового притоку, технічної можливості та економічної доцільності видобувати корисні копалини на досліджуваній території, або якщо понесені витрати на капітальний (поточний) ремонт, модернізацію, заміну компонента свердловин (у т. ч. орендованих) не призвели до відновлення / збільшення видобутку.</w:t>
      </w:r>
    </w:p>
    <w:p w14:paraId="34F3DAE2" w14:textId="58D5C73D" w:rsidR="00562C2B" w:rsidRPr="00241648" w:rsidRDefault="00562C2B" w:rsidP="00975B05">
      <w:pPr>
        <w:ind w:left="450" w:firstLine="708"/>
        <w:jc w:val="both"/>
        <w:rPr>
          <w:highlight w:val="yellow"/>
        </w:rPr>
      </w:pPr>
      <w:r w:rsidRPr="00BB0AC6">
        <w:t xml:space="preserve">У разі виникнення питань щодо вищезазначеного, просимо Вас визначити відповідальну особу, яка могла б зв’язатись з нами за телефоном 490 5800, контактна особа – Владислава </w:t>
      </w:r>
      <w:proofErr w:type="spellStart"/>
      <w:r w:rsidRPr="00BB0AC6">
        <w:t>Левакіна</w:t>
      </w:r>
      <w:proofErr w:type="spellEnd"/>
      <w:r w:rsidRPr="00BB0AC6">
        <w:t xml:space="preserve">, менеджер з питань стратегічного розвитку (енергетика), </w:t>
      </w:r>
      <w:hyperlink r:id="rId7" w:history="1">
        <w:r w:rsidRPr="00BB0AC6">
          <w:rPr>
            <w:rStyle w:val="Hyperlink"/>
          </w:rPr>
          <w:t>vlevakina@chamber.ua</w:t>
        </w:r>
      </w:hyperlink>
    </w:p>
    <w:p w14:paraId="0A20D38A" w14:textId="77777777" w:rsidR="00562C2B" w:rsidRDefault="00562C2B" w:rsidP="00975B05">
      <w:pPr>
        <w:ind w:left="450" w:firstLine="708"/>
        <w:jc w:val="both"/>
        <w:rPr>
          <w:highlight w:val="yellow"/>
        </w:rPr>
      </w:pPr>
    </w:p>
    <w:p w14:paraId="28601AE5" w14:textId="77777777" w:rsidR="00562C2B" w:rsidRPr="00241648" w:rsidRDefault="00562C2B" w:rsidP="00975B05">
      <w:pPr>
        <w:ind w:left="450" w:firstLine="708"/>
        <w:jc w:val="both"/>
        <w:rPr>
          <w:highlight w:val="yellow"/>
        </w:rPr>
      </w:pPr>
    </w:p>
    <w:p w14:paraId="09F47ACB" w14:textId="77777777" w:rsidR="00562C2B" w:rsidRPr="00241648" w:rsidRDefault="00562C2B" w:rsidP="00975B05">
      <w:pPr>
        <w:ind w:left="450"/>
        <w:jc w:val="both"/>
        <w:rPr>
          <w:b/>
        </w:rPr>
      </w:pPr>
      <w:r w:rsidRPr="00241648">
        <w:rPr>
          <w:b/>
        </w:rPr>
        <w:t>З повагою,</w:t>
      </w:r>
    </w:p>
    <w:p w14:paraId="031768AF" w14:textId="77777777" w:rsidR="00562C2B" w:rsidRPr="00241648" w:rsidRDefault="00562C2B" w:rsidP="00975B05">
      <w:pPr>
        <w:ind w:left="450"/>
        <w:jc w:val="both"/>
        <w:rPr>
          <w:b/>
        </w:rPr>
      </w:pPr>
    </w:p>
    <w:p w14:paraId="3417B820" w14:textId="77777777" w:rsidR="00562C2B" w:rsidRPr="00241648" w:rsidRDefault="00562C2B" w:rsidP="00975B05">
      <w:pPr>
        <w:ind w:left="450"/>
        <w:jc w:val="both"/>
        <w:rPr>
          <w:b/>
        </w:rPr>
      </w:pPr>
    </w:p>
    <w:p w14:paraId="0CFF6019" w14:textId="77777777" w:rsidR="00562C2B" w:rsidRDefault="00562C2B" w:rsidP="00975B05">
      <w:pPr>
        <w:ind w:left="450"/>
        <w:jc w:val="both"/>
      </w:pPr>
      <w:r w:rsidRPr="00241648">
        <w:rPr>
          <w:b/>
        </w:rPr>
        <w:t>Президент</w:t>
      </w:r>
      <w:r w:rsidRPr="00241648">
        <w:rPr>
          <w:b/>
        </w:rPr>
        <w:tab/>
      </w:r>
      <w:r w:rsidRPr="00241648">
        <w:rPr>
          <w:b/>
        </w:rPr>
        <w:tab/>
      </w:r>
      <w:r w:rsidRPr="00241648">
        <w:rPr>
          <w:b/>
        </w:rPr>
        <w:tab/>
      </w:r>
      <w:r w:rsidRPr="00241648">
        <w:rPr>
          <w:b/>
        </w:rPr>
        <w:tab/>
      </w:r>
      <w:r w:rsidRPr="00241648">
        <w:rPr>
          <w:b/>
        </w:rPr>
        <w:tab/>
      </w:r>
      <w:r w:rsidRPr="00241648">
        <w:rPr>
          <w:b/>
        </w:rPr>
        <w:tab/>
      </w:r>
      <w:r w:rsidRPr="00241648">
        <w:rPr>
          <w:b/>
        </w:rPr>
        <w:tab/>
      </w:r>
      <w:r w:rsidRPr="00241648">
        <w:rPr>
          <w:b/>
        </w:rPr>
        <w:tab/>
        <w:t xml:space="preserve">                                 Андрій </w:t>
      </w:r>
      <w:proofErr w:type="spellStart"/>
      <w:r w:rsidRPr="00241648">
        <w:rPr>
          <w:b/>
        </w:rPr>
        <w:t>Гундер</w:t>
      </w:r>
      <w:proofErr w:type="spellEnd"/>
    </w:p>
    <w:p w14:paraId="3C16599A" w14:textId="77777777" w:rsidR="00562C2B" w:rsidRDefault="00562C2B" w:rsidP="00975B05">
      <w:pPr>
        <w:ind w:left="450"/>
      </w:pPr>
    </w:p>
    <w:p w14:paraId="40783D77" w14:textId="77777777" w:rsidR="00562C2B" w:rsidRDefault="00562C2B" w:rsidP="00975B05">
      <w:pPr>
        <w:ind w:left="450" w:firstLine="708"/>
        <w:jc w:val="both"/>
        <w:rPr>
          <w:rFonts w:ascii="Tahoma" w:hAnsi="Tahoma" w:cs="Tahoma"/>
          <w:color w:val="404040"/>
          <w:sz w:val="20"/>
          <w:szCs w:val="20"/>
          <w:lang w:val="ru-RU"/>
        </w:rPr>
      </w:pPr>
    </w:p>
    <w:p w14:paraId="5FDAD3DF" w14:textId="77777777" w:rsidR="00562C2B" w:rsidRDefault="00562C2B" w:rsidP="00975B05">
      <w:pPr>
        <w:ind w:left="450" w:firstLine="708"/>
        <w:jc w:val="both"/>
        <w:rPr>
          <w:rFonts w:ascii="Tahoma" w:hAnsi="Tahoma" w:cs="Tahoma"/>
          <w:color w:val="404040"/>
          <w:sz w:val="20"/>
          <w:szCs w:val="20"/>
          <w:lang w:val="ru-RU"/>
        </w:rPr>
      </w:pPr>
    </w:p>
    <w:p w14:paraId="68FF0373" w14:textId="77777777" w:rsidR="00562C2B" w:rsidRDefault="00562C2B" w:rsidP="00975B05">
      <w:pPr>
        <w:ind w:left="450" w:firstLine="708"/>
        <w:jc w:val="both"/>
        <w:rPr>
          <w:rFonts w:ascii="Tahoma" w:hAnsi="Tahoma" w:cs="Tahoma"/>
          <w:color w:val="404040"/>
          <w:sz w:val="20"/>
          <w:szCs w:val="20"/>
          <w:lang w:val="ru-RU"/>
        </w:rPr>
      </w:pPr>
    </w:p>
    <w:p w14:paraId="1A345322" w14:textId="77777777" w:rsidR="00562C2B" w:rsidRDefault="00562C2B" w:rsidP="00975B05">
      <w:pPr>
        <w:ind w:left="450" w:firstLine="708"/>
        <w:jc w:val="both"/>
        <w:rPr>
          <w:rFonts w:ascii="Tahoma" w:hAnsi="Tahoma" w:cs="Tahoma"/>
          <w:color w:val="404040"/>
          <w:sz w:val="20"/>
          <w:szCs w:val="20"/>
          <w:lang w:val="ru-RU"/>
        </w:rPr>
      </w:pPr>
    </w:p>
    <w:p w14:paraId="6465F898" w14:textId="77777777" w:rsidR="00562C2B" w:rsidRDefault="00562C2B" w:rsidP="00975B05">
      <w:pPr>
        <w:ind w:left="450" w:firstLine="708"/>
        <w:jc w:val="both"/>
        <w:rPr>
          <w:rFonts w:ascii="Tahoma" w:hAnsi="Tahoma" w:cs="Tahoma"/>
          <w:color w:val="404040"/>
          <w:sz w:val="20"/>
          <w:szCs w:val="20"/>
          <w:lang w:val="ru-RU"/>
        </w:rPr>
      </w:pPr>
    </w:p>
    <w:p w14:paraId="36FED6BB" w14:textId="77777777" w:rsidR="00562C2B" w:rsidRDefault="00562C2B" w:rsidP="00975B05">
      <w:pPr>
        <w:ind w:left="450" w:firstLine="708"/>
        <w:jc w:val="both"/>
        <w:rPr>
          <w:rFonts w:ascii="Tahoma" w:hAnsi="Tahoma" w:cs="Tahoma"/>
          <w:color w:val="404040"/>
          <w:sz w:val="20"/>
          <w:szCs w:val="20"/>
          <w:lang w:val="ru-RU"/>
        </w:rPr>
      </w:pPr>
    </w:p>
    <w:p w14:paraId="698092E8" w14:textId="77777777" w:rsidR="00562C2B" w:rsidRDefault="00562C2B" w:rsidP="00975B05">
      <w:pPr>
        <w:ind w:firstLine="708"/>
        <w:jc w:val="both"/>
        <w:rPr>
          <w:rFonts w:ascii="Tahoma" w:hAnsi="Tahoma" w:cs="Tahoma"/>
          <w:color w:val="404040"/>
          <w:sz w:val="20"/>
          <w:szCs w:val="20"/>
          <w:lang w:val="ru-RU"/>
        </w:rPr>
      </w:pPr>
    </w:p>
    <w:p w14:paraId="0490B95C" w14:textId="77777777" w:rsidR="00562C2B" w:rsidRDefault="00562C2B" w:rsidP="00975B05">
      <w:pPr>
        <w:ind w:firstLine="708"/>
        <w:jc w:val="both"/>
        <w:rPr>
          <w:rFonts w:ascii="Tahoma" w:hAnsi="Tahoma" w:cs="Tahoma"/>
          <w:color w:val="404040"/>
          <w:sz w:val="20"/>
          <w:szCs w:val="20"/>
          <w:lang w:val="ru-RU"/>
        </w:rPr>
      </w:pPr>
    </w:p>
    <w:p w14:paraId="3F23A130" w14:textId="77777777" w:rsidR="00562C2B" w:rsidRDefault="00562C2B" w:rsidP="00975B05">
      <w:pPr>
        <w:ind w:firstLine="708"/>
        <w:jc w:val="both"/>
        <w:rPr>
          <w:rFonts w:ascii="Tahoma" w:hAnsi="Tahoma" w:cs="Tahoma"/>
          <w:color w:val="404040"/>
          <w:sz w:val="20"/>
          <w:szCs w:val="20"/>
          <w:lang w:val="ru-RU"/>
        </w:rPr>
      </w:pPr>
    </w:p>
    <w:p w14:paraId="54EB9311" w14:textId="77777777" w:rsidR="00562C2B" w:rsidRDefault="00562C2B" w:rsidP="00975B05">
      <w:pPr>
        <w:ind w:firstLine="708"/>
        <w:jc w:val="both"/>
        <w:rPr>
          <w:rFonts w:ascii="Tahoma" w:hAnsi="Tahoma" w:cs="Tahoma"/>
          <w:color w:val="404040"/>
          <w:sz w:val="20"/>
          <w:szCs w:val="20"/>
          <w:lang w:val="ru-RU"/>
        </w:rPr>
      </w:pPr>
    </w:p>
    <w:p w14:paraId="6C75CAD7" w14:textId="77777777" w:rsidR="00562C2B" w:rsidRDefault="00562C2B" w:rsidP="00975B05">
      <w:pPr>
        <w:ind w:firstLine="708"/>
        <w:jc w:val="both"/>
        <w:rPr>
          <w:rFonts w:ascii="Tahoma" w:hAnsi="Tahoma" w:cs="Tahoma"/>
          <w:color w:val="404040"/>
          <w:sz w:val="20"/>
          <w:szCs w:val="20"/>
          <w:lang w:val="ru-RU"/>
        </w:rPr>
      </w:pPr>
    </w:p>
    <w:p w14:paraId="28562B2F" w14:textId="77777777" w:rsidR="00DC0B2A" w:rsidRPr="00562C2B" w:rsidRDefault="00E46140" w:rsidP="00975B05">
      <w:pPr>
        <w:rPr>
          <w:lang w:val="ru-RU"/>
        </w:rPr>
      </w:pPr>
    </w:p>
    <w:sectPr w:rsidR="00DC0B2A" w:rsidRPr="00562C2B" w:rsidSect="00E46140">
      <w:headerReference w:type="even" r:id="rId8"/>
      <w:headerReference w:type="default" r:id="rId9"/>
      <w:footerReference w:type="even" r:id="rId10"/>
      <w:footerReference w:type="default" r:id="rId11"/>
      <w:headerReference w:type="first" r:id="rId12"/>
      <w:footerReference w:type="first" r:id="rId13"/>
      <w:pgSz w:w="11906" w:h="16838"/>
      <w:pgMar w:top="567" w:right="567" w:bottom="270" w:left="567" w:header="124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7554" w14:textId="77777777" w:rsidR="00000000" w:rsidRDefault="00E46140">
      <w:r>
        <w:separator/>
      </w:r>
    </w:p>
  </w:endnote>
  <w:endnote w:type="continuationSeparator" w:id="0">
    <w:p w14:paraId="326840A1" w14:textId="77777777" w:rsidR="00000000" w:rsidRDefault="00E4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ktra Light Pro">
    <w:altName w:val="Times New Roman"/>
    <w:panose1 w:val="00000000000000000000"/>
    <w:charset w:val="00"/>
    <w:family w:val="auto"/>
    <w:notTrueType/>
    <w:pitch w:val="variable"/>
    <w:sig w:usb0="00000001" w:usb1="5000206A" w:usb2="00000000" w:usb3="00000000" w:csb0="0000019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4AAA" w14:textId="77777777" w:rsidR="00FB448A" w:rsidRDefault="00E46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CC77" w14:textId="77777777" w:rsidR="00FF0942" w:rsidRPr="00843624" w:rsidRDefault="001E49CE" w:rsidP="00FF0942">
    <w:pPr>
      <w:tabs>
        <w:tab w:val="left" w:pos="1170"/>
      </w:tabs>
      <w:ind w:left="1350" w:hanging="135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_________________________________________________________________________________________________________________________</w:t>
    </w:r>
  </w:p>
  <w:p w14:paraId="5356E046" w14:textId="77777777" w:rsidR="00FF0942" w:rsidRPr="006E325A" w:rsidRDefault="001E49CE" w:rsidP="00FE5E84">
    <w:pPr>
      <w:ind w:left="1559" w:hanging="1559"/>
      <w:jc w:val="both"/>
      <w:rPr>
        <w:rFonts w:ascii="Arial" w:hAnsi="Arial" w:cs="Arial"/>
        <w:i/>
        <w:color w:val="404040"/>
        <w:sz w:val="16"/>
        <w:szCs w:val="16"/>
      </w:rPr>
    </w:pPr>
    <w:bookmarkStart w:id="1" w:name="_Hlk500931139"/>
    <w:bookmarkStart w:id="2" w:name="_Hlk523402945"/>
    <w:bookmarkStart w:id="3" w:name="_Hlk523402946"/>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r>
      <w:rPr>
        <w:rFonts w:ascii="Arial" w:hAnsi="Arial" w:cs="Arial"/>
        <w:i/>
        <w:color w:val="404040"/>
        <w:sz w:val="16"/>
        <w:szCs w:val="16"/>
      </w:rPr>
      <w:tab/>
    </w:r>
    <w:r w:rsidRPr="00100434">
      <w:rPr>
        <w:rFonts w:ascii="Arial" w:hAnsi="Arial" w:cs="Arial"/>
        <w:b/>
        <w:i/>
        <w:color w:val="404040"/>
        <w:sz w:val="16"/>
        <w:szCs w:val="16"/>
      </w:rPr>
      <w:t xml:space="preserve">Олена Кошарна, </w:t>
    </w:r>
    <w:proofErr w:type="spellStart"/>
    <w:r w:rsidRPr="00100434">
      <w:rPr>
        <w:rFonts w:ascii="Arial" w:hAnsi="Arial" w:cs="Arial"/>
        <w:i/>
        <w:color w:val="404040"/>
        <w:sz w:val="16"/>
        <w:szCs w:val="16"/>
      </w:rPr>
      <w:t>Horizon</w:t>
    </w:r>
    <w:proofErr w:type="spellEnd"/>
    <w:r w:rsidRPr="00100434">
      <w:rPr>
        <w:rFonts w:ascii="Arial" w:hAnsi="Arial" w:cs="Arial"/>
        <w:i/>
        <w:color w:val="404040"/>
        <w:sz w:val="16"/>
        <w:szCs w:val="16"/>
      </w:rPr>
      <w:t xml:space="preserve"> </w:t>
    </w:r>
    <w:proofErr w:type="spellStart"/>
    <w:r w:rsidRPr="00100434">
      <w:rPr>
        <w:rFonts w:ascii="Arial" w:hAnsi="Arial" w:cs="Arial"/>
        <w:i/>
        <w:color w:val="404040"/>
        <w:sz w:val="16"/>
        <w:szCs w:val="16"/>
      </w:rPr>
      <w:t>Capital</w:t>
    </w:r>
    <w:proofErr w:type="spellEnd"/>
    <w:r w:rsidRPr="00100434">
      <w:rPr>
        <w:rFonts w:ascii="Arial" w:hAnsi="Arial" w:cs="Arial"/>
        <w:i/>
        <w:color w:val="404040"/>
        <w:sz w:val="16"/>
        <w:szCs w:val="16"/>
      </w:rPr>
      <w:t xml:space="preserve"> -</w:t>
    </w:r>
    <w:r w:rsidRPr="00100434">
      <w:rPr>
        <w:rFonts w:ascii="Arial" w:hAnsi="Arial" w:cs="Arial"/>
        <w:b/>
        <w:i/>
        <w:color w:val="404040"/>
        <w:sz w:val="16"/>
        <w:szCs w:val="16"/>
      </w:rPr>
      <w:t xml:space="preserve"> Голова; Олександр Г. </w:t>
    </w:r>
    <w:proofErr w:type="spellStart"/>
    <w:r w:rsidRPr="00100434">
      <w:rPr>
        <w:rFonts w:ascii="Arial" w:hAnsi="Arial" w:cs="Arial"/>
        <w:b/>
        <w:i/>
        <w:color w:val="404040"/>
        <w:sz w:val="16"/>
        <w:szCs w:val="16"/>
      </w:rPr>
      <w:t>МакУортер</w:t>
    </w:r>
    <w:proofErr w:type="spellEnd"/>
    <w:r w:rsidRPr="00100434">
      <w:rPr>
        <w:rFonts w:ascii="Arial" w:hAnsi="Arial" w:cs="Arial"/>
        <w:b/>
        <w:i/>
        <w:color w:val="404040"/>
        <w:sz w:val="16"/>
        <w:szCs w:val="16"/>
      </w:rPr>
      <w:t xml:space="preserve">, </w:t>
    </w:r>
    <w:proofErr w:type="spellStart"/>
    <w:r w:rsidRPr="00100434">
      <w:rPr>
        <w:rFonts w:ascii="Arial" w:hAnsi="Arial" w:cs="Arial"/>
        <w:i/>
        <w:color w:val="404040"/>
        <w:sz w:val="16"/>
        <w:szCs w:val="16"/>
      </w:rPr>
      <w:t>Citibank</w:t>
    </w:r>
    <w:proofErr w:type="spellEnd"/>
    <w:r w:rsidRPr="00100434">
      <w:rPr>
        <w:rFonts w:ascii="Arial" w:hAnsi="Arial" w:cs="Arial"/>
        <w:i/>
        <w:color w:val="404040"/>
        <w:sz w:val="16"/>
        <w:szCs w:val="16"/>
      </w:rPr>
      <w:t xml:space="preserve"> -</w:t>
    </w:r>
    <w:r w:rsidRPr="00100434">
      <w:rPr>
        <w:rFonts w:ascii="Arial" w:hAnsi="Arial" w:cs="Arial"/>
        <w:b/>
        <w:i/>
        <w:color w:val="404040"/>
        <w:sz w:val="16"/>
        <w:szCs w:val="16"/>
      </w:rPr>
      <w:t xml:space="preserve"> Співголова; </w:t>
    </w:r>
    <w:proofErr w:type="spellStart"/>
    <w:r w:rsidRPr="00100434">
      <w:rPr>
        <w:rFonts w:ascii="Arial" w:hAnsi="Arial" w:cs="Arial"/>
        <w:b/>
        <w:i/>
        <w:color w:val="404040"/>
        <w:sz w:val="16"/>
        <w:szCs w:val="16"/>
      </w:rPr>
      <w:t>Маттео</w:t>
    </w:r>
    <w:proofErr w:type="spellEnd"/>
    <w:r w:rsidRPr="00100434">
      <w:rPr>
        <w:rFonts w:ascii="Arial" w:hAnsi="Arial" w:cs="Arial"/>
        <w:b/>
        <w:i/>
        <w:color w:val="404040"/>
        <w:sz w:val="16"/>
        <w:szCs w:val="16"/>
      </w:rPr>
      <w:t xml:space="preserve"> Патроне, </w:t>
    </w:r>
    <w:r w:rsidRPr="00100434">
      <w:rPr>
        <w:rFonts w:ascii="Arial" w:hAnsi="Arial" w:cs="Arial"/>
        <w:i/>
        <w:color w:val="404040"/>
        <w:sz w:val="16"/>
        <w:szCs w:val="16"/>
      </w:rPr>
      <w:t>Європейський банк реконструкції та розвитку -</w:t>
    </w:r>
    <w:r w:rsidRPr="00100434">
      <w:rPr>
        <w:rFonts w:ascii="Arial" w:hAnsi="Arial" w:cs="Arial"/>
        <w:b/>
        <w:i/>
        <w:color w:val="404040"/>
        <w:sz w:val="16"/>
        <w:szCs w:val="16"/>
      </w:rPr>
      <w:t xml:space="preserve"> Співголова; Ірина Козлова, </w:t>
    </w:r>
    <w:proofErr w:type="spellStart"/>
    <w:r w:rsidRPr="00100434">
      <w:rPr>
        <w:rFonts w:ascii="Arial" w:hAnsi="Arial" w:cs="Arial"/>
        <w:i/>
        <w:color w:val="404040"/>
        <w:sz w:val="16"/>
        <w:szCs w:val="16"/>
      </w:rPr>
      <w:t>PepsiCo</w:t>
    </w:r>
    <w:proofErr w:type="spellEnd"/>
    <w:r w:rsidRPr="00100434">
      <w:rPr>
        <w:rFonts w:ascii="Arial" w:hAnsi="Arial" w:cs="Arial"/>
        <w:i/>
        <w:color w:val="404040"/>
        <w:sz w:val="16"/>
        <w:szCs w:val="16"/>
      </w:rPr>
      <w:t xml:space="preserve"> Україна -</w:t>
    </w:r>
    <w:r w:rsidRPr="00100434">
      <w:rPr>
        <w:rFonts w:ascii="Arial" w:hAnsi="Arial" w:cs="Arial"/>
        <w:b/>
        <w:i/>
        <w:color w:val="404040"/>
        <w:sz w:val="16"/>
        <w:szCs w:val="16"/>
      </w:rPr>
      <w:t xml:space="preserve"> Скарбник; Сергій Чорний, </w:t>
    </w:r>
    <w:r w:rsidRPr="00100434">
      <w:rPr>
        <w:rFonts w:ascii="Arial" w:hAnsi="Arial" w:cs="Arial"/>
        <w:i/>
        <w:color w:val="404040"/>
        <w:sz w:val="16"/>
        <w:szCs w:val="16"/>
      </w:rPr>
      <w:t>“Бейкер і Макензі” -</w:t>
    </w:r>
    <w:r w:rsidRPr="00100434">
      <w:rPr>
        <w:rFonts w:ascii="Arial" w:hAnsi="Arial" w:cs="Arial"/>
        <w:b/>
        <w:i/>
        <w:color w:val="404040"/>
        <w:sz w:val="16"/>
        <w:szCs w:val="16"/>
      </w:rPr>
      <w:t xml:space="preserve"> Секретар та юридичний радник; Наталі </w:t>
    </w:r>
    <w:proofErr w:type="spellStart"/>
    <w:r w:rsidRPr="00100434">
      <w:rPr>
        <w:rFonts w:ascii="Arial" w:hAnsi="Arial" w:cs="Arial"/>
        <w:b/>
        <w:i/>
        <w:color w:val="404040"/>
        <w:sz w:val="16"/>
        <w:szCs w:val="16"/>
      </w:rPr>
      <w:t>Алькер</w:t>
    </w:r>
    <w:proofErr w:type="spellEnd"/>
    <w:r w:rsidRPr="00100434">
      <w:rPr>
        <w:rFonts w:ascii="Arial" w:hAnsi="Arial" w:cs="Arial"/>
        <w:b/>
        <w:i/>
        <w:color w:val="404040"/>
        <w:sz w:val="16"/>
        <w:szCs w:val="16"/>
      </w:rPr>
      <w:t xml:space="preserve">, </w:t>
    </w:r>
    <w:proofErr w:type="spellStart"/>
    <w:r w:rsidRPr="00100434">
      <w:rPr>
        <w:rFonts w:ascii="Arial" w:hAnsi="Arial" w:cs="Arial"/>
        <w:i/>
        <w:color w:val="404040"/>
        <w:sz w:val="16"/>
        <w:szCs w:val="16"/>
      </w:rPr>
      <w:t>Danone</w:t>
    </w:r>
    <w:proofErr w:type="spellEnd"/>
    <w:r w:rsidRPr="00100434">
      <w:rPr>
        <w:rFonts w:ascii="Arial" w:hAnsi="Arial" w:cs="Arial"/>
        <w:i/>
        <w:color w:val="404040"/>
        <w:sz w:val="16"/>
        <w:szCs w:val="16"/>
      </w:rPr>
      <w:t>;</w:t>
    </w:r>
    <w:r w:rsidRPr="00100434">
      <w:rPr>
        <w:rFonts w:ascii="Arial" w:hAnsi="Arial" w:cs="Arial"/>
        <w:b/>
        <w:i/>
        <w:color w:val="404040"/>
        <w:sz w:val="16"/>
        <w:szCs w:val="16"/>
      </w:rPr>
      <w:t xml:space="preserve"> </w:t>
    </w:r>
    <w:proofErr w:type="spellStart"/>
    <w:r w:rsidRPr="00100434">
      <w:rPr>
        <w:rFonts w:ascii="Arial" w:hAnsi="Arial" w:cs="Arial"/>
        <w:b/>
        <w:i/>
        <w:color w:val="404040"/>
        <w:sz w:val="16"/>
        <w:szCs w:val="16"/>
      </w:rPr>
      <w:t>Васіле</w:t>
    </w:r>
    <w:proofErr w:type="spellEnd"/>
    <w:r w:rsidRPr="00100434">
      <w:rPr>
        <w:rFonts w:ascii="Arial" w:hAnsi="Arial" w:cs="Arial"/>
        <w:b/>
        <w:i/>
        <w:color w:val="404040"/>
        <w:sz w:val="16"/>
        <w:szCs w:val="16"/>
      </w:rPr>
      <w:t xml:space="preserve"> </w:t>
    </w:r>
    <w:proofErr w:type="spellStart"/>
    <w:r w:rsidRPr="00100434">
      <w:rPr>
        <w:rFonts w:ascii="Arial" w:hAnsi="Arial" w:cs="Arial"/>
        <w:b/>
        <w:i/>
        <w:color w:val="404040"/>
        <w:sz w:val="16"/>
        <w:szCs w:val="16"/>
      </w:rPr>
      <w:t>Варварой</w:t>
    </w:r>
    <w:proofErr w:type="spellEnd"/>
    <w:r w:rsidRPr="00100434">
      <w:rPr>
        <w:rFonts w:ascii="Arial" w:hAnsi="Arial" w:cs="Arial"/>
        <w:b/>
        <w:i/>
        <w:color w:val="404040"/>
        <w:sz w:val="16"/>
        <w:szCs w:val="16"/>
      </w:rPr>
      <w:t xml:space="preserve">, </w:t>
    </w:r>
    <w:proofErr w:type="spellStart"/>
    <w:r w:rsidRPr="00100434">
      <w:rPr>
        <w:rFonts w:ascii="Arial" w:hAnsi="Arial" w:cs="Arial"/>
        <w:i/>
        <w:color w:val="404040"/>
        <w:sz w:val="16"/>
        <w:szCs w:val="16"/>
      </w:rPr>
      <w:t>Cargill</w:t>
    </w:r>
    <w:proofErr w:type="spellEnd"/>
    <w:r w:rsidRPr="00100434">
      <w:rPr>
        <w:rFonts w:ascii="Arial" w:hAnsi="Arial" w:cs="Arial"/>
        <w:i/>
        <w:color w:val="404040"/>
        <w:sz w:val="16"/>
        <w:szCs w:val="16"/>
      </w:rPr>
      <w:t>;</w:t>
    </w:r>
    <w:r w:rsidRPr="00100434">
      <w:rPr>
        <w:rFonts w:ascii="Arial" w:hAnsi="Arial" w:cs="Arial"/>
        <w:b/>
        <w:i/>
        <w:color w:val="404040"/>
        <w:sz w:val="16"/>
        <w:szCs w:val="16"/>
      </w:rPr>
      <w:t xml:space="preserve"> </w:t>
    </w:r>
    <w:proofErr w:type="spellStart"/>
    <w:r w:rsidRPr="00100434">
      <w:rPr>
        <w:rFonts w:ascii="Arial" w:hAnsi="Arial" w:cs="Arial"/>
        <w:b/>
        <w:i/>
        <w:color w:val="404040"/>
        <w:sz w:val="16"/>
        <w:szCs w:val="16"/>
      </w:rPr>
      <w:t>Гієм</w:t>
    </w:r>
    <w:proofErr w:type="spellEnd"/>
    <w:r w:rsidRPr="00100434">
      <w:rPr>
        <w:rFonts w:ascii="Arial" w:hAnsi="Arial" w:cs="Arial"/>
        <w:b/>
        <w:i/>
        <w:color w:val="404040"/>
        <w:sz w:val="16"/>
        <w:szCs w:val="16"/>
      </w:rPr>
      <w:t xml:space="preserve"> </w:t>
    </w:r>
    <w:proofErr w:type="spellStart"/>
    <w:r w:rsidRPr="00100434">
      <w:rPr>
        <w:rFonts w:ascii="Arial" w:hAnsi="Arial" w:cs="Arial"/>
        <w:b/>
        <w:i/>
        <w:color w:val="404040"/>
        <w:sz w:val="16"/>
        <w:szCs w:val="16"/>
      </w:rPr>
      <w:t>Граньє</w:t>
    </w:r>
    <w:proofErr w:type="spellEnd"/>
    <w:r w:rsidRPr="00100434">
      <w:rPr>
        <w:rFonts w:ascii="Arial" w:hAnsi="Arial" w:cs="Arial"/>
        <w:b/>
        <w:i/>
        <w:color w:val="404040"/>
        <w:sz w:val="16"/>
        <w:szCs w:val="16"/>
      </w:rPr>
      <w:t xml:space="preserve">, </w:t>
    </w:r>
    <w:r w:rsidRPr="00100434">
      <w:rPr>
        <w:rFonts w:ascii="Arial" w:hAnsi="Arial" w:cs="Arial"/>
        <w:i/>
        <w:color w:val="404040"/>
        <w:sz w:val="16"/>
        <w:szCs w:val="16"/>
      </w:rPr>
      <w:t>"</w:t>
    </w:r>
    <w:proofErr w:type="spellStart"/>
    <w:r w:rsidRPr="00100434">
      <w:rPr>
        <w:rFonts w:ascii="Arial" w:hAnsi="Arial" w:cs="Arial"/>
        <w:i/>
        <w:color w:val="404040"/>
        <w:sz w:val="16"/>
        <w:szCs w:val="16"/>
      </w:rPr>
      <w:t>Санофі-Авентіс</w:t>
    </w:r>
    <w:proofErr w:type="spellEnd"/>
    <w:r w:rsidRPr="00100434">
      <w:rPr>
        <w:rFonts w:ascii="Arial" w:hAnsi="Arial" w:cs="Arial"/>
        <w:i/>
        <w:color w:val="404040"/>
        <w:sz w:val="16"/>
        <w:szCs w:val="16"/>
      </w:rPr>
      <w:t xml:space="preserve"> Україна";</w:t>
    </w:r>
    <w:r w:rsidRPr="00100434">
      <w:rPr>
        <w:rFonts w:ascii="Arial" w:hAnsi="Arial" w:cs="Arial"/>
        <w:b/>
        <w:i/>
        <w:color w:val="404040"/>
        <w:sz w:val="16"/>
        <w:szCs w:val="16"/>
      </w:rPr>
      <w:t xml:space="preserve"> </w:t>
    </w:r>
    <w:proofErr w:type="spellStart"/>
    <w:r w:rsidRPr="00100434">
      <w:rPr>
        <w:rFonts w:ascii="Arial" w:hAnsi="Arial" w:cs="Arial"/>
        <w:b/>
        <w:i/>
        <w:color w:val="404040"/>
        <w:sz w:val="16"/>
        <w:szCs w:val="16"/>
      </w:rPr>
      <w:t>Камран</w:t>
    </w:r>
    <w:proofErr w:type="spellEnd"/>
    <w:r w:rsidRPr="00100434">
      <w:rPr>
        <w:rFonts w:ascii="Arial" w:hAnsi="Arial" w:cs="Arial"/>
        <w:b/>
        <w:i/>
        <w:color w:val="404040"/>
        <w:sz w:val="16"/>
        <w:szCs w:val="16"/>
      </w:rPr>
      <w:t xml:space="preserve"> </w:t>
    </w:r>
    <w:proofErr w:type="spellStart"/>
    <w:r w:rsidRPr="00100434">
      <w:rPr>
        <w:rFonts w:ascii="Arial" w:hAnsi="Arial" w:cs="Arial"/>
        <w:b/>
        <w:i/>
        <w:color w:val="404040"/>
        <w:sz w:val="16"/>
        <w:szCs w:val="16"/>
      </w:rPr>
      <w:t>Іскандаров</w:t>
    </w:r>
    <w:proofErr w:type="spellEnd"/>
    <w:r w:rsidRPr="00100434">
      <w:rPr>
        <w:rFonts w:ascii="Arial" w:hAnsi="Arial" w:cs="Arial"/>
        <w:b/>
        <w:i/>
        <w:color w:val="404040"/>
        <w:sz w:val="16"/>
        <w:szCs w:val="16"/>
      </w:rPr>
      <w:t xml:space="preserve">, </w:t>
    </w:r>
    <w:proofErr w:type="spellStart"/>
    <w:r w:rsidRPr="00100434">
      <w:rPr>
        <w:rFonts w:ascii="Arial" w:hAnsi="Arial" w:cs="Arial"/>
        <w:i/>
        <w:color w:val="404040"/>
        <w:sz w:val="16"/>
        <w:szCs w:val="16"/>
      </w:rPr>
      <w:t>Coca-Cola</w:t>
    </w:r>
    <w:proofErr w:type="spellEnd"/>
    <w:r w:rsidRPr="00100434">
      <w:rPr>
        <w:rFonts w:ascii="Arial" w:hAnsi="Arial" w:cs="Arial"/>
        <w:i/>
        <w:color w:val="404040"/>
        <w:sz w:val="16"/>
        <w:szCs w:val="16"/>
      </w:rPr>
      <w:t xml:space="preserve"> </w:t>
    </w:r>
    <w:proofErr w:type="spellStart"/>
    <w:r w:rsidRPr="00100434">
      <w:rPr>
        <w:rFonts w:ascii="Arial" w:hAnsi="Arial" w:cs="Arial"/>
        <w:i/>
        <w:color w:val="404040"/>
        <w:sz w:val="16"/>
        <w:szCs w:val="16"/>
      </w:rPr>
      <w:t>Ураїна</w:t>
    </w:r>
    <w:proofErr w:type="spellEnd"/>
    <w:r w:rsidRPr="00100434">
      <w:rPr>
        <w:rFonts w:ascii="Arial" w:hAnsi="Arial" w:cs="Arial"/>
        <w:i/>
        <w:color w:val="404040"/>
        <w:sz w:val="16"/>
        <w:szCs w:val="16"/>
      </w:rPr>
      <w:t>;</w:t>
    </w:r>
    <w:r w:rsidRPr="00100434">
      <w:rPr>
        <w:rFonts w:ascii="Arial" w:hAnsi="Arial" w:cs="Arial"/>
        <w:b/>
        <w:i/>
        <w:color w:val="404040"/>
        <w:sz w:val="16"/>
        <w:szCs w:val="16"/>
      </w:rPr>
      <w:t xml:space="preserve"> </w:t>
    </w:r>
    <w:proofErr w:type="spellStart"/>
    <w:r w:rsidRPr="00A5376E">
      <w:rPr>
        <w:rFonts w:ascii="Arial" w:hAnsi="Arial" w:cs="Arial"/>
        <w:b/>
        <w:i/>
        <w:color w:val="404040"/>
        <w:sz w:val="16"/>
        <w:szCs w:val="16"/>
      </w:rPr>
      <w:t>Aлiстер</w:t>
    </w:r>
    <w:proofErr w:type="spellEnd"/>
    <w:r w:rsidRPr="00A5376E">
      <w:rPr>
        <w:rFonts w:ascii="Arial" w:hAnsi="Arial" w:cs="Arial"/>
        <w:b/>
        <w:i/>
        <w:color w:val="404040"/>
        <w:sz w:val="16"/>
        <w:szCs w:val="16"/>
      </w:rPr>
      <w:t xml:space="preserve"> Д. </w:t>
    </w:r>
    <w:proofErr w:type="spellStart"/>
    <w:r w:rsidRPr="00A5376E">
      <w:rPr>
        <w:rFonts w:ascii="Arial" w:hAnsi="Arial" w:cs="Arial"/>
        <w:b/>
        <w:i/>
        <w:color w:val="404040"/>
        <w:sz w:val="16"/>
        <w:szCs w:val="16"/>
      </w:rPr>
      <w:t>МакБейн</w:t>
    </w:r>
    <w:proofErr w:type="spellEnd"/>
    <w:r w:rsidRPr="00A5376E">
      <w:rPr>
        <w:rFonts w:ascii="Arial" w:hAnsi="Arial" w:cs="Arial"/>
        <w:b/>
        <w:i/>
        <w:color w:val="404040"/>
        <w:sz w:val="16"/>
        <w:szCs w:val="16"/>
      </w:rPr>
      <w:t xml:space="preserve">, </w:t>
    </w:r>
    <w:proofErr w:type="spellStart"/>
    <w:r w:rsidRPr="00A5376E">
      <w:rPr>
        <w:rFonts w:ascii="Arial" w:hAnsi="Arial" w:cs="Arial"/>
        <w:i/>
        <w:color w:val="404040"/>
        <w:sz w:val="16"/>
        <w:szCs w:val="16"/>
      </w:rPr>
      <w:t>Аравак</w:t>
    </w:r>
    <w:proofErr w:type="spellEnd"/>
    <w:r w:rsidRPr="00A5376E">
      <w:rPr>
        <w:rFonts w:ascii="Arial" w:hAnsi="Arial" w:cs="Arial"/>
        <w:i/>
        <w:color w:val="404040"/>
        <w:sz w:val="16"/>
        <w:szCs w:val="16"/>
      </w:rPr>
      <w:t xml:space="preserve"> Енерджі Юкрейн Б.В.;</w:t>
    </w:r>
    <w:r w:rsidRPr="00A5376E">
      <w:rPr>
        <w:rFonts w:ascii="Arial" w:hAnsi="Arial" w:cs="Arial"/>
        <w:b/>
        <w:i/>
        <w:color w:val="404040"/>
        <w:sz w:val="16"/>
        <w:szCs w:val="16"/>
      </w:rPr>
      <w:t xml:space="preserve"> </w:t>
    </w:r>
    <w:r w:rsidRPr="00100434">
      <w:rPr>
        <w:rFonts w:ascii="Arial" w:hAnsi="Arial" w:cs="Arial"/>
        <w:b/>
        <w:i/>
        <w:color w:val="404040"/>
        <w:sz w:val="16"/>
        <w:szCs w:val="16"/>
      </w:rPr>
      <w:t xml:space="preserve">Кіра </w:t>
    </w:r>
    <w:proofErr w:type="spellStart"/>
    <w:r w:rsidRPr="00100434">
      <w:rPr>
        <w:rFonts w:ascii="Arial" w:hAnsi="Arial" w:cs="Arial"/>
        <w:b/>
        <w:i/>
        <w:color w:val="404040"/>
        <w:sz w:val="16"/>
        <w:szCs w:val="16"/>
      </w:rPr>
      <w:t>Рудік</w:t>
    </w:r>
    <w:proofErr w:type="spellEnd"/>
    <w:r w:rsidRPr="00100434">
      <w:rPr>
        <w:rFonts w:ascii="Arial" w:hAnsi="Arial" w:cs="Arial"/>
        <w:b/>
        <w:i/>
        <w:color w:val="404040"/>
        <w:sz w:val="16"/>
        <w:szCs w:val="16"/>
      </w:rPr>
      <w:t xml:space="preserve">, </w:t>
    </w:r>
    <w:proofErr w:type="spellStart"/>
    <w:r w:rsidRPr="00100434">
      <w:rPr>
        <w:rFonts w:ascii="Arial" w:hAnsi="Arial" w:cs="Arial"/>
        <w:i/>
        <w:color w:val="404040"/>
        <w:sz w:val="16"/>
        <w:szCs w:val="16"/>
      </w:rPr>
      <w:t>Ring</w:t>
    </w:r>
    <w:proofErr w:type="spellEnd"/>
    <w:r w:rsidRPr="00100434">
      <w:rPr>
        <w:rFonts w:ascii="Arial" w:hAnsi="Arial" w:cs="Arial"/>
        <w:i/>
        <w:color w:val="404040"/>
        <w:sz w:val="16"/>
        <w:szCs w:val="16"/>
      </w:rPr>
      <w:t xml:space="preserve"> Україна;</w:t>
    </w:r>
    <w:r w:rsidRPr="00100434">
      <w:rPr>
        <w:rFonts w:ascii="Arial" w:hAnsi="Arial" w:cs="Arial"/>
        <w:b/>
        <w:i/>
        <w:color w:val="404040"/>
        <w:sz w:val="16"/>
        <w:szCs w:val="16"/>
      </w:rPr>
      <w:t xml:space="preserve"> </w:t>
    </w:r>
    <w:proofErr w:type="spellStart"/>
    <w:r w:rsidRPr="00100434">
      <w:rPr>
        <w:rFonts w:ascii="Arial" w:hAnsi="Arial" w:cs="Arial"/>
        <w:b/>
        <w:i/>
        <w:color w:val="404040"/>
        <w:sz w:val="16"/>
        <w:szCs w:val="16"/>
      </w:rPr>
      <w:t>Гжегож</w:t>
    </w:r>
    <w:proofErr w:type="spellEnd"/>
    <w:r w:rsidRPr="00100434">
      <w:rPr>
        <w:rFonts w:ascii="Arial" w:hAnsi="Arial" w:cs="Arial"/>
        <w:b/>
        <w:i/>
        <w:color w:val="404040"/>
        <w:sz w:val="16"/>
        <w:szCs w:val="16"/>
      </w:rPr>
      <w:t xml:space="preserve"> Хмелярський, </w:t>
    </w:r>
    <w:r w:rsidRPr="00100434">
      <w:rPr>
        <w:rFonts w:ascii="Arial" w:hAnsi="Arial" w:cs="Arial"/>
        <w:i/>
        <w:color w:val="404040"/>
        <w:sz w:val="16"/>
        <w:szCs w:val="16"/>
      </w:rPr>
      <w:t>“</w:t>
    </w:r>
    <w:proofErr w:type="spellStart"/>
    <w:r w:rsidRPr="00100434">
      <w:rPr>
        <w:rFonts w:ascii="Arial" w:hAnsi="Arial" w:cs="Arial"/>
        <w:i/>
        <w:color w:val="404040"/>
        <w:sz w:val="16"/>
        <w:szCs w:val="16"/>
      </w:rPr>
      <w:t>МакДональдз</w:t>
    </w:r>
    <w:proofErr w:type="spellEnd"/>
    <w:r w:rsidRPr="00100434">
      <w:rPr>
        <w:rFonts w:ascii="Arial" w:hAnsi="Arial" w:cs="Arial"/>
        <w:i/>
        <w:color w:val="404040"/>
        <w:sz w:val="16"/>
        <w:szCs w:val="16"/>
      </w:rPr>
      <w:t xml:space="preserve"> Юкрейн”;</w:t>
    </w:r>
    <w:r w:rsidRPr="00100434">
      <w:rPr>
        <w:rFonts w:ascii="Arial" w:hAnsi="Arial" w:cs="Arial"/>
        <w:b/>
        <w:i/>
        <w:color w:val="404040"/>
        <w:sz w:val="16"/>
        <w:szCs w:val="16"/>
      </w:rPr>
      <w:t xml:space="preserve"> Андрій Цимбал, </w:t>
    </w:r>
    <w:r w:rsidRPr="00100434">
      <w:rPr>
        <w:rFonts w:ascii="Arial" w:hAnsi="Arial" w:cs="Arial"/>
        <w:i/>
        <w:color w:val="404040"/>
        <w:sz w:val="16"/>
        <w:szCs w:val="16"/>
      </w:rPr>
      <w:t>KPMG-Україна;</w:t>
    </w:r>
    <w:r w:rsidRPr="00100434">
      <w:rPr>
        <w:rFonts w:ascii="Arial" w:hAnsi="Arial" w:cs="Arial"/>
        <w:b/>
        <w:i/>
        <w:color w:val="404040"/>
        <w:sz w:val="16"/>
        <w:szCs w:val="16"/>
      </w:rPr>
      <w:t xml:space="preserve"> Євген Шевченко, </w:t>
    </w:r>
    <w:proofErr w:type="spellStart"/>
    <w:r w:rsidRPr="00100434">
      <w:rPr>
        <w:rFonts w:ascii="Arial" w:hAnsi="Arial" w:cs="Arial"/>
        <w:i/>
        <w:color w:val="404040"/>
        <w:sz w:val="16"/>
        <w:szCs w:val="16"/>
      </w:rPr>
      <w:t>Carlsberg</w:t>
    </w:r>
    <w:proofErr w:type="spellEnd"/>
    <w:r w:rsidRPr="00100434">
      <w:rPr>
        <w:rFonts w:ascii="Arial" w:hAnsi="Arial" w:cs="Arial"/>
        <w:i/>
        <w:color w:val="404040"/>
        <w:sz w:val="16"/>
        <w:szCs w:val="16"/>
      </w:rPr>
      <w:t>;</w:t>
    </w:r>
    <w:r w:rsidRPr="00100434">
      <w:rPr>
        <w:rFonts w:ascii="Arial" w:hAnsi="Arial" w:cs="Arial"/>
        <w:b/>
        <w:i/>
        <w:color w:val="404040"/>
        <w:sz w:val="16"/>
        <w:szCs w:val="16"/>
      </w:rPr>
      <w:t xml:space="preserve"> Сергій </w:t>
    </w:r>
    <w:proofErr w:type="spellStart"/>
    <w:r w:rsidRPr="00100434">
      <w:rPr>
        <w:rFonts w:ascii="Arial" w:hAnsi="Arial" w:cs="Arial"/>
        <w:b/>
        <w:i/>
        <w:color w:val="404040"/>
        <w:sz w:val="16"/>
        <w:szCs w:val="16"/>
      </w:rPr>
      <w:t>Янчишин</w:t>
    </w:r>
    <w:proofErr w:type="spellEnd"/>
    <w:r w:rsidRPr="00100434">
      <w:rPr>
        <w:rFonts w:ascii="Arial" w:hAnsi="Arial" w:cs="Arial"/>
        <w:b/>
        <w:i/>
        <w:color w:val="404040"/>
        <w:sz w:val="16"/>
        <w:szCs w:val="16"/>
      </w:rPr>
      <w:t xml:space="preserve">, </w:t>
    </w:r>
    <w:proofErr w:type="spellStart"/>
    <w:r w:rsidRPr="00100434">
      <w:rPr>
        <w:rFonts w:ascii="Arial" w:hAnsi="Arial" w:cs="Arial"/>
        <w:i/>
        <w:color w:val="404040"/>
        <w:sz w:val="16"/>
        <w:szCs w:val="16"/>
      </w:rPr>
      <w:t>Oracle</w:t>
    </w:r>
    <w:proofErr w:type="spellEnd"/>
    <w:r w:rsidRPr="00100434">
      <w:rPr>
        <w:rFonts w:ascii="Arial" w:hAnsi="Arial" w:cs="Arial"/>
        <w:i/>
        <w:color w:val="404040"/>
        <w:sz w:val="16"/>
        <w:szCs w:val="16"/>
      </w:rPr>
      <w:t>.</w:t>
    </w:r>
  </w:p>
  <w:p w14:paraId="46E6BE9D" w14:textId="77777777" w:rsidR="00E462AB" w:rsidRPr="00FF0942" w:rsidRDefault="001E49CE" w:rsidP="00FF0942">
    <w:pPr>
      <w:ind w:left="1560" w:hanging="1560"/>
      <w:jc w:val="both"/>
      <w:rPr>
        <w:rFonts w:ascii="Arial" w:hAnsi="Arial" w:cs="Arial"/>
        <w:b/>
        <w:i/>
        <w:color w:val="404040"/>
        <w:sz w:val="16"/>
        <w:szCs w:val="16"/>
      </w:rPr>
    </w:pPr>
    <w:r w:rsidRPr="006E325A">
      <w:rPr>
        <w:rFonts w:ascii="Arial" w:hAnsi="Arial" w:cs="Arial"/>
        <w:b/>
        <w:i/>
        <w:color w:val="404040"/>
        <w:sz w:val="16"/>
        <w:szCs w:val="16"/>
      </w:rPr>
      <w:t>П</w:t>
    </w:r>
    <w:r w:rsidRPr="00843624">
      <w:rPr>
        <w:rFonts w:ascii="Arial" w:hAnsi="Arial" w:cs="Arial"/>
        <w:b/>
        <w:i/>
        <w:color w:val="404040"/>
        <w:sz w:val="16"/>
        <w:szCs w:val="16"/>
      </w:rPr>
      <w:t xml:space="preserve">резидент: </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 </w:t>
    </w:r>
    <w:r>
      <w:rPr>
        <w:rFonts w:ascii="Arial" w:hAnsi="Arial" w:cs="Arial"/>
        <w:b/>
        <w:i/>
        <w:color w:val="404040"/>
        <w:sz w:val="16"/>
        <w:szCs w:val="16"/>
        <w:lang w:val="en-US"/>
      </w:rPr>
      <w:t xml:space="preserve"> </w:t>
    </w:r>
    <w:r w:rsidRPr="00843624">
      <w:rPr>
        <w:rFonts w:ascii="Arial" w:hAnsi="Arial" w:cs="Arial"/>
        <w:b/>
        <w:i/>
        <w:color w:val="404040"/>
        <w:sz w:val="16"/>
        <w:szCs w:val="16"/>
      </w:rPr>
      <w:t xml:space="preserve">Андрій </w:t>
    </w:r>
    <w:proofErr w:type="spellStart"/>
    <w:r w:rsidRPr="00843624">
      <w:rPr>
        <w:rFonts w:ascii="Arial" w:hAnsi="Arial" w:cs="Arial"/>
        <w:b/>
        <w:i/>
        <w:color w:val="404040"/>
        <w:sz w:val="16"/>
        <w:szCs w:val="16"/>
      </w:rPr>
      <w:t>Гундер</w:t>
    </w:r>
    <w:bookmarkEnd w:id="1"/>
    <w:bookmarkEnd w:id="2"/>
    <w:bookmarkEnd w:id="3"/>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2331" w14:textId="77777777" w:rsidR="00FB448A" w:rsidRDefault="00E46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EE1D6" w14:textId="77777777" w:rsidR="00000000" w:rsidRDefault="00E46140">
      <w:r>
        <w:separator/>
      </w:r>
    </w:p>
  </w:footnote>
  <w:footnote w:type="continuationSeparator" w:id="0">
    <w:p w14:paraId="471807AB" w14:textId="77777777" w:rsidR="00000000" w:rsidRDefault="00E4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2260" w14:textId="77777777" w:rsidR="00FB448A" w:rsidRDefault="00E46140">
    <w:pPr>
      <w:pStyle w:val="Header"/>
    </w:pPr>
    <w:r>
      <w:rPr>
        <w:noProof/>
      </w:rPr>
      <w:pict w14:anchorId="40F93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07485" o:spid="_x0000_s1028" type="#_x0000_t136" style="position:absolute;margin-left:0;margin-top:0;width:542.4pt;height:216.9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3024" w14:textId="00094AB1" w:rsidR="00712510" w:rsidRPr="00712510" w:rsidRDefault="00E46140" w:rsidP="00712510">
    <w:pPr>
      <w:pStyle w:val="Header"/>
      <w:rPr>
        <w:lang w:val="en-US"/>
      </w:rPr>
    </w:pPr>
    <w:r>
      <w:rPr>
        <w:noProof/>
      </w:rPr>
      <w:pict w14:anchorId="34AA5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07486" o:spid="_x0000_s1029" type="#_x0000_t136" style="position:absolute;margin-left:0;margin-top:0;width:542.4pt;height:216.9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62C2B">
      <w:rPr>
        <w:noProof/>
      </w:rPr>
      <w:drawing>
        <wp:anchor distT="0" distB="0" distL="114300" distR="114300" simplePos="0" relativeHeight="251660288" behindDoc="0" locked="0" layoutInCell="1" allowOverlap="1" wp14:anchorId="062CE74D" wp14:editId="590716FA">
          <wp:simplePos x="0" y="0"/>
          <wp:positionH relativeFrom="column">
            <wp:posOffset>-360045</wp:posOffset>
          </wp:positionH>
          <wp:positionV relativeFrom="page">
            <wp:posOffset>88900</wp:posOffset>
          </wp:positionV>
          <wp:extent cx="1720215" cy="688340"/>
          <wp:effectExtent l="0" t="0" r="0" b="0"/>
          <wp:wrapNone/>
          <wp:docPr id="1" name="Picture 1"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r="77191" b="27620"/>
                  <a:stretch>
                    <a:fillRect/>
                  </a:stretch>
                </pic:blipFill>
                <pic:spPr bwMode="auto">
                  <a:xfrm>
                    <a:off x="0" y="0"/>
                    <a:ext cx="172021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C2B">
      <w:rPr>
        <w:noProof/>
      </w:rPr>
      <w:drawing>
        <wp:anchor distT="0" distB="0" distL="114300" distR="114300" simplePos="0" relativeHeight="251659264" behindDoc="0" locked="0" layoutInCell="1" allowOverlap="1" wp14:anchorId="03B22C6C" wp14:editId="59FD5970">
          <wp:simplePos x="0" y="0"/>
          <wp:positionH relativeFrom="column">
            <wp:posOffset>1301115</wp:posOffset>
          </wp:positionH>
          <wp:positionV relativeFrom="page">
            <wp:posOffset>88900</wp:posOffset>
          </wp:positionV>
          <wp:extent cx="5888355" cy="939800"/>
          <wp:effectExtent l="0" t="0" r="0" b="0"/>
          <wp:wrapNone/>
          <wp:docPr id="2" name="Picture 2"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21925" t="18045" b="7770"/>
                  <a:stretch>
                    <a:fillRect/>
                  </a:stretch>
                </pic:blipFill>
                <pic:spPr bwMode="auto">
                  <a:xfrm>
                    <a:off x="0" y="0"/>
                    <a:ext cx="58883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EC56" w14:textId="77777777" w:rsidR="00FB448A" w:rsidRDefault="00E46140">
    <w:pPr>
      <w:pStyle w:val="Header"/>
    </w:pPr>
    <w:r>
      <w:rPr>
        <w:noProof/>
      </w:rPr>
      <w:pict w14:anchorId="655EE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07484" o:spid="_x0000_s1027" type="#_x0000_t136" style="position:absolute;margin-left:0;margin-top:0;width:542.4pt;height:216.9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C7741"/>
    <w:multiLevelType w:val="hybridMultilevel"/>
    <w:tmpl w:val="2F228BD8"/>
    <w:lvl w:ilvl="0" w:tplc="18F26CAA">
      <w:start w:val="1"/>
      <w:numFmt w:val="bullet"/>
      <w:lvlText w:val="-"/>
      <w:lvlJc w:val="left"/>
      <w:pPr>
        <w:ind w:left="1065" w:hanging="360"/>
      </w:pPr>
      <w:rPr>
        <w:rFonts w:ascii="Calibri" w:eastAsia="Calibri" w:hAnsi="Calibri"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 w15:restartNumberingAfterBreak="0">
    <w:nsid w:val="1E4452C6"/>
    <w:multiLevelType w:val="hybridMultilevel"/>
    <w:tmpl w:val="3CF27BC6"/>
    <w:lvl w:ilvl="0" w:tplc="4296EC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55DD4C97"/>
    <w:multiLevelType w:val="hybridMultilevel"/>
    <w:tmpl w:val="A906E1E0"/>
    <w:lvl w:ilvl="0" w:tplc="18F26CAA">
      <w:start w:val="1"/>
      <w:numFmt w:val="bullet"/>
      <w:lvlText w:val="-"/>
      <w:lvlJc w:val="left"/>
      <w:pPr>
        <w:ind w:left="1426" w:hanging="360"/>
      </w:pPr>
      <w:rPr>
        <w:rFonts w:ascii="Calibri" w:eastAsia="Calibri" w:hAnsi="Calibri" w:cs="Times New Roman" w:hint="default"/>
      </w:rPr>
    </w:lvl>
    <w:lvl w:ilvl="1" w:tplc="04190003">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cs="Courier New"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cs="Courier New" w:hint="default"/>
      </w:rPr>
    </w:lvl>
    <w:lvl w:ilvl="8" w:tplc="04190005">
      <w:start w:val="1"/>
      <w:numFmt w:val="bullet"/>
      <w:lvlText w:val=""/>
      <w:lvlJc w:val="left"/>
      <w:pPr>
        <w:ind w:left="7186"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2B"/>
    <w:rsid w:val="001E49CE"/>
    <w:rsid w:val="002D4C61"/>
    <w:rsid w:val="003A204F"/>
    <w:rsid w:val="003C7844"/>
    <w:rsid w:val="004743F9"/>
    <w:rsid w:val="004E364D"/>
    <w:rsid w:val="00562C2B"/>
    <w:rsid w:val="007A5EE4"/>
    <w:rsid w:val="00975B05"/>
    <w:rsid w:val="00A05653"/>
    <w:rsid w:val="00E46140"/>
    <w:rsid w:val="00E52C96"/>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14AF4"/>
  <w15:chartTrackingRefBased/>
  <w15:docId w15:val="{993F2FF3-66BC-440F-8E6A-BFE6BBFF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C2B"/>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2C2B"/>
    <w:pPr>
      <w:tabs>
        <w:tab w:val="center" w:pos="4677"/>
        <w:tab w:val="right" w:pos="9355"/>
      </w:tabs>
    </w:pPr>
  </w:style>
  <w:style w:type="character" w:customStyle="1" w:styleId="HeaderChar">
    <w:name w:val="Header Char"/>
    <w:basedOn w:val="DefaultParagraphFont"/>
    <w:link w:val="Header"/>
    <w:rsid w:val="00562C2B"/>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rsid w:val="00562C2B"/>
    <w:pPr>
      <w:tabs>
        <w:tab w:val="center" w:pos="4677"/>
        <w:tab w:val="right" w:pos="9355"/>
      </w:tabs>
    </w:pPr>
  </w:style>
  <w:style w:type="character" w:customStyle="1" w:styleId="FooterChar">
    <w:name w:val="Footer Char"/>
    <w:basedOn w:val="DefaultParagraphFont"/>
    <w:link w:val="Footer"/>
    <w:uiPriority w:val="99"/>
    <w:rsid w:val="00562C2B"/>
    <w:rPr>
      <w:rFonts w:ascii="Times New Roman" w:eastAsia="Times New Roman" w:hAnsi="Times New Roman" w:cs="Times New Roman"/>
      <w:sz w:val="24"/>
      <w:szCs w:val="24"/>
      <w:lang w:val="uk-UA" w:eastAsia="uk-UA"/>
    </w:rPr>
  </w:style>
  <w:style w:type="paragraph" w:customStyle="1" w:styleId="Normal1">
    <w:name w:val="Normal1"/>
    <w:basedOn w:val="Normal"/>
    <w:rsid w:val="00562C2B"/>
    <w:pPr>
      <w:spacing w:before="100" w:beforeAutospacing="1" w:after="100" w:afterAutospacing="1"/>
    </w:pPr>
    <w:rPr>
      <w:lang w:val="ru-RU" w:eastAsia="ru-RU"/>
    </w:rPr>
  </w:style>
  <w:style w:type="character" w:styleId="Hyperlink">
    <w:name w:val="Hyperlink"/>
    <w:uiPriority w:val="99"/>
    <w:unhideWhenUsed/>
    <w:rsid w:val="00562C2B"/>
    <w:rPr>
      <w:color w:val="0000FF"/>
      <w:u w:val="single"/>
    </w:rPr>
  </w:style>
  <w:style w:type="paragraph" w:styleId="NoSpacing">
    <w:name w:val="No Spacing"/>
    <w:uiPriority w:val="1"/>
    <w:qFormat/>
    <w:rsid w:val="00562C2B"/>
    <w:pPr>
      <w:spacing w:after="0"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2D4C61"/>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25096">
      <w:bodyDiv w:val="1"/>
      <w:marLeft w:val="0"/>
      <w:marRight w:val="0"/>
      <w:marTop w:val="0"/>
      <w:marBottom w:val="0"/>
      <w:divBdr>
        <w:top w:val="none" w:sz="0" w:space="0" w:color="auto"/>
        <w:left w:val="none" w:sz="0" w:space="0" w:color="auto"/>
        <w:bottom w:val="none" w:sz="0" w:space="0" w:color="auto"/>
        <w:right w:val="none" w:sz="0" w:space="0" w:color="auto"/>
      </w:divBdr>
    </w:div>
    <w:div w:id="15238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levakina@chamber.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4</cp:revision>
  <dcterms:created xsi:type="dcterms:W3CDTF">2018-12-19T12:32:00Z</dcterms:created>
  <dcterms:modified xsi:type="dcterms:W3CDTF">2019-01-10T14:04:00Z</dcterms:modified>
</cp:coreProperties>
</file>